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60" w:lineRule="exact"/>
        <w:rPr>
          <w:sz w:val="24"/>
          <w:szCs w:val="24"/>
          <w:color w:val="auto"/>
        </w:rPr>
      </w:pPr>
    </w:p>
    <w:p>
      <w:pPr>
        <w:jc w:val="center"/>
        <w:ind w:left="3820" w:right="1060" w:hanging="2744"/>
        <w:spacing w:after="0" w:line="287" w:lineRule="auto"/>
        <w:tabs>
          <w:tab w:leader="none" w:pos="12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wp:posOffset>
            </wp:positionH>
            <wp:positionV relativeFrom="paragraph">
              <wp:posOffset>-284480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0" w:lineRule="exact"/>
        <w:rPr>
          <w:sz w:val="24"/>
          <w:szCs w:val="24"/>
          <w:color w:val="auto"/>
        </w:rPr>
      </w:pPr>
    </w:p>
    <w:p>
      <w:pPr>
        <w:jc w:val="center"/>
        <w:ind w:left="3420" w:right="900" w:hanging="2514"/>
        <w:spacing w:after="0" w:line="287" w:lineRule="auto"/>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-284480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9"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171"/>
        </w:trPr>
        <w:tc>
          <w:tcPr>
            <w:tcW w:w="5140" w:type="dxa"/>
            <w:vAlign w:val="bottom"/>
            <w:gridSpan w:val="3"/>
          </w:tcPr>
          <w:p>
            <w:pPr>
              <w:jc w:val="center"/>
              <w:ind w:right="120"/>
              <w:spacing w:after="0" w:line="171" w:lineRule="exact"/>
              <w:rPr>
                <w:sz w:val="20"/>
                <w:szCs w:val="20"/>
                <w:color w:val="auto"/>
              </w:rPr>
            </w:pPr>
            <w:r>
              <w:rPr>
                <w:rFonts w:ascii="Arial" w:cs="Arial" w:eastAsia="Arial" w:hAnsi="Arial"/>
                <w:sz w:val="16"/>
                <w:szCs w:val="16"/>
                <w:color w:val="auto"/>
              </w:rPr>
              <w:t>(State or other jurisdiction of</w:t>
            </w:r>
          </w:p>
        </w:tc>
        <w:tc>
          <w:tcPr>
            <w:tcW w:w="5360" w:type="dxa"/>
            <w:vAlign w:val="bottom"/>
            <w:gridSpan w:val="4"/>
          </w:tcPr>
          <w:p>
            <w:pPr>
              <w:jc w:val="right"/>
              <w:ind w:right="1359"/>
              <w:spacing w:after="0" w:line="171"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5140" w:type="dxa"/>
            <w:vAlign w:val="bottom"/>
            <w:gridSpan w:val="3"/>
          </w:tcPr>
          <w:p>
            <w:pPr>
              <w:jc w:val="center"/>
              <w:ind w:right="100"/>
              <w:spacing w:after="0"/>
              <w:rPr>
                <w:sz w:val="20"/>
                <w:szCs w:val="20"/>
                <w:color w:val="auto"/>
              </w:rPr>
            </w:pPr>
            <w:r>
              <w:rPr>
                <w:rFonts w:ascii="Arial" w:cs="Arial" w:eastAsia="Arial" w:hAnsi="Arial"/>
                <w:sz w:val="16"/>
                <w:szCs w:val="16"/>
                <w:color w:val="auto"/>
              </w:rPr>
              <w:t>incorporation or organization)</w:t>
            </w: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519"/>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3"/>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4"/>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1"/>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2"/>
                <w:szCs w:val="22"/>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280" w:lineRule="exact"/>
        <w:rPr>
          <w:sz w:val="24"/>
          <w:szCs w:val="24"/>
          <w:color w:val="auto"/>
        </w:rPr>
      </w:pPr>
    </w:p>
    <w:p>
      <w:pPr>
        <w:ind w:right="1820"/>
        <w:spacing w:after="0" w:line="34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4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2" w:lineRule="exact"/>
        <w:rPr>
          <w:sz w:val="24"/>
          <w:szCs w:val="24"/>
          <w:color w:val="auto"/>
        </w:rPr>
      </w:pPr>
    </w:p>
    <w:p>
      <w:pPr>
        <w:ind w:right="2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40" w:hanging="187"/>
        <w:spacing w:after="0" w:line="184" w:lineRule="exact"/>
        <w:tabs>
          <w:tab w:leader="none" w:pos="20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2"/>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84" w:lineRule="exact"/>
        <w:tabs>
          <w:tab w:leader="none" w:pos="2540" w:val="left"/>
        </w:tabs>
        <w:rPr>
          <w:sz w:val="20"/>
          <w:szCs w:val="20"/>
          <w:color w:val="auto"/>
        </w:rPr>
      </w:pPr>
      <w:r>
        <w:rPr>
          <w:rFonts w:ascii="Arial" w:cs="Arial" w:eastAsia="Arial" w:hAnsi="Arial"/>
          <w:sz w:val="16"/>
          <w:szCs w:val="16"/>
          <w:color w:val="auto"/>
        </w:rPr>
        <w:t>its audit report.</w:t>
      </w:r>
      <w:r>
        <w:rPr>
          <w:sz w:val="20"/>
          <w:szCs w:val="20"/>
          <w:color w:val="auto"/>
        </w:rPr>
        <w:tab/>
      </w:r>
      <w:r>
        <w:rPr>
          <w:rFonts w:ascii="MS PGothic" w:cs="MS PGothic" w:eastAsia="MS PGothic" w:hAnsi="MS PGothic"/>
          <w:sz w:val="16"/>
          <w:szCs w:val="16"/>
          <w:color w:val="auto"/>
        </w:rPr>
        <w:t>☐</w:t>
      </w:r>
    </w:p>
    <w:p>
      <w:pPr>
        <w:spacing w:after="0" w:line="210"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The registrant was not a public company as of the last date of its most recently completed second fiscal quarter and, therefore, cannot calculate the aggregate market value of its voting common equity held by non-affiliates as of such date.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outstanding as of March 5, 2021, — 126,994,467</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or SEC, subsequent to the date hereof pursuant to Regulation 14A in connection with the registrant’s 2021 Annual Meeting of Stockholders, are incorporated by reference into Part III of this Annual Report on Form 10-K. We intend to file such proxy statement with the SEC not later than 120 days after the conclusion of the registrant’s fiscal year ended December 31, 2020.</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21"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280"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spacing w:after="0" w:line="233" w:lineRule="exact"/>
        <w:rPr>
          <w:sz w:val="20"/>
          <w:szCs w:val="20"/>
          <w:color w:val="auto"/>
        </w:rPr>
      </w:pPr>
    </w:p>
    <w:p>
      <w:pPr>
        <w:ind w:left="660" w:right="10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 w:lineRule="exact"/>
        <w:rPr>
          <w:rFonts w:ascii="Arial" w:cs="Arial" w:eastAsia="Arial" w:hAnsi="Arial"/>
          <w:sz w:val="20"/>
          <w:szCs w:val="20"/>
          <w:color w:val="auto"/>
        </w:rPr>
      </w:pPr>
    </w:p>
    <w:p>
      <w:pPr>
        <w:ind w:left="660" w:right="16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660" w:right="640" w:hanging="328"/>
        <w:spacing w:after="0" w:line="225" w:lineRule="auto"/>
        <w:tabs>
          <w:tab w:leader="none" w:pos="648" w:val="left"/>
        </w:tabs>
        <w:numPr>
          <w:ilvl w:val="0"/>
          <w:numId w:val="4"/>
        </w:numPr>
        <w:rPr>
          <w:rFonts w:ascii="Arial" w:cs="Arial" w:eastAsia="Arial" w:hAnsi="Arial"/>
          <w:sz w:val="20"/>
          <w:szCs w:val="20"/>
          <w:color w:val="231F20"/>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ind w:left="660" w:right="30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ind w:left="660" w:right="16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ind w:left="660" w:right="180" w:hanging="328"/>
        <w:spacing w:after="0" w:line="23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jc w:val="both"/>
        <w:ind w:left="660" w:right="10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660" w:right="120" w:hanging="328"/>
        <w:spacing w:after="0" w:line="26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34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spacing w:after="0" w:line="1" w:lineRule="exact"/>
        <w:rPr>
          <w:rFonts w:ascii="Arial" w:cs="Arial" w:eastAsia="Arial" w:hAnsi="Arial"/>
          <w:sz w:val="20"/>
          <w:szCs w:val="20"/>
          <w:color w:val="auto"/>
        </w:rPr>
      </w:pPr>
    </w:p>
    <w:p>
      <w:pPr>
        <w:ind w:left="660" w:right="420" w:hanging="328"/>
        <w:spacing w:after="0" w:line="266"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19"/>
          <w:szCs w:val="19"/>
          <w:color w:val="auto"/>
        </w:rPr>
      </w:pPr>
    </w:p>
    <w:p>
      <w:pPr>
        <w:ind w:left="6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1" w:lineRule="exact"/>
        <w:rPr>
          <w:rFonts w:ascii="Arial" w:cs="Arial" w:eastAsia="Arial" w:hAnsi="Arial"/>
          <w:sz w:val="20"/>
          <w:szCs w:val="20"/>
          <w:color w:val="auto"/>
        </w:rPr>
      </w:pPr>
    </w:p>
    <w:p>
      <w:pPr>
        <w:ind w:left="660" w:right="4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13" w:lineRule="exact"/>
        <w:rPr>
          <w:rFonts w:ascii="Arial" w:cs="Arial" w:eastAsia="Arial" w:hAnsi="Arial"/>
          <w:sz w:val="20"/>
          <w:szCs w:val="20"/>
          <w:color w:val="auto"/>
        </w:rPr>
      </w:pPr>
    </w:p>
    <w:p>
      <w:pPr>
        <w:ind w:left="660" w:right="4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1" w:lineRule="exact"/>
        <w:rPr>
          <w:rFonts w:ascii="Arial" w:cs="Arial" w:eastAsia="Arial" w:hAnsi="Arial"/>
          <w:sz w:val="20"/>
          <w:szCs w:val="20"/>
          <w:color w:val="auto"/>
        </w:rPr>
      </w:pPr>
    </w:p>
    <w:p>
      <w:pPr>
        <w:ind w:left="660" w:right="44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requirements of being a public company may strain our resources, divert management’s attention and affect our ability to attract and retain qualified board members and officers;</w:t>
      </w:r>
    </w:p>
    <w:p>
      <w:pPr>
        <w:spacing w:after="0" w:line="1" w:lineRule="exact"/>
        <w:rPr>
          <w:rFonts w:ascii="Arial" w:cs="Arial" w:eastAsia="Arial" w:hAnsi="Arial"/>
          <w:sz w:val="20"/>
          <w:szCs w:val="20"/>
          <w:color w:val="auto"/>
        </w:rPr>
      </w:pPr>
    </w:p>
    <w:p>
      <w:pPr>
        <w:ind w:left="660" w:right="24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face risks related to actual or threatened health epidemics, such as the COVID-19 pandemic, and other outbreaks, which could significantly disrupt our manufacturing and operations;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certain provisions in our certificate of incorporation and our bylaws may delay or prevent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00" w:type="dxa"/>
            <w:vAlign w:val="bottom"/>
          </w:tcPr>
          <w:p>
            <w:pPr>
              <w:spacing w:after="0"/>
              <w:rPr>
                <w:sz w:val="22"/>
                <w:szCs w:val="22"/>
                <w:color w:val="auto"/>
              </w:rPr>
            </w:pPr>
          </w:p>
        </w:tc>
        <w:tc>
          <w:tcPr>
            <w:tcW w:w="9000" w:type="dxa"/>
            <w:vAlign w:val="bottom"/>
          </w:tcPr>
          <w:p>
            <w:pPr>
              <w:jc w:val="center"/>
              <w:ind w:left="558"/>
              <w:spacing w:after="0"/>
              <w:rPr>
                <w:sz w:val="20"/>
                <w:szCs w:val="20"/>
                <w:color w:val="auto"/>
              </w:rPr>
            </w:pPr>
            <w:r>
              <w:rPr>
                <w:rFonts w:ascii="Arial" w:cs="Arial" w:eastAsia="Arial" w:hAnsi="Arial"/>
                <w:sz w:val="20"/>
                <w:szCs w:val="20"/>
                <w:b w:val="1"/>
                <w:bCs w:val="1"/>
                <w:color w:val="auto"/>
                <w:w w:val="98"/>
              </w:rPr>
              <w:t>TABLE OF CONTENTS</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79"/>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9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6"/>
              </w:rPr>
              <w:t>PAGE</w:t>
            </w:r>
          </w:p>
        </w:tc>
      </w:tr>
      <w:tr>
        <w:trPr>
          <w:trHeight w:val="211"/>
        </w:trPr>
        <w:tc>
          <w:tcPr>
            <w:tcW w:w="800" w:type="dxa"/>
            <w:vAlign w:val="bottom"/>
          </w:tcPr>
          <w:p>
            <w:pPr>
              <w:spacing w:after="0"/>
              <w:rPr>
                <w:sz w:val="18"/>
                <w:szCs w:val="18"/>
                <w:color w:val="auto"/>
              </w:rPr>
            </w:pPr>
          </w:p>
        </w:tc>
        <w:tc>
          <w:tcPr>
            <w:tcW w:w="9000" w:type="dxa"/>
            <w:vAlign w:val="bottom"/>
          </w:tcPr>
          <w:p>
            <w:pPr>
              <w:jc w:val="center"/>
              <w:ind w:left="558"/>
              <w:spacing w:after="0"/>
              <w:rPr>
                <w:sz w:val="20"/>
                <w:szCs w:val="20"/>
                <w:color w:val="auto"/>
              </w:rPr>
            </w:pPr>
            <w:r>
              <w:rPr>
                <w:rFonts w:ascii="Arial" w:cs="Arial" w:eastAsia="Arial" w:hAnsi="Arial"/>
                <w:sz w:val="16"/>
                <w:szCs w:val="16"/>
                <w:b w:val="1"/>
                <w:bCs w:val="1"/>
                <w:color w:val="auto"/>
                <w:w w:val="99"/>
              </w:rPr>
              <w:t>PART I</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9000" w:type="dxa"/>
            <w:vAlign w:val="bottom"/>
          </w:tcPr>
          <w:p>
            <w:pPr>
              <w:ind w:left="1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Business</w:t>
              </w:r>
            </w:hyperlink>
          </w:p>
        </w:tc>
        <w:tc>
          <w:tcPr>
            <w:tcW w:w="1160" w:type="dxa"/>
            <w:vAlign w:val="bottom"/>
            <w:gridSpan w:val="2"/>
          </w:tcPr>
          <w:p>
            <w:pPr>
              <w:jc w:val="center"/>
              <w:ind w:left="839"/>
              <w:spacing w:after="0"/>
              <w:rPr>
                <w:rFonts w:ascii="Arial" w:cs="Arial" w:eastAsia="Arial" w:hAnsi="Arial"/>
                <w:sz w:val="16"/>
                <w:szCs w:val="16"/>
                <w:u w:val="single" w:color="auto"/>
                <w:color w:val="0000FF"/>
                <w:w w:val="89"/>
              </w:rPr>
            </w:pPr>
            <w:hyperlink w:anchor="page6">
              <w:r>
                <w:rPr>
                  <w:rFonts w:ascii="Arial" w:cs="Arial" w:eastAsia="Arial" w:hAnsi="Arial"/>
                  <w:sz w:val="16"/>
                  <w:szCs w:val="16"/>
                  <w:u w:val="single" w:color="auto"/>
                  <w:color w:val="0000FF"/>
                  <w:w w:val="89"/>
                </w:rPr>
                <w:t>1</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1A.</w:t>
            </w:r>
          </w:p>
        </w:tc>
        <w:tc>
          <w:tcPr>
            <w:tcW w:w="9000" w:type="dxa"/>
            <w:vAlign w:val="bottom"/>
          </w:tcPr>
          <w:p>
            <w:pPr>
              <w:ind w:left="18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Risk Factors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11</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1B.</w:t>
            </w:r>
          </w:p>
        </w:tc>
        <w:tc>
          <w:tcPr>
            <w:tcW w:w="9000" w:type="dxa"/>
            <w:vAlign w:val="bottom"/>
          </w:tcPr>
          <w:p>
            <w:pPr>
              <w:ind w:left="18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Unresolved Staff Comments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36</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9000" w:type="dxa"/>
            <w:vAlign w:val="bottom"/>
          </w:tcPr>
          <w:p>
            <w:pPr>
              <w:ind w:left="18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Properties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36</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3.</w:t>
            </w:r>
          </w:p>
        </w:tc>
        <w:tc>
          <w:tcPr>
            <w:tcW w:w="9000" w:type="dxa"/>
            <w:vAlign w:val="bottom"/>
          </w:tcPr>
          <w:p>
            <w:pPr>
              <w:ind w:left="18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Legal Proceedings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36</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4.</w:t>
            </w:r>
          </w:p>
        </w:tc>
        <w:tc>
          <w:tcPr>
            <w:tcW w:w="9000" w:type="dxa"/>
            <w:vAlign w:val="bottom"/>
          </w:tcPr>
          <w:p>
            <w:pPr>
              <w:ind w:left="18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Mine Safety Disclosures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37</w:t>
              </w:r>
            </w:hyperlink>
          </w:p>
        </w:tc>
        <w:tc>
          <w:tcPr>
            <w:tcW w:w="280" w:type="dxa"/>
            <w:vAlign w:val="bottom"/>
          </w:tcPr>
          <w:p>
            <w:pPr>
              <w:spacing w:after="0"/>
              <w:rPr>
                <w:sz w:val="18"/>
                <w:szCs w:val="18"/>
                <w:color w:val="auto"/>
              </w:rPr>
            </w:pPr>
          </w:p>
        </w:tc>
      </w:tr>
      <w:tr>
        <w:trPr>
          <w:trHeight w:val="527"/>
        </w:trPr>
        <w:tc>
          <w:tcPr>
            <w:tcW w:w="800" w:type="dxa"/>
            <w:vAlign w:val="bottom"/>
          </w:tcPr>
          <w:p>
            <w:pPr>
              <w:spacing w:after="0"/>
              <w:rPr>
                <w:sz w:val="24"/>
                <w:szCs w:val="24"/>
                <w:color w:val="auto"/>
              </w:rPr>
            </w:pPr>
          </w:p>
        </w:tc>
        <w:tc>
          <w:tcPr>
            <w:tcW w:w="9000" w:type="dxa"/>
            <w:vAlign w:val="bottom"/>
          </w:tcPr>
          <w:p>
            <w:pPr>
              <w:jc w:val="center"/>
              <w:ind w:left="558"/>
              <w:spacing w:after="0"/>
              <w:rPr>
                <w:sz w:val="20"/>
                <w:szCs w:val="20"/>
                <w:color w:val="auto"/>
              </w:rPr>
            </w:pPr>
            <w:r>
              <w:rPr>
                <w:rFonts w:ascii="Arial" w:cs="Arial" w:eastAsia="Arial" w:hAnsi="Arial"/>
                <w:sz w:val="16"/>
                <w:szCs w:val="16"/>
                <w:b w:val="1"/>
                <w:bCs w:val="1"/>
                <w:color w:val="auto"/>
                <w:w w:val="98"/>
              </w:rPr>
              <w:t>PART II</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5.</w:t>
            </w:r>
          </w:p>
        </w:tc>
        <w:tc>
          <w:tcPr>
            <w:tcW w:w="9000" w:type="dxa"/>
            <w:vAlign w:val="bottom"/>
          </w:tcPr>
          <w:p>
            <w:pPr>
              <w:ind w:left="18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37</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6.</w:t>
            </w:r>
          </w:p>
        </w:tc>
        <w:tc>
          <w:tcPr>
            <w:tcW w:w="9000" w:type="dxa"/>
            <w:vAlign w:val="bottom"/>
          </w:tcPr>
          <w:p>
            <w:pPr>
              <w:ind w:left="18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Selected Financial Data</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38</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7.</w:t>
            </w:r>
          </w:p>
        </w:tc>
        <w:tc>
          <w:tcPr>
            <w:tcW w:w="9000" w:type="dxa"/>
            <w:vAlign w:val="bottom"/>
          </w:tcPr>
          <w:p>
            <w:pPr>
              <w:ind w:left="18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Management’s Discussion and Analysis of Financial Condition and Results of Operations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40</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7A.</w:t>
            </w:r>
          </w:p>
        </w:tc>
        <w:tc>
          <w:tcPr>
            <w:tcW w:w="9000" w:type="dxa"/>
            <w:vAlign w:val="bottom"/>
          </w:tcPr>
          <w:p>
            <w:pPr>
              <w:ind w:left="18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Quantitative and Qualitative Disclosures About Market Risk</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56</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8.</w:t>
            </w:r>
          </w:p>
        </w:tc>
        <w:tc>
          <w:tcPr>
            <w:tcW w:w="9000" w:type="dxa"/>
            <w:vAlign w:val="bottom"/>
          </w:tcPr>
          <w:p>
            <w:pPr>
              <w:ind w:left="180"/>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Financial Statements and Supplementary Data</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57</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9.</w:t>
            </w:r>
          </w:p>
        </w:tc>
        <w:tc>
          <w:tcPr>
            <w:tcW w:w="9000" w:type="dxa"/>
            <w:vAlign w:val="bottom"/>
          </w:tcPr>
          <w:p>
            <w:pPr>
              <w:ind w:left="180"/>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Changes in and Disagreements With Accountants on Accounting and Financial Disclosure</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57</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9A.</w:t>
            </w:r>
          </w:p>
        </w:tc>
        <w:tc>
          <w:tcPr>
            <w:tcW w:w="9000" w:type="dxa"/>
            <w:vAlign w:val="bottom"/>
          </w:tcPr>
          <w:p>
            <w:pPr>
              <w:ind w:left="180"/>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Controls and Procedures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57</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9B.</w:t>
            </w:r>
          </w:p>
        </w:tc>
        <w:tc>
          <w:tcPr>
            <w:tcW w:w="9000" w:type="dxa"/>
            <w:vAlign w:val="bottom"/>
          </w:tcPr>
          <w:p>
            <w:pPr>
              <w:ind w:left="18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Other Information</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59</w:t>
              </w:r>
            </w:hyperlink>
          </w:p>
        </w:tc>
        <w:tc>
          <w:tcPr>
            <w:tcW w:w="280" w:type="dxa"/>
            <w:vAlign w:val="bottom"/>
          </w:tcPr>
          <w:p>
            <w:pPr>
              <w:spacing w:after="0"/>
              <w:rPr>
                <w:sz w:val="18"/>
                <w:szCs w:val="18"/>
                <w:color w:val="auto"/>
              </w:rPr>
            </w:pPr>
          </w:p>
        </w:tc>
      </w:tr>
      <w:tr>
        <w:trPr>
          <w:trHeight w:val="527"/>
        </w:trPr>
        <w:tc>
          <w:tcPr>
            <w:tcW w:w="800" w:type="dxa"/>
            <w:vAlign w:val="bottom"/>
          </w:tcPr>
          <w:p>
            <w:pPr>
              <w:spacing w:after="0"/>
              <w:rPr>
                <w:sz w:val="24"/>
                <w:szCs w:val="24"/>
                <w:color w:val="auto"/>
              </w:rPr>
            </w:pPr>
          </w:p>
        </w:tc>
        <w:tc>
          <w:tcPr>
            <w:tcW w:w="9000" w:type="dxa"/>
            <w:vAlign w:val="bottom"/>
          </w:tcPr>
          <w:p>
            <w:pPr>
              <w:jc w:val="center"/>
              <w:ind w:left="558"/>
              <w:spacing w:after="0"/>
              <w:rPr>
                <w:sz w:val="20"/>
                <w:szCs w:val="20"/>
                <w:color w:val="auto"/>
              </w:rPr>
            </w:pPr>
            <w:r>
              <w:rPr>
                <w:rFonts w:ascii="Arial" w:cs="Arial" w:eastAsia="Arial" w:hAnsi="Arial"/>
                <w:sz w:val="16"/>
                <w:szCs w:val="16"/>
                <w:b w:val="1"/>
                <w:bCs w:val="1"/>
                <w:color w:val="auto"/>
                <w:w w:val="97"/>
              </w:rPr>
              <w:t>PART III</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10.</w:t>
            </w:r>
          </w:p>
        </w:tc>
        <w:tc>
          <w:tcPr>
            <w:tcW w:w="9000" w:type="dxa"/>
            <w:vAlign w:val="bottom"/>
          </w:tcPr>
          <w:p>
            <w:pPr>
              <w:ind w:left="18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Directors, Executive Officers and Corporate Governance</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59</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11.</w:t>
            </w:r>
          </w:p>
        </w:tc>
        <w:tc>
          <w:tcPr>
            <w:tcW w:w="9000" w:type="dxa"/>
            <w:vAlign w:val="bottom"/>
          </w:tcPr>
          <w:p>
            <w:pPr>
              <w:ind w:left="18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Executive Compensation</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59</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12.</w:t>
            </w:r>
          </w:p>
        </w:tc>
        <w:tc>
          <w:tcPr>
            <w:tcW w:w="9000" w:type="dxa"/>
            <w:vAlign w:val="bottom"/>
          </w:tcPr>
          <w:p>
            <w:pPr>
              <w:ind w:left="18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Security Ownership of Certain Beneficial Owners and Management and Related Stockholder Matters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59</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13.</w:t>
            </w:r>
          </w:p>
        </w:tc>
        <w:tc>
          <w:tcPr>
            <w:tcW w:w="9000" w:type="dxa"/>
            <w:vAlign w:val="bottom"/>
          </w:tcPr>
          <w:p>
            <w:pPr>
              <w:ind w:left="180"/>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Certain Relationships and Related Transactions, and Director Independence</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60</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14.</w:t>
            </w:r>
          </w:p>
        </w:tc>
        <w:tc>
          <w:tcPr>
            <w:tcW w:w="9000" w:type="dxa"/>
            <w:vAlign w:val="bottom"/>
          </w:tcPr>
          <w:p>
            <w:pPr>
              <w:ind w:left="180"/>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Principal Accountant Fees and Services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60</w:t>
              </w:r>
            </w:hyperlink>
          </w:p>
        </w:tc>
        <w:tc>
          <w:tcPr>
            <w:tcW w:w="280" w:type="dxa"/>
            <w:vAlign w:val="bottom"/>
          </w:tcPr>
          <w:p>
            <w:pPr>
              <w:spacing w:after="0"/>
              <w:rPr>
                <w:sz w:val="18"/>
                <w:szCs w:val="18"/>
                <w:color w:val="auto"/>
              </w:rPr>
            </w:pPr>
          </w:p>
        </w:tc>
      </w:tr>
      <w:tr>
        <w:trPr>
          <w:trHeight w:val="526"/>
        </w:trPr>
        <w:tc>
          <w:tcPr>
            <w:tcW w:w="800" w:type="dxa"/>
            <w:vAlign w:val="bottom"/>
          </w:tcPr>
          <w:p>
            <w:pPr>
              <w:spacing w:after="0"/>
              <w:rPr>
                <w:sz w:val="24"/>
                <w:szCs w:val="24"/>
                <w:color w:val="auto"/>
              </w:rPr>
            </w:pPr>
          </w:p>
        </w:tc>
        <w:tc>
          <w:tcPr>
            <w:tcW w:w="9000" w:type="dxa"/>
            <w:vAlign w:val="bottom"/>
          </w:tcPr>
          <w:p>
            <w:pPr>
              <w:jc w:val="center"/>
              <w:ind w:left="578"/>
              <w:spacing w:after="0"/>
              <w:rPr>
                <w:sz w:val="20"/>
                <w:szCs w:val="20"/>
                <w:color w:val="auto"/>
              </w:rPr>
            </w:pPr>
            <w:r>
              <w:rPr>
                <w:rFonts w:ascii="Arial" w:cs="Arial" w:eastAsia="Arial" w:hAnsi="Arial"/>
                <w:sz w:val="16"/>
                <w:szCs w:val="16"/>
                <w:b w:val="1"/>
                <w:bCs w:val="1"/>
                <w:color w:val="auto"/>
                <w:w w:val="98"/>
              </w:rPr>
              <w:t>PART IV</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15.</w:t>
            </w:r>
          </w:p>
        </w:tc>
        <w:tc>
          <w:tcPr>
            <w:tcW w:w="9000" w:type="dxa"/>
            <w:vAlign w:val="bottom"/>
          </w:tcPr>
          <w:p>
            <w:pPr>
              <w:ind w:left="180"/>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Exhibit and Financial Statement Schedules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60</w:t>
              </w:r>
            </w:hyperlink>
          </w:p>
        </w:tc>
        <w:tc>
          <w:tcPr>
            <w:tcW w:w="28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Item 16.</w:t>
            </w:r>
          </w:p>
        </w:tc>
        <w:tc>
          <w:tcPr>
            <w:tcW w:w="9000" w:type="dxa"/>
            <w:vAlign w:val="bottom"/>
          </w:tcPr>
          <w:p>
            <w:pPr>
              <w:ind w:left="180"/>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Form 10–K Summary</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62</w:t>
              </w:r>
            </w:hyperlink>
          </w:p>
        </w:tc>
        <w:tc>
          <w:tcPr>
            <w:tcW w:w="280" w:type="dxa"/>
            <w:vAlign w:val="bottom"/>
          </w:tcPr>
          <w:p>
            <w:pPr>
              <w:spacing w:after="0"/>
              <w:rPr>
                <w:sz w:val="18"/>
                <w:szCs w:val="18"/>
                <w:color w:val="auto"/>
              </w:rPr>
            </w:pPr>
          </w:p>
        </w:tc>
      </w:tr>
      <w:tr>
        <w:trPr>
          <w:trHeight w:val="527"/>
        </w:trPr>
        <w:tc>
          <w:tcPr>
            <w:tcW w:w="800" w:type="dxa"/>
            <w:vAlign w:val="bottom"/>
          </w:tcPr>
          <w:p>
            <w:pPr>
              <w:spacing w:after="0"/>
              <w:rPr>
                <w:sz w:val="24"/>
                <w:szCs w:val="24"/>
                <w:color w:val="auto"/>
              </w:rPr>
            </w:pPr>
          </w:p>
        </w:tc>
        <w:tc>
          <w:tcPr>
            <w:tcW w:w="9000" w:type="dxa"/>
            <w:vAlign w:val="bottom"/>
          </w:tcPr>
          <w:p>
            <w:pPr>
              <w:ind w:left="180"/>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SIGNATURES</w:t>
              </w:r>
            </w:hyperlink>
          </w:p>
        </w:tc>
        <w:tc>
          <w:tcPr>
            <w:tcW w:w="1160" w:type="dxa"/>
            <w:vAlign w:val="bottom"/>
            <w:gridSpan w:val="2"/>
          </w:tcPr>
          <w:p>
            <w:pPr>
              <w:jc w:val="center"/>
              <w:ind w:left="859"/>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63</w:t>
              </w:r>
            </w:hyperlink>
          </w:p>
        </w:tc>
        <w:tc>
          <w:tcPr>
            <w:tcW w:w="280" w:type="dxa"/>
            <w:vAlign w:val="bottom"/>
          </w:tcPr>
          <w:p>
            <w:pPr>
              <w:spacing w:after="0"/>
              <w:rPr>
                <w:sz w:val="24"/>
                <w:szCs w:val="24"/>
                <w:color w:val="auto"/>
              </w:rPr>
            </w:pPr>
          </w:p>
        </w:tc>
      </w:tr>
      <w:tr>
        <w:trPr>
          <w:trHeight w:val="181"/>
        </w:trPr>
        <w:tc>
          <w:tcPr>
            <w:tcW w:w="800" w:type="dxa"/>
            <w:vAlign w:val="bottom"/>
          </w:tcPr>
          <w:p>
            <w:pPr>
              <w:spacing w:after="0"/>
              <w:rPr>
                <w:sz w:val="15"/>
                <w:szCs w:val="15"/>
                <w:color w:val="auto"/>
              </w:rPr>
            </w:pPr>
          </w:p>
        </w:tc>
        <w:tc>
          <w:tcPr>
            <w:tcW w:w="9000" w:type="dxa"/>
            <w:vAlign w:val="bottom"/>
          </w:tcPr>
          <w:p>
            <w:pPr>
              <w:ind w:left="180"/>
              <w:spacing w:after="0" w:line="181" w:lineRule="exact"/>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INDEX TO FINANCIAL STATEMENTS</w:t>
              </w:r>
            </w:hyperlink>
          </w:p>
        </w:tc>
        <w:tc>
          <w:tcPr>
            <w:tcW w:w="920" w:type="dxa"/>
            <w:vAlign w:val="bottom"/>
          </w:tcPr>
          <w:p>
            <w:pPr>
              <w:spacing w:after="0"/>
              <w:rPr>
                <w:sz w:val="15"/>
                <w:szCs w:val="15"/>
                <w:color w:val="auto"/>
              </w:rPr>
            </w:pPr>
          </w:p>
        </w:tc>
        <w:tc>
          <w:tcPr>
            <w:tcW w:w="520" w:type="dxa"/>
            <w:vAlign w:val="bottom"/>
            <w:gridSpan w:val="2"/>
          </w:tcPr>
          <w:p>
            <w:pPr>
              <w:jc w:val="center"/>
              <w:ind w:right="280"/>
              <w:spacing w:after="0" w:line="181" w:lineRule="exact"/>
              <w:rPr>
                <w:rFonts w:ascii="Arial" w:cs="Arial" w:eastAsia="Arial" w:hAnsi="Arial"/>
                <w:sz w:val="16"/>
                <w:szCs w:val="16"/>
                <w:color w:val="0000FF"/>
                <w:w w:val="99"/>
              </w:rPr>
            </w:pPr>
            <w:hyperlink w:anchor="page68">
              <w:r>
                <w:rPr>
                  <w:rFonts w:ascii="Arial" w:cs="Arial" w:eastAsia="Arial" w:hAnsi="Arial"/>
                  <w:sz w:val="16"/>
                  <w:szCs w:val="16"/>
                  <w:color w:val="0000FF"/>
                  <w:w w:val="99"/>
                </w:rPr>
                <w:t>F-1</w:t>
              </w:r>
            </w:hyperlink>
          </w:p>
        </w:tc>
      </w:tr>
      <w:tr>
        <w:trPr>
          <w:trHeight w:val="20"/>
        </w:trPr>
        <w:tc>
          <w:tcPr>
            <w:tcW w:w="8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and deliver a 22% lower LCOE than projects that use “fixed tilt” mounting systems, which do not move, according to BloombergNEF. Trackers represent between 10% and 15% of the cost of constructing a ground-mounted solar energy project, and approximately 70% of all ground-mounted solar energy projects constructed in the U.S. during 2019 utilized trackers according to BloombergNEF and IHS Markit, respectively.</w:t>
      </w:r>
    </w:p>
    <w:p>
      <w:pPr>
        <w:spacing w:after="0" w:line="24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6"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We sell our products to engineering, procurement and construction firms (“EPCs”) that build solar energy projects and to large solar developers, independent power producers and utilities, often under master supply agreements or multi-year procurement contracts. Our largest customers are EPCs that construct multiple projects for many different end customers who often directly influence or make the decision to use our products. For example, our largest customer in 2019 was an EPC that represented 17% of our sales, but the trackers it purchased were used in 15 different solar projects with five different owners.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Demand for ground-mounting systems is driven by installations of new ground-mounted solar energy projects. Demand for our products and our competitors’ products is a function of the percentage of those new installations that use trackers as opposed to fixed-tilt mounting systems. Historically, we have derived the majority of our revenues from the sale of trackers used in solar energy projects located in the U.S. For example, in 2020, we derived 92% and 8% of our revenues from customers in the U.S. and rest of the world,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We are a U.S. company and our headquarters and principal manufacturing facility are in Albuquerque, New Mexico.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Our Human Capital Management</w:t>
      </w:r>
    </w:p>
    <w:p>
      <w:pPr>
        <w:spacing w:after="0" w:line="24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believe our success depends on our ability to attract and retain outstanding employees at all levels of our business. As of December 31, 2020, we had 389 full-time employees, of which approximately 96% are located in the U.S., with the balance located in Europe, Latin America, and Asia. None of our employees are represented by a labor union. We have not experienced any employment-related work stoppages, and we consider relations with our employees to be good. During the COVID-19 pandemic, we have implemented procedures to reduce the risk of spreading the virus and have implemented an hourly incentive for employees that work in our manufacturing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w:t>
      </w:r>
    </w:p>
    <w:p>
      <w:pPr>
        <w:spacing w:after="0" w:line="22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225" w:lineRule="exact"/>
        <w:rPr>
          <w:sz w:val="20"/>
          <w:szCs w:val="20"/>
          <w:color w:val="auto"/>
        </w:rPr>
      </w:pPr>
    </w:p>
    <w:p>
      <w:pPr>
        <w:jc w:val="both"/>
        <w:ind w:right="380"/>
        <w:spacing w:after="0" w:line="232" w:lineRule="auto"/>
        <w:rPr>
          <w:sz w:val="20"/>
          <w:szCs w:val="20"/>
          <w:color w:val="auto"/>
        </w:rPr>
      </w:pPr>
      <w:r>
        <w:rPr>
          <w:rFonts w:ascii="Arial" w:cs="Arial" w:eastAsia="Arial" w:hAnsi="Arial"/>
          <w:sz w:val="20"/>
          <w:szCs w:val="20"/>
          <w:color w:val="auto"/>
        </w:rPr>
        <w:t>We aim to hire individuals who share our passion, commitment and entrepreneurial spirit. We are also committed to diversity and inclusion because we believe that diversity leads to better outcomes for our business and enables us to better meet the needs of our customers. We recognize the importance of diversity in leadership roles within our company.</w:t>
      </w:r>
    </w:p>
    <w:p>
      <w:pPr>
        <w:spacing w:after="0" w:line="224" w:lineRule="exact"/>
        <w:rPr>
          <w:sz w:val="20"/>
          <w:szCs w:val="20"/>
          <w:color w:val="auto"/>
        </w:rPr>
      </w:pPr>
    </w:p>
    <w:p>
      <w:pPr>
        <w:jc w:val="both"/>
        <w:ind w:right="200"/>
        <w:spacing w:after="0" w:line="232" w:lineRule="auto"/>
        <w:rPr>
          <w:sz w:val="20"/>
          <w:szCs w:val="20"/>
          <w:color w:val="auto"/>
        </w:rPr>
      </w:pPr>
      <w:r>
        <w:rPr>
          <w:rFonts w:ascii="Arial" w:cs="Arial" w:eastAsia="Arial" w:hAnsi="Arial"/>
          <w:sz w:val="20"/>
          <w:szCs w:val="20"/>
          <w:color w:val="auto"/>
        </w:rPr>
        <w:t>We believe that all accidents and injuries at work are preventable and we aim to ensure a zero-injury culture across our offices and operations. We comply with applicable occupational health and safety regulations and are certified to Occupational Health and Safety Quality Management Standard ISO 9001. Our injury rates are low.</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Strengths</w:t>
      </w:r>
    </w:p>
    <w:p>
      <w:pPr>
        <w:spacing w:after="0" w:line="280"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color w:val="auto"/>
        </w:rPr>
        <w:t>We believe the following strengths of our business position us to capitalize on continued growth in the solar energy market, reinforce our leadership position in the mounting systems market and distinguish us from our competitors:</w:t>
      </w:r>
    </w:p>
    <w:p>
      <w:pPr>
        <w:spacing w:after="0" w:line="205" w:lineRule="exact"/>
        <w:rPr>
          <w:sz w:val="20"/>
          <w:szCs w:val="20"/>
          <w:color w:val="auto"/>
        </w:rPr>
      </w:pPr>
    </w:p>
    <w:p>
      <w:pPr>
        <w:ind w:left="660" w:hanging="328"/>
        <w:spacing w:after="0" w:line="2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Direct beneficiary of the global energy transition. </w:t>
      </w:r>
      <w:r>
        <w:rPr>
          <w:rFonts w:ascii="Arial" w:cs="Arial" w:eastAsia="Arial" w:hAnsi="Arial"/>
          <w:sz w:val="20"/>
          <w:szCs w:val="20"/>
          <w:color w:val="auto"/>
        </w:rPr>
        <w:t>Nations are rapidly moving to decarbonize their economies in order</w:t>
      </w:r>
      <w:r>
        <w:rPr>
          <w:rFonts w:ascii="Arial" w:cs="Arial" w:eastAsia="Arial" w:hAnsi="Arial"/>
          <w:sz w:val="20"/>
          <w:szCs w:val="20"/>
          <w:b w:val="1"/>
          <w:bCs w:val="1"/>
          <w:color w:val="auto"/>
        </w:rPr>
        <w:t xml:space="preserve"> </w:t>
      </w:r>
      <w:r>
        <w:rPr>
          <w:rFonts w:ascii="Arial" w:cs="Arial" w:eastAsia="Arial" w:hAnsi="Arial"/>
          <w:sz w:val="20"/>
          <w:szCs w:val="20"/>
          <w:color w:val="auto"/>
        </w:rPr>
        <w:t>to reduce air pollution and fight climate change. A key element of decarbonizing the global economy is transitioning electricity generation from fossil fuels to renewable energy. Solar energy has become one of the lowest cost, most reliable and most flexible forms of renewable energy generation and is becoming a preferred option for electricity generation worldwide. As a leading provider of ground-mounting systems for solar energy projects, we benefit directly from the global transition to renewable energy through growing demand for our products. We estimate that approximately 15% of the future spending on ground-mounted solar energy projects can be addressed by our products.</w:t>
      </w:r>
    </w:p>
    <w:p>
      <w:pPr>
        <w:spacing w:after="0" w:line="206" w:lineRule="exact"/>
        <w:rPr>
          <w:rFonts w:ascii="Arial" w:cs="Arial" w:eastAsia="Arial" w:hAnsi="Arial"/>
          <w:sz w:val="20"/>
          <w:szCs w:val="20"/>
          <w:color w:val="auto"/>
        </w:rPr>
      </w:pPr>
    </w:p>
    <w:p>
      <w:pPr>
        <w:ind w:left="660" w:right="100" w:hanging="328"/>
        <w:spacing w:after="0" w:line="261"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Products independently verified to deliver the lowest cost of ownership and highest reliability. </w:t>
      </w:r>
      <w:r>
        <w:rPr>
          <w:rFonts w:ascii="Arial" w:cs="Arial" w:eastAsia="Arial" w:hAnsi="Arial"/>
          <w:sz w:val="20"/>
          <w:szCs w:val="20"/>
          <w:color w:val="auto"/>
        </w:rPr>
        <w:t>TÜV Rheinland</w:t>
      </w:r>
      <w:r>
        <w:rPr>
          <w:rFonts w:ascii="Arial" w:cs="Arial" w:eastAsia="Arial" w:hAnsi="Arial"/>
          <w:sz w:val="20"/>
          <w:szCs w:val="20"/>
          <w:b w:val="1"/>
          <w:bCs w:val="1"/>
          <w:color w:val="auto"/>
        </w:rPr>
        <w:t xml:space="preserve"> </w:t>
      </w:r>
      <w:r>
        <w:rPr>
          <w:rFonts w:ascii="Arial" w:cs="Arial" w:eastAsia="Arial" w:hAnsi="Arial"/>
          <w:sz w:val="20"/>
          <w:szCs w:val="20"/>
          <w:color w:val="auto"/>
        </w:rPr>
        <w:t>PTL, found that projects using our tracker system would achieve a 6.7% lower LCOE, 4.5% higher net present value, and 31% lower operations and maintenance cost than projects that used competing single row control architectures. We believe that independent verification of the superior total cost of ownership and higher reliability of our products helps us to attract and retain customers and grow our market share.</w:t>
      </w:r>
    </w:p>
    <w:p>
      <w:pPr>
        <w:spacing w:after="0" w:line="207" w:lineRule="exact"/>
        <w:rPr>
          <w:rFonts w:ascii="Arial" w:cs="Arial" w:eastAsia="Arial" w:hAnsi="Arial"/>
          <w:sz w:val="20"/>
          <w:szCs w:val="20"/>
          <w:b w:val="1"/>
          <w:bCs w:val="1"/>
          <w:color w:val="auto"/>
        </w:rPr>
      </w:pPr>
    </w:p>
    <w:p>
      <w:pPr>
        <w:ind w:left="660" w:right="180" w:hanging="328"/>
        <w:spacing w:after="0" w:line="264"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Panel technology agnostic. </w:t>
      </w:r>
      <w:r>
        <w:rPr>
          <w:rFonts w:ascii="Arial" w:cs="Arial" w:eastAsia="Arial" w:hAnsi="Arial"/>
          <w:sz w:val="20"/>
          <w:szCs w:val="20"/>
          <w:color w:val="auto"/>
        </w:rPr>
        <w:t>All solar panels require mounting systems, and our products are designed to work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types of solar panels. As a result, we do not believe we are exposed to risk from changes in solar panel technology or shifts in market share between different manufacturers of solar panels. As long as there is demand for ground-mounted solar energy projects, we believe there will be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right="160" w:hanging="328"/>
        <w:spacing w:after="0" w:line="269"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Large installed base. </w:t>
      </w:r>
      <w:r>
        <w:rPr>
          <w:rFonts w:ascii="Arial" w:cs="Arial" w:eastAsia="Arial" w:hAnsi="Arial"/>
          <w:sz w:val="20"/>
          <w:szCs w:val="20"/>
          <w:color w:val="auto"/>
        </w:rPr>
        <w:t>We believe the large installed base of our products reinforces the advantages of our trackers for</w:t>
      </w:r>
      <w:r>
        <w:rPr>
          <w:rFonts w:ascii="Arial" w:cs="Arial" w:eastAsia="Arial" w:hAnsi="Arial"/>
          <w:sz w:val="20"/>
          <w:szCs w:val="20"/>
          <w:b w:val="1"/>
          <w:bCs w:val="1"/>
          <w:color w:val="auto"/>
        </w:rPr>
        <w:t xml:space="preserve"> </w:t>
      </w:r>
      <w:r>
        <w:rPr>
          <w:rFonts w:ascii="Arial" w:cs="Arial" w:eastAsia="Arial" w:hAnsi="Arial"/>
          <w:sz w:val="20"/>
          <w:szCs w:val="20"/>
          <w:color w:val="auto"/>
        </w:rPr>
        <w:t>both our customers and their financing sources who value established equipment vendors with long product operating histories.</w:t>
      </w:r>
    </w:p>
    <w:p>
      <w:pPr>
        <w:spacing w:after="0" w:line="198" w:lineRule="exact"/>
        <w:rPr>
          <w:rFonts w:ascii="Arial" w:cs="Arial" w:eastAsia="Arial" w:hAnsi="Arial"/>
          <w:sz w:val="20"/>
          <w:szCs w:val="20"/>
          <w:b w:val="1"/>
          <w:bCs w:val="1"/>
          <w:color w:val="auto"/>
        </w:rPr>
      </w:pPr>
    </w:p>
    <w:p>
      <w:pPr>
        <w:ind w:left="660" w:right="60" w:hanging="328"/>
        <w:spacing w:after="0" w:line="260"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Demonstrated ability to reduce the cost of our products while maintaining profit margins. </w:t>
      </w:r>
      <w:r>
        <w:rPr>
          <w:rFonts w:ascii="Arial" w:cs="Arial" w:eastAsia="Arial" w:hAnsi="Arial"/>
          <w:sz w:val="20"/>
          <w:szCs w:val="20"/>
          <w:color w:val="auto"/>
        </w:rPr>
        <w:t>In order to enhance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competitiveness of our products and increase our margins, we continually work to reduce the cost of our products through innovation and rigorous supply chain management. These efforts have resulted in a reduction in cost of goods sold per watt by approximately 22% from 2017 through 2020. This has allowed us to reduce average selling prices by approximately 22% over the same period, driving significant increases in revenues, while simultaneously increasing gross profits and maintaining gross margins.</w:t>
      </w:r>
    </w:p>
    <w:p>
      <w:pPr>
        <w:spacing w:after="0" w:line="206" w:lineRule="exact"/>
        <w:rPr>
          <w:rFonts w:ascii="Arial" w:cs="Arial" w:eastAsia="Arial" w:hAnsi="Arial"/>
          <w:sz w:val="20"/>
          <w:szCs w:val="20"/>
          <w:b w:val="1"/>
          <w:bCs w:val="1"/>
          <w:color w:val="auto"/>
        </w:rPr>
      </w:pPr>
    </w:p>
    <w:p>
      <w:pPr>
        <w:ind w:left="660" w:right="20" w:hanging="328"/>
        <w:spacing w:after="0" w:line="260"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Experienced engineering team with a track record of continuous innovation. </w:t>
      </w:r>
      <w:r>
        <w:rPr>
          <w:rFonts w:ascii="Arial" w:cs="Arial" w:eastAsia="Arial" w:hAnsi="Arial"/>
          <w:sz w:val="20"/>
          <w:szCs w:val="20"/>
          <w:color w:val="auto"/>
        </w:rPr>
        <w:t>We have successfully introduced</w:t>
      </w:r>
      <w:r>
        <w:rPr>
          <w:rFonts w:ascii="Arial" w:cs="Arial" w:eastAsia="Arial" w:hAnsi="Arial"/>
          <w:sz w:val="20"/>
          <w:szCs w:val="20"/>
          <w:b w:val="1"/>
          <w:bCs w:val="1"/>
          <w:color w:val="auto"/>
        </w:rPr>
        <w:t xml:space="preserve"> </w:t>
      </w:r>
      <w:r>
        <w:rPr>
          <w:rFonts w:ascii="Arial" w:cs="Arial" w:eastAsia="Arial" w:hAnsi="Arial"/>
          <w:sz w:val="20"/>
          <w:szCs w:val="20"/>
          <w:color w:val="auto"/>
        </w:rPr>
        <w:t>three generations of trackers. We believe each new version has delivered significant improvements in performance, reliability and total cost of ownership. As of December 31, 2020, approximately 26% of our salaried employees were engineers with expertise in software, electronics, material science, structural mechanics and civil engineering. We believe that our engineering expertise will enable us to continually improve the functionality and reliability of our products while reducing their cost.</w:t>
      </w:r>
    </w:p>
    <w:p>
      <w:pPr>
        <w:spacing w:after="0" w:line="206" w:lineRule="exact"/>
        <w:rPr>
          <w:rFonts w:ascii="Arial" w:cs="Arial" w:eastAsia="Arial" w:hAnsi="Arial"/>
          <w:sz w:val="20"/>
          <w:szCs w:val="20"/>
          <w:b w:val="1"/>
          <w:bCs w:val="1"/>
          <w:color w:val="auto"/>
        </w:rPr>
      </w:pPr>
    </w:p>
    <w:p>
      <w:pPr>
        <w:ind w:left="660" w:hanging="328"/>
        <w:spacing w:after="0" w:line="256"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Intellectual property and trade secrets portfolio. </w:t>
      </w:r>
      <w:r>
        <w:rPr>
          <w:rFonts w:ascii="Arial" w:cs="Arial" w:eastAsia="Arial" w:hAnsi="Arial"/>
          <w:sz w:val="20"/>
          <w:szCs w:val="20"/>
          <w:color w:val="auto"/>
        </w:rPr>
        <w:t>We maintain a portfolio of intellectual property and trade secrets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our projects and business processes. Our core U.S. patent on a linked-row, rotating gear drive tracker (U.S. Patent No. 8,459,249) has also been issued in a number of other jurisdictions, including Australia, Chile, Germany, the European Patent Office, Spain, France and the U.K. We have also been granted six additional U.S. patents generally covering, among other things, technologies related to panel clamps/brackets,utilizing torque limiters to reduce hinge moment forces, and clearing obstructions. These additional patents have also been issued in a number of jurisdictions and are pending in others around the world. We have obtained trademark protection in the standard character marks “DuraRack” and “DuraTrack,” both of which are on the U.S. principal register and relate to our tracking products. We also utilize many common law trademarks. We have brought successful actions against competitors who have infringed on our intellectual property and our core U.S. patent was recently upheld in an inter partes review by the U.S. Patent and Trademark Office. In addition to our patents, we maintain a portfolio of trade secrets relating to, among other things, our pricing strategies, cost structures, sales pipelines and unpatented technology.</w:t>
      </w:r>
    </w:p>
    <w:p>
      <w:pPr>
        <w:spacing w:after="0" w:line="215" w:lineRule="exact"/>
        <w:rPr>
          <w:rFonts w:ascii="Arial" w:cs="Arial" w:eastAsia="Arial" w:hAnsi="Arial"/>
          <w:sz w:val="20"/>
          <w:szCs w:val="20"/>
          <w:b w:val="1"/>
          <w:bCs w:val="1"/>
          <w:color w:val="auto"/>
        </w:rPr>
      </w:pPr>
    </w:p>
    <w:p>
      <w:pPr>
        <w:ind w:left="660" w:right="160" w:hanging="328"/>
        <w:spacing w:after="0" w:line="259"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Highly scalable manufacturing with low capital intensity. </w:t>
      </w:r>
      <w:r>
        <w:rPr>
          <w:rFonts w:ascii="Arial" w:cs="Arial" w:eastAsia="Arial" w:hAnsi="Arial"/>
          <w:sz w:val="20"/>
          <w:szCs w:val="20"/>
          <w:color w:val="auto"/>
        </w:rPr>
        <w:t>We are an engineering and technology centric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with an assembly-focused manufacturing model. Approximately 80% of our cost of goods sold consists of purchased components, including motors, gearboxes, electronic controllers and steel tubing that we source from third-party suppliers. The remainder of our cost of goods sold is primarily labor to fabricate and assemble certain specialized parts of our system. As a result, our business requires minimal capital investment and generates significant cash flow, which has allowed us to make investments in research and development, repay debt and make distributions to our stockholders.</w:t>
      </w:r>
    </w:p>
    <w:p>
      <w:pPr>
        <w:spacing w:after="0" w:line="206" w:lineRule="exact"/>
        <w:rPr>
          <w:rFonts w:ascii="Arial" w:cs="Arial" w:eastAsia="Arial" w:hAnsi="Arial"/>
          <w:sz w:val="20"/>
          <w:szCs w:val="20"/>
          <w:b w:val="1"/>
          <w:bCs w:val="1"/>
          <w:color w:val="auto"/>
        </w:rPr>
      </w:pPr>
    </w:p>
    <w:p>
      <w:pPr>
        <w:ind w:left="660" w:right="160" w:hanging="328"/>
        <w:spacing w:after="0" w:line="261"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Rigorous supply chain management supported by a sophisticated ERP system. </w:t>
      </w:r>
      <w:r>
        <w:rPr>
          <w:rFonts w:ascii="Arial" w:cs="Arial" w:eastAsia="Arial" w:hAnsi="Arial"/>
          <w:sz w:val="20"/>
          <w:szCs w:val="20"/>
          <w:color w:val="auto"/>
        </w:rPr>
        <w:t>We have made substantial</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investments in our systems and supply chain designed to minimize material movement, working capital investment and costs of goods sold while enabling us to rapidly deliver large volumes of our products to project sites around the world. To minimize material movement and working capital investment, we typically ship purchased components representing more than 70% of our cost of goods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100"/>
        <w:spacing w:after="0" w:line="256" w:lineRule="auto"/>
        <w:rPr>
          <w:sz w:val="20"/>
          <w:szCs w:val="20"/>
          <w:color w:val="auto"/>
        </w:rPr>
      </w:pPr>
      <w:r>
        <w:rPr>
          <w:rFonts w:ascii="Arial" w:cs="Arial" w:eastAsia="Arial" w:hAnsi="Arial"/>
          <w:sz w:val="20"/>
          <w:szCs w:val="20"/>
          <w:color w:val="auto"/>
        </w:rPr>
        <w:t>sold directly from our suppliers to our customers’ sites. To lower our cost of goods sold, we employ components that are mass produced and widely available to maintain security of supply and to benefit from existing economies of scale. In addition, we believe the large volume of purchases that we make afford us preferential pricing and terms from our suppliers, which creates a competitive advantage.</w:t>
      </w:r>
    </w:p>
    <w:p>
      <w:pPr>
        <w:spacing w:after="0" w:line="210" w:lineRule="exact"/>
        <w:rPr>
          <w:sz w:val="20"/>
          <w:szCs w:val="20"/>
          <w:color w:val="auto"/>
        </w:rPr>
      </w:pPr>
    </w:p>
    <w:p>
      <w:pPr>
        <w:ind w:left="660" w:right="280" w:hanging="328"/>
        <w:spacing w:after="0" w:line="264"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 operations that reduce the potential impact of trade tariffs. </w:t>
      </w:r>
      <w:r>
        <w:rPr>
          <w:rFonts w:ascii="Arial" w:cs="Arial" w:eastAsia="Arial" w:hAnsi="Arial"/>
          <w:sz w:val="20"/>
          <w:szCs w:val="20"/>
          <w:color w:val="auto"/>
        </w:rPr>
        <w:t>We are a U.S. company and our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operations and manufacturing facility are in Albuquerque, New Mexico. We believe our status as a U.S. company with U.S. manufacturing reduces the potential impact of U.S. government tariffs placed on, or other U.S. government regulatory actions taken against, products manufactured in foreign countries.</w:t>
      </w:r>
    </w:p>
    <w:p>
      <w:pPr>
        <w:spacing w:after="0" w:line="203" w:lineRule="exact"/>
        <w:rPr>
          <w:rFonts w:ascii="Arial" w:cs="Arial" w:eastAsia="Arial" w:hAnsi="Arial"/>
          <w:sz w:val="20"/>
          <w:szCs w:val="20"/>
          <w:b w:val="1"/>
          <w:bCs w:val="1"/>
          <w:color w:val="auto"/>
        </w:rPr>
      </w:pPr>
    </w:p>
    <w:p>
      <w:pPr>
        <w:ind w:left="660" w:right="60" w:hanging="328"/>
        <w:spacing w:after="0" w:line="260"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Adherence to ESG principles. </w:t>
      </w:r>
      <w:r>
        <w:rPr>
          <w:rFonts w:ascii="Arial" w:cs="Arial" w:eastAsia="Arial" w:hAnsi="Arial"/>
          <w:sz w:val="20"/>
          <w:szCs w:val="20"/>
          <w:color w:val="auto"/>
        </w:rPr>
        <w:t>We believe that our impact on the environment; how we manage our relationships with</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suppliers, customers and the communities where we operate; and the accountability of our leadership to our stockholders are critically important to our business. We plan to report how we oversee and manage ESG factors material to our business under the GRI, which maintains a public database for governments and businesses to communicate their impacts on climate change, human rights and corruption. As a part of our plan to provide ESG disclosures pursuant to GRI, we will describe how our business contributes to certain UN SDGs.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80"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Our mission is to leverage our technology, people and processes to deliver solutions for the new energy economy that improve the performance, increase the reliability and reduce the cost of renewable energy. Key elements of our strategy include:</w:t>
      </w:r>
    </w:p>
    <w:p>
      <w:pPr>
        <w:spacing w:after="0" w:line="182" w:lineRule="exact"/>
        <w:rPr>
          <w:sz w:val="20"/>
          <w:szCs w:val="20"/>
          <w:color w:val="auto"/>
        </w:rPr>
      </w:pPr>
    </w:p>
    <w:p>
      <w:pPr>
        <w:ind w:left="660" w:hanging="328"/>
        <w:spacing w:after="0" w:line="261"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Delivering product innovations that will convert more customers to our products. </w:t>
      </w:r>
      <w:r>
        <w:rPr>
          <w:rFonts w:ascii="Arial" w:cs="Arial" w:eastAsia="Arial" w:hAnsi="Arial"/>
          <w:sz w:val="20"/>
          <w:szCs w:val="20"/>
          <w:color w:val="auto"/>
        </w:rPr>
        <w:t>We believe we have a long track</w:t>
      </w:r>
      <w:r>
        <w:rPr>
          <w:rFonts w:ascii="Arial" w:cs="Arial" w:eastAsia="Arial" w:hAnsi="Arial"/>
          <w:sz w:val="20"/>
          <w:szCs w:val="20"/>
          <w:b w:val="1"/>
          <w:bCs w:val="1"/>
          <w:color w:val="auto"/>
        </w:rPr>
        <w:t xml:space="preserve"> </w:t>
      </w:r>
      <w:r>
        <w:rPr>
          <w:rFonts w:ascii="Arial" w:cs="Arial" w:eastAsia="Arial" w:hAnsi="Arial"/>
          <w:sz w:val="20"/>
          <w:szCs w:val="20"/>
          <w:color w:val="auto"/>
        </w:rPr>
        <w:t>record of delivering innovative products that lower our customers’ LCOE while maintaining high reliability. Our strategy is to grow our market share by reducing the manufacturing, installation and ownership cost of our products through improved design, performance and cost. We are currently developing the next generation of our DuraTrack system which we believe will deliver significant improvements in all of these areas.</w:t>
      </w:r>
    </w:p>
    <w:p>
      <w:pPr>
        <w:spacing w:after="0" w:line="207" w:lineRule="exact"/>
        <w:rPr>
          <w:rFonts w:ascii="Arial" w:cs="Arial" w:eastAsia="Arial" w:hAnsi="Arial"/>
          <w:sz w:val="20"/>
          <w:szCs w:val="20"/>
          <w:b w:val="1"/>
          <w:bCs w:val="1"/>
          <w:color w:val="auto"/>
        </w:rPr>
      </w:pPr>
    </w:p>
    <w:p>
      <w:pPr>
        <w:ind w:left="660" w:hanging="328"/>
        <w:spacing w:after="0" w:line="264"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Leveraging our global supply chain and economies of scale to reduce product cost. </w:t>
      </w:r>
      <w:r>
        <w:rPr>
          <w:rFonts w:ascii="Arial" w:cs="Arial" w:eastAsia="Arial" w:hAnsi="Arial"/>
          <w:sz w:val="20"/>
          <w:szCs w:val="20"/>
          <w:color w:val="auto"/>
        </w:rPr>
        <w:t>Purchased components are</w:t>
      </w:r>
      <w:r>
        <w:rPr>
          <w:rFonts w:ascii="Arial" w:cs="Arial" w:eastAsia="Arial" w:hAnsi="Arial"/>
          <w:sz w:val="20"/>
          <w:szCs w:val="20"/>
          <w:b w:val="1"/>
          <w:bCs w:val="1"/>
          <w:color w:val="auto"/>
        </w:rPr>
        <w:t xml:space="preserve"> </w:t>
      </w:r>
      <w:r>
        <w:rPr>
          <w:rFonts w:ascii="Arial" w:cs="Arial" w:eastAsia="Arial" w:hAnsi="Arial"/>
          <w:sz w:val="20"/>
          <w:szCs w:val="20"/>
          <w:color w:val="auto"/>
        </w:rPr>
        <w:t>the largest contributor to our cost of goods sold. Our strategy is to continually reduce our cost of goods sold by leveraging the large volumes of materials and components we purchase against multiple, qualified suppliers to obtain the best price and terms while ensuring availability of inputs and mitigating the risk of supply chain disruptions.</w:t>
      </w:r>
    </w:p>
    <w:p>
      <w:pPr>
        <w:spacing w:after="0" w:line="203" w:lineRule="exact"/>
        <w:rPr>
          <w:rFonts w:ascii="Arial" w:cs="Arial" w:eastAsia="Arial" w:hAnsi="Arial"/>
          <w:sz w:val="20"/>
          <w:szCs w:val="20"/>
          <w:b w:val="1"/>
          <w:bCs w:val="1"/>
          <w:color w:val="auto"/>
        </w:rPr>
      </w:pPr>
    </w:p>
    <w:p>
      <w:pPr>
        <w:ind w:left="660" w:hanging="328"/>
        <w:spacing w:after="0" w:line="257"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Growing our international business. </w:t>
      </w:r>
      <w:r>
        <w:rPr>
          <w:rFonts w:ascii="Arial" w:cs="Arial" w:eastAsia="Arial" w:hAnsi="Arial"/>
          <w:sz w:val="20"/>
          <w:szCs w:val="20"/>
          <w:color w:val="auto"/>
        </w:rPr>
        <w:t>Excluding China, the international market for ground-mounting systems for solar</w:t>
      </w:r>
      <w:r>
        <w:rPr>
          <w:rFonts w:ascii="Arial" w:cs="Arial" w:eastAsia="Arial" w:hAnsi="Arial"/>
          <w:sz w:val="20"/>
          <w:szCs w:val="20"/>
          <w:b w:val="1"/>
          <w:bCs w:val="1"/>
          <w:color w:val="auto"/>
        </w:rPr>
        <w:t xml:space="preserve"> </w:t>
      </w:r>
      <w:r>
        <w:rPr>
          <w:rFonts w:ascii="Arial" w:cs="Arial" w:eastAsia="Arial" w:hAnsi="Arial"/>
          <w:sz w:val="20"/>
          <w:szCs w:val="20"/>
          <w:color w:val="auto"/>
        </w:rPr>
        <w:t>energy projects was more than four times larger than the U.S. market in 2019 according to IHS Markit. From 2014 to 2019, annual installations of ground-mounted solar generation capacity outside of the U.S. and China grew at a compound annual growth rate of 35% according to IHS Markit. While our historical focus has primarily been the U.S. given the size and attractiveness of that market, we have recently made investments in our international sales capability and supply chain to secure and deliver on orders globally. We believe that the share of international solar energy projects that use trackers has the potential to increase to the same level as the U.S. because trackers deliver the same benefits outside the U.S. as they do in the U.S. Components of our international growth strategy include leveraging our relationships with existing customers, many who develop and construct projects globally; marketing region-specific products tailored to the unique needs of particular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220"/>
        <w:spacing w:after="0" w:line="257" w:lineRule="auto"/>
        <w:rPr>
          <w:sz w:val="20"/>
          <w:szCs w:val="20"/>
          <w:color w:val="auto"/>
        </w:rPr>
      </w:pPr>
      <w:r>
        <w:rPr>
          <w:rFonts w:ascii="Arial" w:cs="Arial" w:eastAsia="Arial" w:hAnsi="Arial"/>
          <w:sz w:val="20"/>
          <w:szCs w:val="20"/>
          <w:color w:val="auto"/>
        </w:rPr>
        <w:t>geographies;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spacing w:after="0" w:line="209" w:lineRule="exact"/>
        <w:rPr>
          <w:sz w:val="20"/>
          <w:szCs w:val="20"/>
          <w:color w:val="auto"/>
        </w:rPr>
      </w:pPr>
    </w:p>
    <w:p>
      <w:pPr>
        <w:ind w:left="660" w:hanging="328"/>
        <w:spacing w:after="0" w:line="261" w:lineRule="auto"/>
        <w:tabs>
          <w:tab w:leader="none" w:pos="64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Creating new revenue streams that leverage our large installed base. </w:t>
      </w:r>
      <w:r>
        <w:rPr>
          <w:rFonts w:ascii="Arial" w:cs="Arial" w:eastAsia="Arial" w:hAnsi="Arial"/>
          <w:sz w:val="20"/>
          <w:szCs w:val="20"/>
          <w:color w:val="auto"/>
        </w:rPr>
        <w:t>We believe that the significant and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growth in our installed base creates opportunities to sell products, software and services related to our tracker systems. Our strategy is to introduce a targeted set of offerings over time, including hardware and software upgrades and retrofits, as well as preventative maintenance and extended warranty plans that we believe can generate high margin, recurring revenues.</w:t>
      </w:r>
    </w:p>
    <w:p>
      <w:pPr>
        <w:spacing w:after="0" w:line="207" w:lineRule="exact"/>
        <w:rPr>
          <w:rFonts w:ascii="Arial" w:cs="Arial" w:eastAsia="Arial" w:hAnsi="Arial"/>
          <w:sz w:val="20"/>
          <w:szCs w:val="20"/>
          <w:b w:val="1"/>
          <w:bCs w:val="1"/>
          <w:color w:val="auto"/>
        </w:rPr>
      </w:pPr>
    </w:p>
    <w:p>
      <w:pPr>
        <w:ind w:left="660" w:right="380" w:hanging="328"/>
        <w:spacing w:after="0" w:line="259" w:lineRule="auto"/>
        <w:tabs>
          <w:tab w:leader="none" w:pos="64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Expanding into related products and services in adjacent markets organically or through acquisition. </w:t>
      </w:r>
      <w:r>
        <w:rPr>
          <w:rFonts w:ascii="Arial" w:cs="Arial" w:eastAsia="Arial" w:hAnsi="Arial"/>
          <w:sz w:val="20"/>
          <w:szCs w:val="20"/>
          <w:color w:val="auto"/>
        </w:rPr>
        <w:t>Our</w:t>
      </w:r>
      <w:r>
        <w:rPr>
          <w:rFonts w:ascii="Arial" w:cs="Arial" w:eastAsia="Arial" w:hAnsi="Arial"/>
          <w:sz w:val="20"/>
          <w:szCs w:val="20"/>
          <w:b w:val="1"/>
          <w:bCs w:val="1"/>
          <w:color w:val="auto"/>
        </w:rPr>
        <w:t xml:space="preserve"> </w:t>
      </w:r>
      <w:r>
        <w:rPr>
          <w:rFonts w:ascii="Arial" w:cs="Arial" w:eastAsia="Arial" w:hAnsi="Arial"/>
          <w:sz w:val="20"/>
          <w:szCs w:val="20"/>
          <w:color w:val="auto"/>
        </w:rPr>
        <w:t>strategy is to leverage our engineering capabilities, supply chain, sales and marketing resources, and customer relationships to expand our business into products and services for adjacent markets. We are currently evaluating markets for related products that are used in solar energy projects, but that we do not currently supply, including foundations and electrical balance of system components, as well as other types of mounting and support structures used in electrical infrastructure. We may enter these markets by developing new products organically or through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Tracker System</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Large-scale solar energy projects are typically laid out in successive “rows” that form an “array.” An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patented single-axis tracker systems that use one electric motor to drive the rotation of multiple rows through articulated driveline joints, require only a single bolt clamp to attach solar panels and automatically stow in high wind conditions. We refer to our design as the “DuraTrack”system. We believe our DuraTrack system has significant advantages, including:</w:t>
      </w:r>
    </w:p>
    <w:p>
      <w:pPr>
        <w:spacing w:after="0" w:line="216" w:lineRule="exact"/>
        <w:rPr>
          <w:sz w:val="20"/>
          <w:szCs w:val="20"/>
          <w:color w:val="auto"/>
        </w:rPr>
      </w:pPr>
    </w:p>
    <w:p>
      <w:pPr>
        <w:ind w:left="660" w:right="60" w:hanging="328"/>
        <w:spacing w:after="0" w:line="278" w:lineRule="auto"/>
        <w:tabs>
          <w:tab w:leader="none" w:pos="648"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Requiring fewer motors per megawatt than competing products. </w:t>
      </w:r>
      <w:r>
        <w:rPr>
          <w:rFonts w:ascii="Arial" w:cs="Arial" w:eastAsia="Arial" w:hAnsi="Arial"/>
          <w:sz w:val="19"/>
          <w:szCs w:val="19"/>
          <w:color w:val="auto"/>
        </w:rPr>
        <w:t>Our tracker system uses less than one motor per</w:t>
      </w:r>
      <w:r>
        <w:rPr>
          <w:rFonts w:ascii="Arial" w:cs="Arial" w:eastAsia="Arial" w:hAnsi="Arial"/>
          <w:sz w:val="19"/>
          <w:szCs w:val="19"/>
          <w:b w:val="1"/>
          <w:bCs w:val="1"/>
          <w:color w:val="auto"/>
        </w:rPr>
        <w:t xml:space="preserve"> </w:t>
      </w:r>
      <w:r>
        <w:rPr>
          <w:rFonts w:ascii="Arial" w:cs="Arial" w:eastAsia="Arial" w:hAnsi="Arial"/>
          <w:sz w:val="19"/>
          <w:szCs w:val="19"/>
          <w:color w:val="auto"/>
        </w:rPr>
        <w:t>megawatt which compares with more than 25 motors per megawatt for our largest competitor. Using fewer motors per megawatt lowers the cost, reduces the number of failure points, and minimizes the maintenance requirements of our system. Fewer motors per megawatt also reduces the number of motor controllers and the amount of wiring and other ancillary parts that are required for the system, which further reduces cost, simplifies installation and improves reliability.</w:t>
      </w:r>
    </w:p>
    <w:p>
      <w:pPr>
        <w:spacing w:after="0" w:line="192" w:lineRule="exact"/>
        <w:rPr>
          <w:rFonts w:ascii="Arial" w:cs="Arial" w:eastAsia="Arial" w:hAnsi="Arial"/>
          <w:sz w:val="19"/>
          <w:szCs w:val="19"/>
          <w:b w:val="1"/>
          <w:bCs w:val="1"/>
          <w:color w:val="auto"/>
        </w:rPr>
      </w:pPr>
    </w:p>
    <w:p>
      <w:pPr>
        <w:ind w:left="660" w:right="140" w:hanging="328"/>
        <w:spacing w:after="0" w:line="261" w:lineRule="auto"/>
        <w:tabs>
          <w:tab w:leader="none" w:pos="648"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Creating site design flexibility. </w:t>
      </w:r>
      <w:r>
        <w:rPr>
          <w:rFonts w:ascii="Arial" w:cs="Arial" w:eastAsia="Arial" w:hAnsi="Arial"/>
          <w:sz w:val="20"/>
          <w:szCs w:val="20"/>
          <w:color w:val="auto"/>
        </w:rPr>
        <w:t>Our drive-shaft joints articulate, which allows successive rows in the array to be offset</w:t>
      </w:r>
      <w:r>
        <w:rPr>
          <w:rFonts w:ascii="Arial" w:cs="Arial" w:eastAsia="Arial" w:hAnsi="Arial"/>
          <w:sz w:val="20"/>
          <w:szCs w:val="20"/>
          <w:b w:val="1"/>
          <w:bCs w:val="1"/>
          <w:color w:val="auto"/>
        </w:rPr>
        <w:t xml:space="preserve"> </w:t>
      </w:r>
      <w:r>
        <w:rPr>
          <w:rFonts w:ascii="Arial" w:cs="Arial" w:eastAsia="Arial" w:hAnsi="Arial"/>
          <w:sz w:val="20"/>
          <w:szCs w:val="20"/>
          <w:color w:val="auto"/>
        </w:rPr>
        <w:t>by a combined angle of up to 40 degrees horizontally or vertically and accommodates up to a 26% grade. The ability to offset rows allows our customers to accommodate undulating terrain and irregular site boundaries without the need for extensive grading. We estimate that eliminating grading reduces construction costs by $0.01 to $0.07 per watt of installed capacity, maximizes the use of available land and helps preserve the site environment.</w:t>
      </w:r>
    </w:p>
    <w:p>
      <w:pPr>
        <w:spacing w:after="0" w:line="207" w:lineRule="exact"/>
        <w:rPr>
          <w:rFonts w:ascii="Arial" w:cs="Arial" w:eastAsia="Arial" w:hAnsi="Arial"/>
          <w:sz w:val="20"/>
          <w:szCs w:val="20"/>
          <w:b w:val="1"/>
          <w:bCs w:val="1"/>
          <w:color w:val="auto"/>
        </w:rPr>
      </w:pPr>
    </w:p>
    <w:p>
      <w:pPr>
        <w:ind w:left="660" w:right="160" w:hanging="328"/>
        <w:spacing w:after="0" w:line="264" w:lineRule="auto"/>
        <w:tabs>
          <w:tab w:leader="none" w:pos="648"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Enabling higher power density than competing products. </w:t>
      </w:r>
      <w:r>
        <w:rPr>
          <w:rFonts w:ascii="Arial" w:cs="Arial" w:eastAsia="Arial" w:hAnsi="Arial"/>
          <w:sz w:val="20"/>
          <w:szCs w:val="20"/>
          <w:color w:val="auto"/>
        </w:rPr>
        <w:t>Our system is designed to minimize “dead space,” which</w:t>
      </w:r>
      <w:r>
        <w:rPr>
          <w:rFonts w:ascii="Arial" w:cs="Arial" w:eastAsia="Arial" w:hAnsi="Arial"/>
          <w:sz w:val="20"/>
          <w:szCs w:val="20"/>
          <w:b w:val="1"/>
          <w:bCs w:val="1"/>
          <w:color w:val="auto"/>
        </w:rPr>
        <w:t xml:space="preserve"> </w:t>
      </w:r>
      <w:r>
        <w:rPr>
          <w:rFonts w:ascii="Arial" w:cs="Arial" w:eastAsia="Arial" w:hAnsi="Arial"/>
          <w:sz w:val="20"/>
          <w:szCs w:val="20"/>
          <w:color w:val="auto"/>
        </w:rPr>
        <w:t>we define as any area in the system that could otherwise be occupied by a solar panel. Minimizing dead space is important to our customers because maximizing power production per acre increases their return on investment. Our system minimizes dead space by locating our gearbox</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and drive shafts below the solar panels, as opposed to next to them in some of our competitors’ systems, and by using our patented low-profile clamps that require less than 1/4 inch of spacing between each panel in a row. Together, we believe these features allow our system to generate approximately 5% more power per acre than our largest competitor’s comparative design.</w:t>
      </w:r>
    </w:p>
    <w:p>
      <w:pPr>
        <w:spacing w:after="0" w:line="210" w:lineRule="exact"/>
        <w:rPr>
          <w:sz w:val="20"/>
          <w:szCs w:val="20"/>
          <w:color w:val="auto"/>
        </w:rPr>
      </w:pPr>
    </w:p>
    <w:p>
      <w:pPr>
        <w:ind w:left="660" w:right="40" w:hanging="328"/>
        <w:spacing w:after="0" w:line="261" w:lineRule="auto"/>
        <w:tabs>
          <w:tab w:leader="none" w:pos="64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Making installation easier. </w:t>
      </w:r>
      <w:r>
        <w:rPr>
          <w:rFonts w:ascii="Arial" w:cs="Arial" w:eastAsia="Arial" w:hAnsi="Arial"/>
          <w:sz w:val="20"/>
          <w:szCs w:val="20"/>
          <w:color w:val="auto"/>
        </w:rPr>
        <w:t>The amount of labor and time required during construction are major contributors to the cost</w:t>
      </w:r>
      <w:r>
        <w:rPr>
          <w:rFonts w:ascii="Arial" w:cs="Arial" w:eastAsia="Arial" w:hAnsi="Arial"/>
          <w:sz w:val="20"/>
          <w:szCs w:val="20"/>
          <w:b w:val="1"/>
          <w:bCs w:val="1"/>
          <w:color w:val="auto"/>
        </w:rPr>
        <w:t xml:space="preserve"> </w:t>
      </w:r>
      <w:r>
        <w:rPr>
          <w:rFonts w:ascii="Arial" w:cs="Arial" w:eastAsia="Arial" w:hAnsi="Arial"/>
          <w:sz w:val="20"/>
          <w:szCs w:val="20"/>
          <w:color w:val="auto"/>
        </w:rPr>
        <w:t>of a solar energy project. We believe our tracker is simpler and faster to install than competing products because it has fewer parts, requires only one bolt to attach each solar panel, ships largely preassembled from our factory, is efficiently packaged based on component location in the array rather than by part type, and does not require any special tools to install.</w:t>
      </w:r>
    </w:p>
    <w:p>
      <w:pPr>
        <w:spacing w:after="0" w:line="207" w:lineRule="exact"/>
        <w:rPr>
          <w:rFonts w:ascii="Arial" w:cs="Arial" w:eastAsia="Arial" w:hAnsi="Arial"/>
          <w:sz w:val="20"/>
          <w:szCs w:val="20"/>
          <w:b w:val="1"/>
          <w:bCs w:val="1"/>
          <w:color w:val="auto"/>
        </w:rPr>
      </w:pPr>
    </w:p>
    <w:p>
      <w:pPr>
        <w:ind w:left="660" w:right="40" w:hanging="328"/>
        <w:spacing w:after="0" w:line="256" w:lineRule="auto"/>
        <w:tabs>
          <w:tab w:leader="none" w:pos="64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Automatically stowing in high wind conditions. </w:t>
      </w:r>
      <w:r>
        <w:rPr>
          <w:rFonts w:ascii="Arial" w:cs="Arial" w:eastAsia="Arial" w:hAnsi="Arial"/>
          <w:sz w:val="20"/>
          <w:szCs w:val="20"/>
          <w:color w:val="auto"/>
        </w:rPr>
        <w:t>Most damage to ground-mounted solar arrays is caused by high</w:t>
      </w:r>
      <w:r>
        <w:rPr>
          <w:rFonts w:ascii="Arial" w:cs="Arial" w:eastAsia="Arial" w:hAnsi="Arial"/>
          <w:sz w:val="20"/>
          <w:szCs w:val="20"/>
          <w:b w:val="1"/>
          <w:bCs w:val="1"/>
          <w:color w:val="auto"/>
        </w:rPr>
        <w:t xml:space="preserve"> </w:t>
      </w:r>
      <w:r>
        <w:rPr>
          <w:rFonts w:ascii="Arial" w:cs="Arial" w:eastAsia="Arial" w:hAnsi="Arial"/>
          <w:sz w:val="20"/>
          <w:szCs w:val="20"/>
          <w:color w:val="auto"/>
        </w:rPr>
        <w:t>winds. Avoiding wind damage requires rotating the panels into a position that minimizes lifting forces as wind speeds increase. This feature is commonly referred to as “wind stow.” Most tracker systems rely on anemometers to determine when wind forces reach levels that could damage the array. The anemometers communicate with motor controllers that in turn instruct the motors in the tracker system to rotate the array into a wind stow position. Power to operate the motors is typically provided by a series of batteries. A failure of any of these components can cause the array to fail to stow, which may result in catastrophic damage. Our trackers operate differently. Each row in our system has a gearbox with a patented torque limiting technology which acts as a clutch that releases when wind forces reach a certain level, relieving the pressure on the row by allowing it to rotate freely. We refer to this capability as “passive stow.” As a purely mechanical system, passive stow eliminates the possibility of severe damage to the array from a failure to stow stemming from a loss of power or electronic component failure. Additionally, our trackers stow each row individually based on the wind force at that particular row, which allows unaffected rows in the array to continue to generate power while many of our competitors’ products indiscriminately stow the entire array.</w:t>
      </w:r>
    </w:p>
    <w:p>
      <w:pPr>
        <w:spacing w:after="0" w:line="212" w:lineRule="exact"/>
        <w:rPr>
          <w:rFonts w:ascii="Arial" w:cs="Arial" w:eastAsia="Arial" w:hAnsi="Arial"/>
          <w:sz w:val="20"/>
          <w:szCs w:val="20"/>
          <w:b w:val="1"/>
          <w:bCs w:val="1"/>
          <w:color w:val="auto"/>
        </w:rPr>
      </w:pPr>
    </w:p>
    <w:p>
      <w:pPr>
        <w:ind w:left="660" w:right="80" w:hanging="328"/>
        <w:spacing w:after="0" w:line="260" w:lineRule="auto"/>
        <w:tabs>
          <w:tab w:leader="none" w:pos="64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Having high reliability and no scheduled maintenance. </w:t>
      </w:r>
      <w:r>
        <w:rPr>
          <w:rFonts w:ascii="Arial" w:cs="Arial" w:eastAsia="Arial" w:hAnsi="Arial"/>
          <w:sz w:val="20"/>
          <w:szCs w:val="20"/>
          <w:color w:val="auto"/>
        </w:rPr>
        <w:t>Solar energy projects are expected to operate for at least 30</w:t>
      </w:r>
      <w:r>
        <w:rPr>
          <w:rFonts w:ascii="Arial" w:cs="Arial" w:eastAsia="Arial" w:hAnsi="Arial"/>
          <w:sz w:val="20"/>
          <w:szCs w:val="20"/>
          <w:b w:val="1"/>
          <w:bCs w:val="1"/>
          <w:color w:val="auto"/>
        </w:rPr>
        <w:t xml:space="preserve"> </w:t>
      </w:r>
      <w:r>
        <w:rPr>
          <w:rFonts w:ascii="Arial" w:cs="Arial" w:eastAsia="Arial" w:hAnsi="Arial"/>
          <w:sz w:val="20"/>
          <w:szCs w:val="20"/>
          <w:color w:val="auto"/>
        </w:rPr>
        <w:t>years, so their reliability and maintenance costs can have a significant impact on the owner’s return on investment. We have designed our tracker to minimize the number of components and potential failure points, provide redundancy in the event of a component failure and eliminate the need for scheduled maintenance, which reduces the total cost of ownership and improves return on investment for the users of our products. Based on an independent analysis by TÜV Rheinland PTL, we believe our system will require 433 times fewer service hours than our largest competitor’s system.</w:t>
      </w:r>
    </w:p>
    <w:p>
      <w:pPr>
        <w:spacing w:after="0" w:line="206" w:lineRule="exact"/>
        <w:rPr>
          <w:rFonts w:ascii="Arial" w:cs="Arial" w:eastAsia="Arial" w:hAnsi="Arial"/>
          <w:sz w:val="20"/>
          <w:szCs w:val="20"/>
          <w:b w:val="1"/>
          <w:bCs w:val="1"/>
          <w:color w:val="auto"/>
        </w:rPr>
      </w:pPr>
    </w:p>
    <w:p>
      <w:pPr>
        <w:ind w:left="660" w:right="20" w:hanging="328"/>
        <w:spacing w:after="0" w:line="258" w:lineRule="auto"/>
        <w:tabs>
          <w:tab w:leader="none" w:pos="64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Incorporating software and machine learning capabilities that enhance performance. </w:t>
      </w:r>
      <w:r>
        <w:rPr>
          <w:rFonts w:ascii="Arial" w:cs="Arial" w:eastAsia="Arial" w:hAnsi="Arial"/>
          <w:sz w:val="20"/>
          <w:szCs w:val="20"/>
          <w:color w:val="auto"/>
        </w:rPr>
        <w:t>Trackers are typically</w:t>
      </w:r>
      <w:r>
        <w:rPr>
          <w:rFonts w:ascii="Arial" w:cs="Arial" w:eastAsia="Arial" w:hAnsi="Arial"/>
          <w:sz w:val="20"/>
          <w:szCs w:val="20"/>
          <w:b w:val="1"/>
          <w:bCs w:val="1"/>
          <w:color w:val="auto"/>
        </w:rPr>
        <w:t xml:space="preserve"> </w:t>
      </w:r>
      <w:r>
        <w:rPr>
          <w:rFonts w:ascii="Arial" w:cs="Arial" w:eastAsia="Arial" w:hAnsi="Arial"/>
          <w:sz w:val="20"/>
          <w:szCs w:val="20"/>
          <w:color w:val="auto"/>
        </w:rPr>
        <w:t>programmed to rotate panels in an array on a defined schedule. These schedules are made based on the average angle of insolation for the general area where the project is located but do not usually take into account the site’s specific terrain, weather or air quality conditions. We have developed a software offering called SmarTrack that uses site-specific weather and energy production data, in combination with machine learning algorithms, to identify the optimal position for a solar array in real time to increase its energy production. Our SmarTrack software does not require additional hardware and DNV-GL, an independent engineering firm, has projected that using our SmarTrack software can increase energy production in certain circumstances by up to 5%.</w:t>
      </w:r>
    </w:p>
    <w:p>
      <w:pPr>
        <w:spacing w:after="0" w:line="209" w:lineRule="exact"/>
        <w:rPr>
          <w:rFonts w:ascii="Arial" w:cs="Arial" w:eastAsia="Arial" w:hAnsi="Arial"/>
          <w:sz w:val="20"/>
          <w:szCs w:val="20"/>
          <w:b w:val="1"/>
          <w:bCs w:val="1"/>
          <w:color w:val="auto"/>
        </w:rPr>
      </w:pPr>
    </w:p>
    <w:p>
      <w:pPr>
        <w:ind w:left="660" w:right="380" w:hanging="328"/>
        <w:spacing w:after="0" w:line="269" w:lineRule="auto"/>
        <w:tabs>
          <w:tab w:leader="none" w:pos="64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Meeting prospective national security requirements for U.S. critical energy infrastructure. </w:t>
      </w:r>
      <w:r>
        <w:rPr>
          <w:rFonts w:ascii="Arial" w:cs="Arial" w:eastAsia="Arial" w:hAnsi="Arial"/>
          <w:sz w:val="20"/>
          <w:szCs w:val="20"/>
          <w:color w:val="auto"/>
        </w:rPr>
        <w:t>Large solar energy</w:t>
      </w:r>
      <w:r>
        <w:rPr>
          <w:rFonts w:ascii="Arial" w:cs="Arial" w:eastAsia="Arial" w:hAnsi="Arial"/>
          <w:sz w:val="20"/>
          <w:szCs w:val="20"/>
          <w:b w:val="1"/>
          <w:bCs w:val="1"/>
          <w:color w:val="auto"/>
        </w:rPr>
        <w:t xml:space="preserve"> </w:t>
      </w:r>
      <w:r>
        <w:rPr>
          <w:rFonts w:ascii="Arial" w:cs="Arial" w:eastAsia="Arial" w:hAnsi="Arial"/>
          <w:sz w:val="20"/>
          <w:szCs w:val="20"/>
          <w:color w:val="auto"/>
        </w:rPr>
        <w:t>projects are subject to heightened and evolving reliability and cybersecurity standards reviewed and approved by the U.S. government. We do not source controllers and other key electronic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120"/>
        <w:spacing w:after="0" w:line="277" w:lineRule="auto"/>
        <w:rPr>
          <w:sz w:val="20"/>
          <w:szCs w:val="20"/>
          <w:color w:val="auto"/>
        </w:rPr>
      </w:pPr>
      <w:r>
        <w:rPr>
          <w:rFonts w:ascii="Arial" w:cs="Arial" w:eastAsia="Arial" w:hAnsi="Arial"/>
          <w:sz w:val="19"/>
          <w:szCs w:val="19"/>
          <w:color w:val="auto"/>
        </w:rPr>
        <w:t>components from manufacturers that may be deemed to pose threats to U.S. national security, or rely on open, wireless communication protocols that can be easily hacked. As cyber attacks on infrastructure become more prevalent, we believe the U.S. government will impose increasingly stringent cyber security requirements on solar energy projects.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DuraTrack</w:t>
      </w:r>
      <w:r>
        <w:rPr>
          <w:rFonts w:ascii="Arial" w:cs="Arial" w:eastAsia="Arial" w:hAnsi="Arial"/>
          <w:sz w:val="25"/>
          <w:szCs w:val="25"/>
          <w:b w:val="1"/>
          <w:bCs w:val="1"/>
          <w:i w:val="1"/>
          <w:iCs w:val="1"/>
          <w:color w:val="auto"/>
          <w:vertAlign w:val="superscript"/>
        </w:rPr>
        <w:t>®</w:t>
      </w:r>
      <w:r>
        <w:rPr>
          <w:rFonts w:ascii="Arial" w:cs="Arial" w:eastAsia="Arial" w:hAnsi="Arial"/>
          <w:sz w:val="20"/>
          <w:szCs w:val="20"/>
          <w:b w:val="1"/>
          <w:bCs w:val="1"/>
          <w:i w:val="1"/>
          <w:iCs w:val="1"/>
          <w:color w:val="auto"/>
        </w:rPr>
        <w:t xml:space="preserve"> HZ v3</w:t>
      </w:r>
    </w:p>
    <w:p>
      <w:pPr>
        <w:ind w:right="660"/>
        <w:spacing w:after="0" w:line="233" w:lineRule="auto"/>
        <w:rPr>
          <w:sz w:val="20"/>
          <w:szCs w:val="20"/>
          <w:color w:val="auto"/>
        </w:rPr>
      </w:pPr>
      <w:r>
        <w:rPr>
          <w:rFonts w:ascii="Arial" w:cs="Arial" w:eastAsia="Arial" w:hAnsi="Arial"/>
          <w:sz w:val="20"/>
          <w:szCs w:val="20"/>
          <w:color w:val="auto"/>
        </w:rPr>
        <w:t>Our DuraTrack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HZ v3 was launched in May 2015. The DuraTrack HZ v3 is our third generation single axis tracker and incorporates unique features such as a patented single-bolt per module mounting system that reduces installation time, a passive wind load mitigation system and a low number of motors and controls per MW.</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SmarTrack Software</w:t>
      </w:r>
    </w:p>
    <w:p>
      <w:pPr>
        <w:spacing w:after="0" w:line="37"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SmarTrack uses site-specific historical weather and energy production data, in combination with machine learning algorithms, to identify the optimal position for a solar array in real time to increase its energy production.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Roadmap</w:t>
      </w:r>
    </w:p>
    <w:p>
      <w:pPr>
        <w:spacing w:after="0" w:line="280"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Our products reflect the innovation focus and engineering capabilities of our people. Our product roadmap is rooted in delivering value to the customer, differentiated products and services and new market creation.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We have introduced three generations of trackers and each new version has delivered significant cost and performance improvements over the prior version. We are currently developing the fourth version of the DuraTrack system which will focus on improvements to performance, reliability and cost of ownership.</w:t>
      </w:r>
    </w:p>
    <w:p>
      <w:pPr>
        <w:spacing w:after="0" w:line="23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We are also planning to introduce improvements and additional functionality to our SmarTrack software, including unique positioning algorithms designed to maximize energy production from arrays that use bi-facial panels, pre-positioning instructions based on weather forecasts and enhanced site-specific machine learning capabilities as well as cybersecurity enhancements.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 Strategy</w:t>
      </w:r>
    </w:p>
    <w:p>
      <w:pPr>
        <w:spacing w:after="0" w:line="280"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Our sales and marketing strategy is to educate all influencers and stakeholders involved in building, owning and maintaining a solar energy project on the merits of our products generally and their low lifetime cost of ownership specifically. With the objective of making DuraTrack the preferred tracker system globally, we educate customers and influencers through a combination of direct sales efforts; commissioning independent, third-party studies; hosting training seminars; and sponsoring industry conferences and events.</w:t>
      </w:r>
    </w:p>
    <w:p>
      <w:pPr>
        <w:spacing w:after="0" w:line="23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We take a “360-degree” approach to selling, working with developers, independent power producers, EPCs, utilities, independent engineering firms, insurers and mechanical subcontractors in each of the countries where we operate. In the U.S., Europe, the Middle East and Africa (“EMEA”), Latin America and Australia our products are actively sold by employees in seven different countries.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Customers</w:t>
      </w:r>
    </w:p>
    <w:p>
      <w:pPr>
        <w:spacing w:after="0" w:line="26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sell our products to EPCs that build solar energy projects and to large solar developers, independent power producers and utilities, often under master supply agreements or multi-year procurement contracts. Although sales to a single customer may occasionally be greater than 10%, they generally represent multiple projects for many different end customers who often directly influence or make the decision to use our products. In 2020, our two largest customers, Lightsource Renewable Energy US, LLC and Blattner Energy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Inc., an independent power producer and an EPC, represented approximately 21.5% of our revenue and were the only customers constituting greater than 10% of total revenue. In 2020, we derived 92% and 8% of our revenues from customers in the U.S. and rest of the world,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Training and Customer Support</w:t>
      </w:r>
    </w:p>
    <w:p>
      <w:pPr>
        <w:spacing w:after="0" w:line="280"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We offer our customers engineering expertise to design and deliver the optimal solution for each unique project, installation training services and dedicated project management to provide comprehensive technical support.</w:t>
      </w:r>
    </w:p>
    <w:p>
      <w:pPr>
        <w:spacing w:after="0" w:line="229" w:lineRule="exact"/>
        <w:rPr>
          <w:sz w:val="20"/>
          <w:szCs w:val="20"/>
          <w:color w:val="auto"/>
        </w:rPr>
      </w:pPr>
    </w:p>
    <w:p>
      <w:pPr>
        <w:ind w:right="360"/>
        <w:spacing w:after="0" w:line="271" w:lineRule="auto"/>
        <w:rPr>
          <w:sz w:val="20"/>
          <w:szCs w:val="20"/>
          <w:color w:val="auto"/>
        </w:rPr>
      </w:pPr>
      <w:r>
        <w:rPr>
          <w:rFonts w:ascii="Arial" w:cs="Arial" w:eastAsia="Arial" w:hAnsi="Arial"/>
          <w:sz w:val="19"/>
          <w:szCs w:val="19"/>
          <w:color w:val="auto"/>
        </w:rPr>
        <w:t>We offer a wide variety of training and support designed to ensure an efficient build process of our tracker system, including hands on and video supported instruction and documentation. We support all of our customers with design consulting throughout the sales process. Our technical support organization includes applications engineering, geotechnical and civil engineering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Customer service and satisfaction are a key focus for us and contribute to our success. We have field service engineers located in the geographies where we are active, and support our customers with commissioning of large projects, introduction of new technologies and features and on-the-job training of new installers. Our customer support and training organization consists of approximately 25 full time employees worldwide.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We operate a fifty-seven thousand square feet manufacturing facility in Albuquerque, New Mexico. Our manufacturing process is designed to meet four objectives: limit capital intensive and low value-added activities that can be outsourced to other companies; minimize labor content where possible; minimize the amount of assembly our customers will be required to do at the site; and minimize material movement both from vendors to us and inside our factory.</w:t>
      </w: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We produce module clamps, center structures, spring dampers and motor controller assemblies at our Albuquerque facility. We have entered outsourcing contracts for steel tubing, drivelines, bearing assemblies and gear boxes that ship directly from our suppliers to job sites or designated warehouses. By using vendors, we are able to drop ship products directly to our customers sites, which improves working capital turnover, quality and inventory management.</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While we maintain certain levels of supplies and inventories, have the capability to in source some of the products manufactured by outside vendors to our principal manufacturing facility and have identified alternative vendors for contingency purposes, we depend upon a small number of vendors to manufacture certain components used in our products. We have implemented a policy that no component be single-sourced and that second-source suppliers be located domestically where possible.</w:t>
      </w:r>
    </w:p>
    <w:p>
      <w:pPr>
        <w:spacing w:after="0" w:line="221" w:lineRule="exact"/>
        <w:rPr>
          <w:sz w:val="20"/>
          <w:szCs w:val="20"/>
          <w:color w:val="auto"/>
        </w:rPr>
      </w:pPr>
    </w:p>
    <w:p>
      <w:pPr>
        <w:ind w:right="600"/>
        <w:spacing w:after="0" w:line="261" w:lineRule="auto"/>
        <w:rPr>
          <w:sz w:val="20"/>
          <w:szCs w:val="20"/>
          <w:color w:val="auto"/>
        </w:rPr>
      </w:pPr>
      <w:r>
        <w:rPr>
          <w:rFonts w:ascii="Arial" w:cs="Arial" w:eastAsia="Arial" w:hAnsi="Arial"/>
          <w:sz w:val="20"/>
          <w:szCs w:val="20"/>
          <w:color w:val="auto"/>
        </w:rPr>
        <w:t>We believe our status as a U.S. company with U.S. manufacturing reduces the potential impact of U.S. government tariffs placed on, or other U.S. government regulatory actions taken against, products manufactured in foreign countries.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continually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are meeting their stated objectives from inception to deployment.</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have a strong R&amp;D team with significant experience in solar energy as well as expertise in mechanical engineering, software engineering, civil engineering, systems/control engineering, power electronics, semiconductors, power line communications and networking. As needed, we collaborate with academia, national laboratories, and consultants, to further enhance our capabilities and confirm results independently. As of December 31, 2020, we had 46 people in our engineering department.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success of our business depends, in part, on our ability to maintain and protect our proprietary technologies, information, processes and know-how. We rely primarily on patent, trademark, copyright and trade secret laws in the U.S. and similar laws in other countries, confidentiality agreements and procedures and other contractual arrangements to protect our technology. As of December 31, 2020, we had two U.S. trademark registrations, nine issued U.S. patents, 108 issued non-U.S. patents, twelve patent applications pending for examination in the U.S., thirteen U.S. provisional patent applications pending, at least 100 patent applications pending for examination in other countries and eight domain name registrations, all of which are related to U.S. applications. Many of our patents relate to mounting assemblies, solar trackers and related methods. Our U.S. issued patents are scheduled to expire between 2030 and 2037.</w:t>
      </w:r>
    </w:p>
    <w:p>
      <w:pPr>
        <w:spacing w:after="0" w:line="240"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color w:val="auto"/>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Our policy is for our research and development employees to enter into confidentiality and proprietary information agreements with us to address intellectual property protection issues and require our employees to assign to us all of the inventions, designs and technologies they develop during the course of employment with us. However, we might not have entered into such agreements with all applicable personnel, and such agreements might not be self-executing. Moreover, such individuals could breach the terms of such agreements.</w:t>
      </w:r>
    </w:p>
    <w:p>
      <w:pPr>
        <w:spacing w:after="0" w:line="236" w:lineRule="exact"/>
        <w:rPr>
          <w:sz w:val="20"/>
          <w:szCs w:val="20"/>
          <w:color w:val="auto"/>
        </w:rPr>
      </w:pPr>
    </w:p>
    <w:p>
      <w:pPr>
        <w:ind w:right="3080"/>
        <w:spacing w:after="0" w:line="261" w:lineRule="auto"/>
        <w:rPr>
          <w:sz w:val="20"/>
          <w:szCs w:val="20"/>
          <w:color w:val="auto"/>
        </w:rPr>
      </w:pPr>
      <w:r>
        <w:rPr>
          <w:rFonts w:ascii="Arial" w:cs="Arial" w:eastAsia="Arial" w:hAnsi="Arial"/>
          <w:sz w:val="20"/>
          <w:szCs w:val="20"/>
          <w:color w:val="auto"/>
        </w:rPr>
        <w:t>We also require our customers and business partners to enter into confidentiality agreements before we disclose any sensitive aspects of our technology or business plans.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ITC for Solar Projects</w:t>
      </w:r>
    </w:p>
    <w:p>
      <w:pPr>
        <w:spacing w:after="0" w:line="280"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The most significant incentive program to our business is the federal investment tax credit (“ITC”) for solar energy projects. The ITC was originally enacted in 2005, and was most recently extended in December 2020 under the Consolidated Appropriations Act, 2021. The ITC is worth a percentage of a solar project owner’s cost basis in the asset. The ITC percentage varies depending on the year in which the solar project is deemed to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begin construction under U.S. Internal Revenue Service (the “IRS”) rules. In general, the IRS rules provide that construction begins in the year in which a taxpayer performs physical work of a significant nature or pays or incurs at least 5% of the total cost of the solar energy project (the “Safe Harbor”). A common strategy that our customers use to satisfy the Safe Harbor is to make a single large payment for equipment with the expectation of delivery within three and half months after the payment date. The ITC is worth 26% of cost for projects that begin construction before 2023. Projects that begin construction in 2023 or later are subject to the phase down schedule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Our revenue is impacted by seasonality related to ITC step-downs and construction activity.</w:t>
      </w:r>
    </w:p>
    <w:p>
      <w:pPr>
        <w:spacing w:after="0" w:line="22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i w:val="1"/>
          <w:iCs w:val="1"/>
          <w:color w:val="auto"/>
        </w:rPr>
        <w:t xml:space="preserve">ITC step-downs. </w:t>
      </w:r>
      <w:r>
        <w:rPr>
          <w:rFonts w:ascii="Arial" w:cs="Arial" w:eastAsia="Arial" w:hAnsi="Arial"/>
          <w:sz w:val="20"/>
          <w:szCs w:val="20"/>
          <w:color w:val="auto"/>
        </w:rPr>
        <w:t>While solar power is cost-competitive with conventional forms of generation in many states without the</w:t>
      </w:r>
      <w:r>
        <w:rPr>
          <w:rFonts w:ascii="Arial" w:cs="Arial" w:eastAsia="Arial" w:hAnsi="Arial"/>
          <w:sz w:val="20"/>
          <w:szCs w:val="20"/>
          <w:i w:val="1"/>
          <w:iCs w:val="1"/>
          <w:color w:val="auto"/>
        </w:rPr>
        <w:t xml:space="preserve"> </w:t>
      </w:r>
      <w:r>
        <w:rPr>
          <w:rFonts w:ascii="Arial" w:cs="Arial" w:eastAsia="Arial" w:hAnsi="Arial"/>
          <w:sz w:val="20"/>
          <w:szCs w:val="20"/>
          <w:color w:val="auto"/>
        </w:rPr>
        <w:t>ITC, we believe step-downs in the ITC have influenced, and will continue to influence, the timing and quantity of some customer’s orders. For example, during the fourth quarter of 2019, we received approximately $400 million of orders that were structured to maintain our customers’ eligibility for the 30% ITC that is available for projects for which construction began before 2020. We shipped and recorded the associated revenues on approximately $100 million and $300 million of those orders in the fourth quarter of 2019 and first half of 2020, respectively. While we cannot predict our customers’ behavior, we expect the pattern of some customers placing large orders in the fourth quarter with the majority of shipments occurring during the first half of the next calendar year will continue to occur in years preceding an ITC step-down. The current 26% ITC phases down to 22% for projects that begin construction in 2023, and then phases down to a permanent 10% level for projects that begin construction in 2024 or later.</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i w:val="1"/>
          <w:iCs w:val="1"/>
          <w:color w:val="auto"/>
        </w:rPr>
        <w:t xml:space="preserve">Construction activity. </w:t>
      </w:r>
      <w:r>
        <w:rPr>
          <w:rFonts w:ascii="Arial" w:cs="Arial" w:eastAsia="Arial" w:hAnsi="Arial"/>
          <w:sz w:val="20"/>
          <w:szCs w:val="20"/>
          <w:color w:val="auto"/>
        </w:rPr>
        <w:t>Project construction activity in North America is lower in colder months. The installation of a solar</w:t>
      </w:r>
      <w:r>
        <w:rPr>
          <w:rFonts w:ascii="Arial" w:cs="Arial" w:eastAsia="Arial" w:hAnsi="Arial"/>
          <w:sz w:val="20"/>
          <w:szCs w:val="20"/>
          <w:i w:val="1"/>
          <w:iCs w:val="1"/>
          <w:color w:val="auto"/>
        </w:rPr>
        <w:t xml:space="preserve"> </w:t>
      </w:r>
      <w:r>
        <w:rPr>
          <w:rFonts w:ascii="Arial" w:cs="Arial" w:eastAsia="Arial" w:hAnsi="Arial"/>
          <w:sz w:val="20"/>
          <w:szCs w:val="20"/>
          <w:color w:val="auto"/>
        </w:rPr>
        <w:t>tracker requires setting foundations in the ground which is more costly when the ground is frozen. Accordingly, we typically expect to see higher revenues in the second and third quarters when the weather is warmer in North America and lower in the first and fourth quarters when the weather is colder absent other factors. While we expect this seasonality will continue to impact us in the near term as a large portion of our business is in North America, we expect to see less pronounced seasonal variations as we expand into new global markets in the southern hemisphere.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Trackers are highly specialized products that are specific to the solar industry. The unique expertise required to design trackers and customers’ reluctance to try unproven products has confined the number of firms that produce trackers to a relatively small number. Our principal tracker competitors include NEXTracker Inc., a subsidiary of Flex Ltd., PV Hardware and Artech Solar. We also compete indirectly with manufacturers of fixed tilt mounting systems, including UNIRAC, Inc., and RBI Solar Inc., a subsidiary of Gibraltar Industries, Inc. We compete on the basis of product performance and features, total cost of ownership (usually measured by LCOE), reliability and duration of product warranty, sales and distribution capabilities, and training and customer support.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80"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As of December 31, 2020, we had 389 full-time employees. None of our employees are represented by a labor union. We have not experienced any employment-related work stoppages, and we consider relations with our employees to be good.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Incentives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and manufacturers of solar energy systems to promote solar electricity in the form of rebates, tax credits and other financial incentives such as system performance payments, payments for renewable energy credits associated with renewable energy generation, and an exclusion of solar energy systems from property tax assessments. The range and duration of these incentives varies widely by geographic market. The market for grid-connected applications, where solar power is sold into organized electric markets or pursuant to power purchase agreements, often depends in large part on the availability and size of these government subsidies and economic incentives. The following is a summary of the major current government subsidies and economic incentives in the key jurisdictions where our customers operate.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U.S. federal government provides an ITC that allows a taxpayer to offset its federal income tax liability by a percentage of its cost basis in a solar energy system put to commercial use. The value of the tax credit varies depending on the year in which construction is deemed to begin. Under the current legislative framework, solar projects that were under construction by the end of 2019 qualify for a tax credit equal to 30% of the project’s cost. The value drops to 26% for projects starting construction in 2020 through 2022, and 22% for projects starting construction in 2023. The credit drops to a permanent 10% level for projects that begin construction in 2024 or later. Projects that begin construction before 2024, but are not placed in service until 2026 or later, are also limited to the 10% credit.</w:t>
      </w:r>
    </w:p>
    <w:p>
      <w:pPr>
        <w:spacing w:after="0" w:line="24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federal government also permits accelerated depreciation, and in some cases 100% “bonus” depreciation, for certain equipment, including solar energy systems. In addition, some U.S. states offer an additional corporate investment or production tax credit for solar that is additive to the ITC. Additionally, many U.S. states and local jurisdictions have established various property tax abatement incentives for renewable energy systems.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60" w:lineRule="exact"/>
        <w:rPr>
          <w:sz w:val="20"/>
          <w:szCs w:val="20"/>
          <w:color w:val="auto"/>
        </w:rPr>
      </w:pPr>
    </w:p>
    <w:p>
      <w:pPr>
        <w:ind w:right="20"/>
        <w:spacing w:after="0" w:line="246" w:lineRule="exact"/>
        <w:rPr>
          <w:sz w:val="20"/>
          <w:szCs w:val="20"/>
          <w:color w:val="auto"/>
        </w:rPr>
      </w:pPr>
      <w:r>
        <w:rPr>
          <w:rFonts w:ascii="Arial" w:cs="Arial" w:eastAsia="Arial" w:hAnsi="Arial"/>
          <w:sz w:val="20"/>
          <w:szCs w:val="20"/>
          <w:i w:val="1"/>
          <w:iCs w:val="1"/>
          <w:color w:val="auto"/>
        </w:rPr>
        <w:t>You should consider carefully the risks described below, as well as the other information in this Annual Report on Form 10</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K, before deciding whether to purchase, hold or sell shares of our common stock.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factors described as well as the other information in the 10</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K, including our financial statements and the related notes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and “Management’s Discussion and Analysis of Financial Condition and Results of Operations” when evaluating our business.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investments. Additional risks and uncertainties not presently known to us or that we currently deem immaterial also may impair our business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Business and Our Industry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Demand for our Products</w:t>
      </w:r>
    </w:p>
    <w:p>
      <w:pPr>
        <w:spacing w:after="0" w:line="256" w:lineRule="exact"/>
        <w:rPr>
          <w:sz w:val="20"/>
          <w:szCs w:val="20"/>
          <w:color w:val="auto"/>
        </w:rPr>
      </w:pPr>
    </w:p>
    <w:p>
      <w:pPr>
        <w:ind w:right="780"/>
        <w:spacing w:after="0" w:line="286" w:lineRule="auto"/>
        <w:rPr>
          <w:sz w:val="20"/>
          <w:szCs w:val="20"/>
          <w:color w:val="auto"/>
        </w:rPr>
      </w:pPr>
      <w:r>
        <w:rPr>
          <w:rFonts w:ascii="Arial" w:cs="Arial" w:eastAsia="Arial" w:hAnsi="Arial"/>
          <w:sz w:val="20"/>
          <w:szCs w:val="20"/>
          <w:b w:val="1"/>
          <w:bCs w:val="1"/>
          <w:i w:val="1"/>
          <w:iCs w:val="1"/>
          <w:color w:val="auto"/>
        </w:rPr>
        <w:t>If demand for solar energy projects does not continue to grow or grows at a slower rate than we anticipate, our business will suffer.</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b w:val="1"/>
          <w:bCs w:val="1"/>
          <w:i w:val="1"/>
          <w:iCs w:val="1"/>
          <w:color w:val="auto"/>
        </w:rPr>
        <w:t>The viability and demand for solar energy and the demand for our products are impacted by many factors outside of our control, which makes it difficult to predict our future prospects.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The viability and demand for solar energy, and in turn, our products, may be affected by many factors outside of our control. While we have been in existence since 1989, we have recently grown and expanded significantly. Our recent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spacing w:after="0" w:line="5" w:lineRule="exact"/>
        <w:rPr>
          <w:sz w:val="20"/>
          <w:szCs w:val="20"/>
          <w:color w:val="auto"/>
        </w:rPr>
      </w:pPr>
    </w:p>
    <w:p>
      <w:pPr>
        <w:ind w:left="660" w:right="20" w:hanging="328"/>
        <w:spacing w:after="0" w:line="25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cost competitiveness, reliability and performance of solar energy systems compared to conventional and non-solar renewable energy sources and products and cost competitiveness, reliability and performance of our products compared to our competitors;</w:t>
      </w:r>
    </w:p>
    <w:p>
      <w:pPr>
        <w:spacing w:after="0" w:line="1" w:lineRule="exact"/>
        <w:rPr>
          <w:rFonts w:ascii="Arial" w:cs="Arial" w:eastAsia="Arial" w:hAnsi="Arial"/>
          <w:sz w:val="20"/>
          <w:szCs w:val="20"/>
          <w:color w:val="auto"/>
        </w:rPr>
      </w:pPr>
    </w:p>
    <w:p>
      <w:pPr>
        <w:ind w:left="660" w:right="140" w:hanging="328"/>
        <w:spacing w:after="0" w:line="25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availability and scale and scope of government subsidies and incentives to support the development and deployment of solar energy solutions;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prices of traditional carbon-based energy sources;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levels of investment by end-users of solar energy products, which tend to decrease when economic growth slows;</w:t>
      </w:r>
    </w:p>
    <w:p>
      <w:pPr>
        <w:spacing w:after="0" w:line="13" w:lineRule="exact"/>
        <w:rPr>
          <w:rFonts w:ascii="Arial" w:cs="Arial" w:eastAsia="Arial" w:hAnsi="Arial"/>
          <w:sz w:val="20"/>
          <w:szCs w:val="20"/>
          <w:color w:val="auto"/>
        </w:rPr>
      </w:pPr>
    </w:p>
    <w:p>
      <w:pPr>
        <w:ind w:left="660" w:right="400" w:hanging="328"/>
        <w:spacing w:after="0" w:line="25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emergence, continuance or success of, or increased government support for, other alternative energy generation technologies and products;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if we do not manage these risks and overcome these difficulties successfully, our business will suffer.</w:t>
      </w:r>
    </w:p>
    <w:p>
      <w:pPr>
        <w:spacing w:after="0" w:line="232"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b w:val="1"/>
          <w:bCs w:val="1"/>
          <w:i w:val="1"/>
          <w:iCs w:val="1"/>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We are dependent on a relatively small number of customers for our sales, and a small number of customers have historically accounted for a material portion of our revenue. For the year ended December 31, 2020, the Company’s largest customer and five largest customers constituted 11.2% and 40.9% of our total revenues, respectively. For the year ended December 31, 2020, two customers (Lightsource Renewable Energy US, LLC and Blattner Energy, Inc.), constituted more than 10% of total revenue. The loss of any one of the Company’s significant customers, their inability to perform under their contracts, or their default in payment, could have a materially adverse effect on the revenues and profits of the Company. Further, the Company’s trade accounts receivable are from companies within the solar industry, and, as such, the Company is exposed to normal industry credit risks. As of December 31, 2020, the Company’s largest customer and five largest customers constituted 0.1% and 20.9% of trade accounts receivable, respectively.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drop in the price of electricity sold may harm our business, financial condition, results of operations and prospects.</w:t>
      </w:r>
    </w:p>
    <w:p>
      <w:pPr>
        <w:spacing w:after="0" w:line="28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w:t>
      </w:r>
    </w:p>
    <w:p>
      <w:pPr>
        <w:spacing w:after="0" w:line="2" w:lineRule="exact"/>
        <w:rPr>
          <w:sz w:val="20"/>
          <w:szCs w:val="20"/>
          <w:color w:val="auto"/>
        </w:rPr>
      </w:pPr>
    </w:p>
    <w:p>
      <w:pPr>
        <w:ind w:left="660" w:right="400" w:hanging="328"/>
        <w:spacing w:after="0" w:line="25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construction of a significant number of new, lower-cost power generation plants, including plants utilizing natural gas, renewable energy or other generation technologies;</w:t>
      </w:r>
    </w:p>
    <w:p>
      <w:pPr>
        <w:spacing w:after="0" w:line="1" w:lineRule="exact"/>
        <w:rPr>
          <w:rFonts w:ascii="Arial" w:cs="Arial" w:eastAsia="Arial" w:hAnsi="Arial"/>
          <w:sz w:val="20"/>
          <w:szCs w:val="20"/>
          <w:color w:val="auto"/>
        </w:rPr>
      </w:pPr>
    </w:p>
    <w:p>
      <w:pPr>
        <w:ind w:left="660" w:right="520" w:hanging="328"/>
        <w:spacing w:after="0" w:line="25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relief of transmission constraints that enable distant, lower-cost generation to transmit energy less expensively or in greater quantities;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reductions in the price of natural gas or other fuels;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utility rate adjustment and customer class cost reallocation;</w:t>
      </w:r>
    </w:p>
    <w:p>
      <w:pPr>
        <w:spacing w:after="0" w:line="13" w:lineRule="exact"/>
        <w:rPr>
          <w:rFonts w:ascii="Arial" w:cs="Arial" w:eastAsia="Arial" w:hAnsi="Arial"/>
          <w:sz w:val="20"/>
          <w:szCs w:val="20"/>
          <w:color w:val="auto"/>
        </w:rPr>
      </w:pPr>
    </w:p>
    <w:p>
      <w:pPr>
        <w:ind w:left="660" w:right="100" w:hanging="328"/>
        <w:spacing w:after="0" w:line="25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decreased electricity demand, including from energy conservation technologies and public initiatives to reduce electricity consumption;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development of smart-grid technologies that lower the peak energy requirements;</w:t>
      </w:r>
    </w:p>
    <w:p>
      <w:pPr>
        <w:spacing w:after="0" w:line="13" w:lineRule="exact"/>
        <w:rPr>
          <w:rFonts w:ascii="Arial" w:cs="Arial" w:eastAsia="Arial" w:hAnsi="Arial"/>
          <w:sz w:val="20"/>
          <w:szCs w:val="20"/>
          <w:color w:val="auto"/>
        </w:rPr>
      </w:pPr>
    </w:p>
    <w:p>
      <w:pPr>
        <w:ind w:left="660" w:right="940" w:hanging="328"/>
        <w:spacing w:after="0" w:line="25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development of new or lower-cost customer-sited energy storage technologies that have the ability to reduce a customer’s average cost of electricity by shifting load to off-peak times;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development of new energy generation technologies that provide less expensive energy.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Moreover, technological developments in the solar components industry could allow our competitors and their customers to offer electricity at costs lower than those that can be achieved by us and our customers, which could result in reduced demand for our products.</w:t>
      </w:r>
    </w:p>
    <w:p>
      <w:pPr>
        <w:spacing w:after="0" w:line="233"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If the cost of electricity generated by solar energy installations incorporating our systems is high relative to the cost of electricity from other sources, then our business, financial condition and results of operations may be harmed.</w:t>
      </w:r>
    </w:p>
    <w:p>
      <w:pPr>
        <w:spacing w:after="0" w:line="205" w:lineRule="exact"/>
        <w:rPr>
          <w:sz w:val="20"/>
          <w:szCs w:val="20"/>
          <w:color w:val="auto"/>
        </w:rPr>
      </w:pPr>
    </w:p>
    <w:p>
      <w:pPr>
        <w:ind w:right="160"/>
        <w:spacing w:after="0" w:line="313" w:lineRule="auto"/>
        <w:rPr>
          <w:sz w:val="20"/>
          <w:szCs w:val="20"/>
          <w:color w:val="auto"/>
        </w:rPr>
      </w:pPr>
      <w:r>
        <w:rPr>
          <w:rFonts w:ascii="Arial" w:cs="Arial" w:eastAsia="Arial" w:hAnsi="Arial"/>
          <w:sz w:val="19"/>
          <w:szCs w:val="19"/>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83"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Although our products meet our stringent quality requirements, they may contain undetected errors or defects, especially when first introduced or when new generations are released. Errors, defects or poor performance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22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Furthermore, 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If one of our products were to cause injury to someone or cause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 and may have an adverse effect on our ability to attract new customers, thus harming our growth and financial performance.</w:t>
      </w:r>
    </w:p>
    <w:p>
      <w:pPr>
        <w:spacing w:after="0" w:line="215" w:lineRule="exact"/>
        <w:rPr>
          <w:sz w:val="20"/>
          <w:szCs w:val="20"/>
          <w:color w:val="auto"/>
        </w:rPr>
      </w:pPr>
    </w:p>
    <w:p>
      <w:pPr>
        <w:ind w:right="280"/>
        <w:spacing w:after="0" w:line="269" w:lineRule="auto"/>
        <w:rPr>
          <w:sz w:val="20"/>
          <w:szCs w:val="20"/>
          <w:color w:val="auto"/>
        </w:rPr>
      </w:pPr>
      <w:r>
        <w:rPr>
          <w:rFonts w:ascii="Arial" w:cs="Arial" w:eastAsia="Arial" w:hAnsi="Arial"/>
          <w:sz w:val="20"/>
          <w:szCs w:val="20"/>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223"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Our quarterly results of operations are difficult to predict and may fluctuate significantly in the future. We have experienced seasonal and quarterly fluctuations in the past as a result of seasonal fluctuations in our customers’ business. Our end-users’ ability to install solar energy systems is affected by weather, as for example during the winter months in Europe and the northeastern U.S. Such installation delays can impact the timing of orders for our products. Further, given that we are an early-stage company operating in a rapidly growing industry, the true extent of these fluctuations may have been masked by our recent growth rates and consequently may not be readily apparent from our historical results of operations and may be difficult to predict. Our financial performance, sales, working capital requirements and cash flow may fluctuate, and our past quarterly results of operations may not be good indicators of future performance. Any substantial decrease in revenues would have an adverse effect on our financial condition, results of operations, cash flows and stock price.</w:t>
      </w:r>
    </w:p>
    <w:p>
      <w:pPr>
        <w:spacing w:after="0" w:line="215" w:lineRule="exact"/>
        <w:rPr>
          <w:sz w:val="20"/>
          <w:szCs w:val="20"/>
          <w:color w:val="auto"/>
        </w:rPr>
      </w:pPr>
    </w:p>
    <w:p>
      <w:pPr>
        <w:ind w:right="80"/>
        <w:spacing w:after="0" w:line="269" w:lineRule="auto"/>
        <w:rPr>
          <w:sz w:val="20"/>
          <w:szCs w:val="20"/>
          <w:color w:val="auto"/>
        </w:rPr>
      </w:pPr>
      <w:r>
        <w:rPr>
          <w:rFonts w:ascii="Arial" w:cs="Arial" w:eastAsia="Arial" w:hAnsi="Arial"/>
          <w:sz w:val="20"/>
          <w:szCs w:val="20"/>
          <w:b w:val="1"/>
          <w:bCs w:val="1"/>
          <w:i w:val="1"/>
          <w:iCs w:val="1"/>
          <w:color w:val="auto"/>
        </w:rPr>
        <w:t>An increase in interest rates, or a reduction in the availability of tax equity or project debt capital in the global financial markets could make it difficult for end customers to finance the cost of a solar energy system and could reduce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Many end-users depend on financing to fund the initial capital expenditure required to construct a solar energy project. As a result, an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An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Developments in alternative technologies may have a material adverse effect on demand for our offerings.</w:t>
      </w:r>
    </w:p>
    <w:p>
      <w:pPr>
        <w:spacing w:after="0" w:line="280"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Significant developments in alternative technologies, such as advances in other forms of solar tracking systems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Related to the Regulatory Environment</w:t>
      </w:r>
    </w:p>
    <w:p>
      <w:pPr>
        <w:spacing w:after="0" w:line="256" w:lineRule="exact"/>
        <w:rPr>
          <w:sz w:val="20"/>
          <w:szCs w:val="20"/>
          <w:color w:val="auto"/>
        </w:rPr>
      </w:pPr>
    </w:p>
    <w:p>
      <w:pPr>
        <w:ind w:right="600"/>
        <w:spacing w:after="0" w:line="269" w:lineRule="auto"/>
        <w:rPr>
          <w:sz w:val="20"/>
          <w:szCs w:val="20"/>
          <w:color w:val="auto"/>
        </w:rPr>
      </w:pPr>
      <w:r>
        <w:rPr>
          <w:rFonts w:ascii="Arial" w:cs="Arial" w:eastAsia="Arial" w:hAnsi="Arial"/>
          <w:sz w:val="20"/>
          <w:szCs w:val="20"/>
          <w:b w:val="1"/>
          <w:bCs w:val="1"/>
          <w:i w:val="1"/>
          <w:iCs w:val="1"/>
          <w:color w:val="auto"/>
        </w:rPr>
        <w:t>Existing electric utility industry policies and regulations, and any subsequent changes, may present technical, regulatory and economic barriers to the purchase and use of solar energy systems that may significantly reduce demand for our products or harm our ability to compete.</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w:t>
      </w:r>
    </w:p>
    <w:p>
      <w:pPr>
        <w:spacing w:after="0" w:line="226"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A significant recent development in renewable-energy pricing policies in the U.S. occurred on December 31, 2020, when a final rule amending the Federal Energy Regulatory Commission (“FERC”) regulations that implement the Public Utility Regulatory Policies Act (“PURPA”) became effective. Among other requirements, PURPA mandates that electric utilities buy the output of certain renewable generators, including qualifying solar energy facilities,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qualifying facility, and (4) that reduce barriers for third parties to challenge PURPA eligibility. The net effect of these changes is uncertain, as they have only been effective for a short time, and some changes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44" w:lineRule="auto"/>
        <w:rPr>
          <w:sz w:val="20"/>
          <w:szCs w:val="20"/>
          <w:color w:val="auto"/>
        </w:rPr>
      </w:pPr>
      <w:r>
        <w:rPr>
          <w:rFonts w:ascii="Arial" w:cs="Arial" w:eastAsia="Arial" w:hAnsi="Arial"/>
          <w:sz w:val="19"/>
          <w:szCs w:val="19"/>
          <w:color w:val="auto"/>
        </w:rPr>
        <w:t>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solar energy systems and could harm our business, prospects, financial condition and results of operations.</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spacing w:after="0" w:line="215" w:lineRule="exact"/>
        <w:rPr>
          <w:sz w:val="20"/>
          <w:szCs w:val="20"/>
          <w:color w:val="auto"/>
        </w:rPr>
      </w:pPr>
    </w:p>
    <w:p>
      <w:pPr>
        <w:ind w:right="300"/>
        <w:spacing w:after="0" w:line="286" w:lineRule="auto"/>
        <w:rPr>
          <w:sz w:val="20"/>
          <w:szCs w:val="20"/>
          <w:color w:val="auto"/>
        </w:rPr>
      </w:pPr>
      <w:r>
        <w:rPr>
          <w:rFonts w:ascii="Arial" w:cs="Arial" w:eastAsia="Arial" w:hAnsi="Arial"/>
          <w:sz w:val="20"/>
          <w:szCs w:val="20"/>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We purchase some of our components and materials outside of the United States through arrangements with various vendors. Political, social or economic instability in these regions, or in other regions where our products are made, could cause disruptions in trade, including exports to the United States. Actions in various countries, particularly China and the United States, have created uncertainty with respect to tariff impacts on the costs of some of our components and materials. The degree of our exposure is dependent on (among other things) the type of materials, rates imposed, and timing of the tariffs. Other events that could also cause disruptions to our supply chain include:</w:t>
      </w:r>
    </w:p>
    <w:p>
      <w:pPr>
        <w:spacing w:after="0" w:line="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imposition of additional trade law provisions or regulations;</w:t>
      </w:r>
    </w:p>
    <w:p>
      <w:pPr>
        <w:spacing w:after="0" w:line="13" w:lineRule="exact"/>
        <w:rPr>
          <w:rFonts w:ascii="Arial" w:cs="Arial" w:eastAsia="Arial" w:hAnsi="Arial"/>
          <w:sz w:val="20"/>
          <w:szCs w:val="20"/>
          <w:color w:val="auto"/>
        </w:rPr>
      </w:pPr>
    </w:p>
    <w:p>
      <w:pPr>
        <w:ind w:left="660" w:right="960" w:hanging="328"/>
        <w:spacing w:after="0" w:line="246"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imposition of additional duties, tariffs and other charges on imports and exports, including as a result of the escalating trade war between China and the United States;</w:t>
      </w:r>
    </w:p>
    <w:p>
      <w:pPr>
        <w:spacing w:after="0" w:line="1" w:lineRule="exact"/>
        <w:rPr>
          <w:rFonts w:ascii="Arial" w:cs="Arial" w:eastAsia="Arial" w:hAnsi="Arial"/>
          <w:sz w:val="20"/>
          <w:szCs w:val="20"/>
          <w:color w:val="auto"/>
        </w:rPr>
      </w:pPr>
    </w:p>
    <w:p>
      <w:pPr>
        <w:ind w:left="660" w:right="160" w:hanging="328"/>
        <w:spacing w:after="0" w:line="23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potential imposition of restrictions on our acquisition, importation, or installation of equipment under future U.S. regulations, if any, implementing the temporarily suspended Executive Order on Securing the United States Bulk-Power System, any successor order, or other subsequently imposed administrative or legislative requirements;</w:t>
      </w: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quotas imposed by bilateral trade agreements;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foreign currency fluctuations;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natural disasters;</w:t>
      </w:r>
    </w:p>
    <w:p>
      <w:pPr>
        <w:spacing w:after="0" w:line="13" w:lineRule="exact"/>
        <w:rPr>
          <w:rFonts w:ascii="Arial" w:cs="Arial" w:eastAsia="Arial" w:hAnsi="Arial"/>
          <w:sz w:val="20"/>
          <w:szCs w:val="20"/>
          <w:color w:val="auto"/>
        </w:rPr>
      </w:pPr>
    </w:p>
    <w:p>
      <w:pPr>
        <w:ind w:left="660" w:right="120" w:hanging="328"/>
        <w:spacing w:after="0" w:line="253"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public health issues and epidemic diseases, their effects (including any disruptions they may cause) or the perception of their effects, such as the ongoing novel coronavirus outbreak originating in China;</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theft;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financial instability or bankruptcy of vendors;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significant labor disputes, such as dock strikes.</w:t>
      </w:r>
    </w:p>
    <w:p>
      <w:pPr>
        <w:spacing w:after="0" w:line="256"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or effect of any such restrictions. Trade restrictions, including new or increased tariffs or quotas, border taxes, embargoes, safeguards and customs restrictions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against certain components and materials, as well as labor strikes and work stoppages or boycotts, could increase the cost or reduce or delay the supply of components and materials available to us and adversely affect our business, financial condition or results of operations.</w:t>
      </w:r>
    </w:p>
    <w:p>
      <w:pPr>
        <w:spacing w:after="0" w:line="209"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b w:val="1"/>
          <w:bCs w:val="1"/>
          <w:i w:val="1"/>
          <w:iCs w:val="1"/>
          <w:color w:val="auto"/>
        </w:rPr>
        <w:t>Changes in the U.S. trade environment, including the imposition of import tariffs, could adversely affect the amount or timing of our revenues, results of operations or cash flows.</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Escalating trade tensions, particularly between the United States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United States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Additionally, in January 2018, the United States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Furthermore, in July 2018, the United States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decreased demand for our products. The Biden Administration has not yet indicated whether it will remove or alter any of the aforementioned tariffs.</w:t>
      </w:r>
    </w:p>
    <w:p>
      <w:pPr>
        <w:spacing w:after="0" w:line="247"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On January 15, 2020, the United States and China entered into an initial trade deal that preserves the bulk of the tariffs placed in 2018 and maintains a threat of additional tariffs should China breach the terms of the deal.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Tariffs and the possibility of additional tariffs in the future have created uncertainty in the industry. If the price of solar systems in the United States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04" w:lineRule="exact"/>
        <w:rPr>
          <w:sz w:val="20"/>
          <w:szCs w:val="20"/>
          <w:color w:val="auto"/>
        </w:rPr>
      </w:pPr>
    </w:p>
    <w:p>
      <w:pPr>
        <w:ind w:right="200"/>
        <w:spacing w:after="0" w:line="313" w:lineRule="auto"/>
        <w:rPr>
          <w:sz w:val="20"/>
          <w:szCs w:val="20"/>
          <w:color w:val="auto"/>
        </w:rPr>
      </w:pPr>
      <w:r>
        <w:rPr>
          <w:rFonts w:ascii="Arial" w:cs="Arial" w:eastAsia="Arial" w:hAnsi="Arial"/>
          <w:sz w:val="19"/>
          <w:szCs w:val="19"/>
          <w:b w:val="1"/>
          <w:bCs w:val="1"/>
          <w:i w:val="1"/>
          <w:iCs w:val="1"/>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system integrators and manufacturers of solar energy systems to promote solar electricity in the form of rebates, tax credits and other financial incentives such as system performance payments, payments of renewable energy credits associated with renewable energy generation, and an exclusion of solar energy systems from property tax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00"/>
        <w:spacing w:after="0" w:line="256" w:lineRule="auto"/>
        <w:rPr>
          <w:sz w:val="20"/>
          <w:szCs w:val="20"/>
          <w:color w:val="auto"/>
        </w:rPr>
      </w:pPr>
      <w:r>
        <w:rPr>
          <w:rFonts w:ascii="Arial" w:cs="Arial" w:eastAsia="Arial" w:hAnsi="Arial"/>
          <w:sz w:val="20"/>
          <w:szCs w:val="20"/>
          <w:color w:val="auto"/>
        </w:rPr>
        <w:t>For example, the solar ITC provides a federal income tax credit for owners of commercial solar projects that is equal to a percentage of the applicable projects’ cost. The ITC was originally enacted by Congress in 2005, and was most recently extended in 2020. Under the current text of the legislation, the tax credit phases down from its current 26% level to 22% for projects that begin construction in 2023, and then down to 10% for projects that begin construction in 2024 or later.</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and regulations mandating the use of renewable energy. Consequently, the reduction, elimination or expiration of government incentives for grid-connected solar electricity or regulations mandating the use of renewable energy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solar energy adoption rates increase or as a result of legal challenges, the adoption of new statutes or regulations, or the passage of time. These reductions or terminations may occur without warning.</w:t>
      </w:r>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In addition, federal, state, local and foreign government bodies have implemented various policies that are intended to promote renewable electricity generally or solar electricity in particular. Chief among these policies is the renewable portfolio standard (“RPS). Currently, 30 U.S. states, the District of Columbia, and 3 U.S. territories have implemented some form of RPS, which mandates that a certain portion of electricity delivered by regulated utilities to customers come from a set of eligible renewable energy resources by a certain compliance date. RPSs vary widely by jurisdiction. In some areas, requirements have been satisfied and utilities must only prevent reductions in qualifying energy purchases and sales, while other jurisdictions’ RPSs continue to require substantial increases, up to 100 percent renewable electric generation, with final compliance dates typically 20 or more years out.</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While the recent trend has been for jurisdictions with RPSs to maintain or expand them, there have been certain exceptions and there can be no assurances that RPSs or other policies supporting renewable energy will continue. Proposals to extend compliance deadlines, reduce renewable requirements or solar set-asides, or entirely repeal RPSs emerge from time to time in various jurisdictions. Reduction or elimination of RPSs, as well as changes to other renewable-energy and solar-energy policies, could reduce the potential growth of the solar energy industry and our business.</w:t>
      </w:r>
    </w:p>
    <w:p>
      <w:pPr>
        <w:spacing w:after="0" w:line="223"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Moreover, policies of the U.S. presidential administration may create regulatory uncertainty in the renewable energy industry, including the solar energy industry, and adversely affect our business. For example, in June 2017, the U.S. President announced that the United States would withdraw from participation in the 2015 Paris Agreement on climate change mitigation. The United States formally announced its intent to withdraw from the Paris Agreement on November 4, 2019, which withdrawal took effect in November 4, 2020. Following the change of presidential administration on January 20, 2021, the U.S. President issued written notification to the United Nations of the United States’ intention to rejoin the Paris Agreement, which became effective on February 19, 2021. Further, on June 19, 2019, the U.S. Environmental Protection Agency (“EPA”) issued the final Affordable Clean Energy (“ACE”) rule and repealed the 2015 Clean Power Plan (“CPP”). Under the ACE rule, emissions from electric utility generation facilities would be regulated only through the use of various “inside the fence” or onsite efficiency improvements and emission control technologies. In contrast, the CPP allowed facility owners to reduce emissions with “outside the fence” measures, including those associated with renewable energy projects. On January 19, 2021, the U.S. Court of Appeals for the D.C. Circuit struck down the ACE rule and remanded it to the EPA. On February 12, 2021, EPA issued a memo stating that the agency would not reinstate the CPP; therefore, the regulation of greenhouse gas emissions in the power sector is uncertain at this time.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20"/>
        <w:spacing w:after="0" w:line="256" w:lineRule="auto"/>
        <w:rPr>
          <w:sz w:val="20"/>
          <w:szCs w:val="20"/>
          <w:color w:val="auto"/>
        </w:rPr>
      </w:pPr>
      <w:r>
        <w:rPr>
          <w:rFonts w:ascii="Arial" w:cs="Arial" w:eastAsia="Arial" w:hAnsi="Arial"/>
          <w:sz w:val="20"/>
          <w:szCs w:val="20"/>
          <w:color w:val="auto"/>
        </w:rPr>
        <w:t>Finally, the solar industry has in past years experienced periodic downturns due to, among other things, changes in subsidies and incentives, as well as other policies and regulations, which, as noted above, may affect the demand for equipment that we manufacture. Although the solar industry has recovered from these downturns, there is no assurance that the solar industry will not suffer significant downturns in the future, which will adversely affect demand for our solar products.</w:t>
      </w:r>
    </w:p>
    <w:p>
      <w:pPr>
        <w:spacing w:after="0" w:line="210"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b w:val="1"/>
          <w:bCs w:val="1"/>
          <w:i w:val="1"/>
          <w:iCs w:val="1"/>
          <w:color w:val="auto"/>
        </w:rPr>
        <w:t>Changes in tax laws or regulations that are applied adversely to us or our customers could materially adversely affect our business, financial condition, results of operations and prospects.</w:t>
      </w:r>
    </w:p>
    <w:p>
      <w:pPr>
        <w:spacing w:after="0" w:line="205"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Tax laws continually change as new laws are passed and new interpretations of the law are issued or applied. For example, in December 2017, the U.S. government enacted Public Law No. 115-97 (the “TCJA”), resulting in various changes to U.S. tax laws, including, among other things, changes to U.S. federal tax rates (including a reduction of the U.S. corporate tax rate), changes to the rules governing the carryback and carryforward of net operating losses, significant additional limitations on the deductibility of interest, and changes to the rules governing the expensing of capital expenditures.</w:t>
      </w:r>
    </w:p>
    <w:p>
      <w:pPr>
        <w:spacing w:after="0" w:line="250"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More recently, in March 2020, the Families First Coronavirus Response Act (the "FFCR Act"), and in March 2020, the CARES Act were each enacted in response to the COVID-19 pandemic. The FFCR Act and the CARES Act contain several provisions related to income tax, such as provisions relaxing limitations on the deductibility of interest and the use of net operating losses arising in taxable years beginning after December 31, 2017. Additionally, in December 2020, the Consolidated Appropriations Act, 2021 was enacted, which expands upon the relief provided in the CARES Act and the FFCR Act and includes additional tax-related provisions. We continue to evaluate the impact of the foregoing legislation on our consolidated financial position, results of operations, and cash flows. Future guidance under the FFCR Act, the CARES Act, and the Consolidated Appropriations Act, 2021 (as well as under the TCJA) may be forthcoming, and such guidance could ultimately increase or decrease the impact that such Acts have on our business and financial condition. It is possible that Congress will enact additional legislation in connection with the COVID-19 pandemic, some of which could have an impact on us.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Changes like the ones discussed above and other changes to tax laws,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adversely affected by any violations of the FCPA, the U.K. Bribery Act and other foreign anti-bribery laws.</w:t>
      </w:r>
    </w:p>
    <w:p>
      <w:pPr>
        <w:spacing w:after="0" w:line="29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FCPA generally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our entry into certain jurisdictions requires substantial government contact where norms can differ from U.S. standards. It is possible that our employees, subcontractors, agents and partners may take actions in violation of our policies and anti-</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60"/>
        <w:spacing w:after="0" w:line="287" w:lineRule="auto"/>
        <w:rPr>
          <w:sz w:val="20"/>
          <w:szCs w:val="20"/>
          <w:color w:val="auto"/>
        </w:rPr>
      </w:pPr>
      <w:r>
        <w:rPr>
          <w:rFonts w:ascii="Arial" w:cs="Arial" w:eastAsia="Arial" w:hAnsi="Arial"/>
          <w:sz w:val="19"/>
          <w:szCs w:val="19"/>
          <w:color w:val="auto"/>
        </w:rPr>
        <w:t>bribery laws. Any such violation, even if prohibited by our policies, could subject us to criminal or civil penalties or other sanctions, which could have a material adverse effect on our business, financial condition, cash flows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256"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If we fail to, or incur significant costs in order to, obtain, maintain, protect, defend or enforce, our intellectual property and other proprietary rights, our business and results of operations could be materially harmed.</w:t>
      </w:r>
    </w:p>
    <w:p>
      <w:pPr>
        <w:spacing w:after="0" w:line="205"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We generally seek or apply for patent protection as and if we deem appropriate, based on then-current facts and circumstances. We have applied for patents in numerous countries across the world, including in the United States,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United States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pursuant to, for example, judicial or administrative proceedings including re-examination, post-grant review, interference, opposition, or derivation proceedings, the coverage of patents and other 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 Moreover, our patents and patent applications may only cover particular aspects of our products, and competitors and other third parties may be able to circumvent or design around our patents. Competitors may develop and obtain patent protection for more effective technologies, designs or methods. There can be no assurance that third parties will not create new products or methods that achieve similar or better results without infringing upon patents we own. If these developments were to occur, it could have an adverse effect on our sales or market position.</w:t>
      </w:r>
    </w:p>
    <w:p>
      <w:pPr>
        <w:spacing w:after="0" w:line="25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United States,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the United States could have a material adverse effect on our business, financial condition, results of operations, and prospects.</w:t>
      </w:r>
    </w:p>
    <w:p>
      <w:pPr>
        <w:spacing w:after="0" w:line="268"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We have initiated, and may in the future need to initiate infringement claims or litigation in order to try to protect or enforce our intellectual property rights. For instance, we have brought an action against a competitor in connection with misappropriation of trade secrets that remains pending (see Item 3. Legal Proceedings).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or other intellectual property at risk of being invalidated or interpreted narrowly and our patent applications or applications for other intellectual property registrations at risk of not issuing. Additionally, any enforcement of our patents or other intellectual property may provoke third parties to assert counterclaims against us. Any of the foregoing could have a material adverse effect on our business, financial condition, results of operations and prospects.</w:t>
      </w:r>
    </w:p>
    <w:p>
      <w:pPr>
        <w:spacing w:after="0" w:line="215"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b w:val="1"/>
          <w:bCs w:val="1"/>
          <w:i w:val="1"/>
          <w:iCs w:val="1"/>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 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these results would materially and adversely affect our business, financial condition, results of operations and prospects. Finally, any litigation or claims, whether or not valid, could result in substantial costs, negative publicity and diversion of resources and management attention, any of which could have a material adverse effect on our business, financial condition, results of operations and prospects.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Growth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We have experienced significant growth in recent periods. We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Our current and planned operations, personnel, IT and other systems and procedures might be inadequate to support our future growth and may require us to make additional unanticipated investment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20"/>
          <w:szCs w:val="20"/>
          <w:b w:val="1"/>
          <w:bCs w:val="1"/>
          <w:i w:val="1"/>
          <w:iCs w:val="1"/>
          <w:color w:val="auto"/>
        </w:rPr>
        <w:t>We depend upon a number of outside vendors. Our operations could be disrupted if we encounter problems with these vendors.</w:t>
      </w:r>
    </w:p>
    <w:p>
      <w:pPr>
        <w:spacing w:after="0" w:line="205"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While we manufacture products at our principal manufacturing facility in Albuquerque, New Mexico, 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if not already multi-sourced.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spacing w:after="0" w:line="215" w:lineRule="exact"/>
        <w:rPr>
          <w:sz w:val="20"/>
          <w:szCs w:val="20"/>
          <w:color w:val="auto"/>
        </w:rPr>
      </w:pPr>
    </w:p>
    <w:p>
      <w:pPr>
        <w:ind w:right="760"/>
        <w:spacing w:after="0" w:line="286" w:lineRule="auto"/>
        <w:rPr>
          <w:sz w:val="20"/>
          <w:szCs w:val="20"/>
          <w:color w:val="auto"/>
        </w:rPr>
      </w:pPr>
      <w:r>
        <w:rPr>
          <w:rFonts w:ascii="Arial" w:cs="Arial" w:eastAsia="Arial" w:hAnsi="Arial"/>
          <w:sz w:val="20"/>
          <w:szCs w:val="20"/>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205"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adverse publicity, substantial fines, penalties, criminal proceedings, third-party property damage or personal injury claims, cleanup costs, or other costs. We may become liable under certain of these laws and regulations for costs to investigate or remediate contamination at properties we own or operate, we formerly owned or operated or to which hazardous substances were sent by us for disposal. Liability under these laws and regulations can be imposed on a joint and several basis and without regard to fault or the legality of the activities giving rise to the contamination conditions. In addition, future developments such as more aggressive enforcement policies or the discovery of presently unknown environmental conditions may require expenditures that could have an adverse effect on our business, financial condition, and results of operations.</w:t>
      </w:r>
    </w:p>
    <w:p>
      <w:pPr>
        <w:spacing w:after="0" w:line="216" w:lineRule="exact"/>
        <w:rPr>
          <w:sz w:val="20"/>
          <w:szCs w:val="20"/>
          <w:color w:val="auto"/>
        </w:rPr>
      </w:pPr>
    </w:p>
    <w:p>
      <w:pPr>
        <w:ind w:right="500"/>
        <w:spacing w:after="0" w:line="286" w:lineRule="auto"/>
        <w:rPr>
          <w:sz w:val="20"/>
          <w:szCs w:val="20"/>
          <w:color w:val="auto"/>
        </w:rPr>
      </w:pPr>
      <w:r>
        <w:rPr>
          <w:rFonts w:ascii="Arial" w:cs="Arial" w:eastAsia="Arial" w:hAnsi="Arial"/>
          <w:sz w:val="20"/>
          <w:szCs w:val="20"/>
          <w:b w:val="1"/>
          <w:bCs w:val="1"/>
          <w:i w:val="1"/>
          <w:iCs w:val="1"/>
          <w:color w:val="auto"/>
        </w:rPr>
        <w:t>We are required to make payments under the Tax Receivable Agreement (“TRA”) if and when cash tax savings are realized, and the amounts of such payments could be significant.</w:t>
      </w:r>
    </w:p>
    <w:p>
      <w:pPr>
        <w:spacing w:after="0" w:line="191"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Concurrent with Former Parent’s acquisition of Array Technologies Patent Holdings Co., LLC. (“Patent LLC”), Array Tech, Inc. (f/k/a Array Technologies, Inc.) entered into the TRA with Ron P. Corio, our indirect stockholder. The TRA requires that Array Tech, Inc. (f/k/a Array Technologies, Inc.) pay Ron P. Corio for a portion of certain federal, state, local and non-U.S. tax benefits that we actually realize (or are deemed to realize in certain circumstances) in taxable periods following Former Parent’s acquisition of the Patent LLC. These payments are obligations if and when cash tax savings are realized. The TRA will continue until all tax benefit payments have been made or we elect early termination under the terms described in the TRA (or the TRA is otherwise terminated pursuant to its terms).</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Estimating the amount of payments that may be made under the TRA is by nature imprecise; however, these payments could be significant. We estimate that, as of December 31, 2020, the undiscounted future expected payments under the TRA are $25.3 million. In addition, in certain cases, payments under the TRA may be accelerated and/or significantly exceed the actual benefits, if any, we realize in respect of the tax attributes subject to the TRA. Moreover, we will not be reimbursed for any payments made under the TRA in the event that any tax benefits are subsequently disallowed.</w:t>
      </w:r>
    </w:p>
    <w:p>
      <w:pPr>
        <w:spacing w:after="0" w:line="23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Further, our payment obligations under the TRA are not conditioned upon Ron P. Corio having a continued interest in us or our subsidiaries. Accordingly, Ron P. Corio’s interests may conflict with those of the holders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changes in the cost of raw materials could adversely affect our financial performance.</w:t>
      </w:r>
    </w:p>
    <w:p>
      <w:pPr>
        <w:spacing w:after="0" w:line="28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b w:val="1"/>
          <w:bCs w:val="1"/>
          <w:i w:val="1"/>
          <w:iCs w:val="1"/>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rely on transportation and logistics providers for the delivery of our products. We may also incur additional shipping costs when we need to accelerate delivery times. Our ability to deliver our products in a cost 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COVID-19 or other epidemics, and other factors not within our control. Disruptions to transportation and logistics, including increases in shipping costs, could adversely impact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delays, disruptions or quality control problems in our manufacturing operations.</w:t>
      </w:r>
    </w:p>
    <w:p>
      <w:pPr>
        <w:spacing w:after="0" w:line="28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increased production and logistics costs and delays. Any of these developments could have a material adverse effect on our business, financial condition, and results of operations.</w:t>
      </w:r>
    </w:p>
    <w:p>
      <w:pPr>
        <w:spacing w:after="0" w:line="216"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216"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Our planned expansion into new markets could subject us to additional business, financial, regulatory and competitive risks.</w:t>
      </w:r>
    </w:p>
    <w:p>
      <w:pPr>
        <w:spacing w:after="0" w:line="205" w:lineRule="exact"/>
        <w:rPr>
          <w:sz w:val="20"/>
          <w:szCs w:val="20"/>
          <w:color w:val="auto"/>
        </w:rPr>
      </w:pPr>
    </w:p>
    <w:p>
      <w:pPr>
        <w:ind w:right="360"/>
        <w:spacing w:after="0" w:line="256" w:lineRule="auto"/>
        <w:rPr>
          <w:sz w:val="20"/>
          <w:szCs w:val="20"/>
          <w:color w:val="auto"/>
        </w:rPr>
      </w:pPr>
      <w:r>
        <w:rPr>
          <w:rFonts w:ascii="Arial" w:cs="Arial" w:eastAsia="Arial" w:hAnsi="Arial"/>
          <w:sz w:val="20"/>
          <w:szCs w:val="20"/>
          <w:color w:val="auto"/>
        </w:rPr>
        <w:t>Our strategy is to grow our revenues outside of the U.S. by developing region-specific products;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Our strategy to grow our revenues outside of the U.S. includes North America, South America, Europe and Southeast Asia but currently excludes China. Our products and services to be offered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We plan to implement this strategy in phases over the next approximately two years, beginning with the qualification of region-specific suppliers and vendors and followed by the design and qualification of region-specific components and products.</w:t>
      </w:r>
    </w:p>
    <w:p>
      <w:pPr>
        <w:spacing w:after="0" w:line="24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These markets have different characteristics from the markets in which we currently sell products, and our success will depend on our ability to adapt properly to these differences. These differences may include 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 (the “FCPA”).</w:t>
      </w:r>
    </w:p>
    <w:p>
      <w:pPr>
        <w:spacing w:after="0" w:line="240"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spacing w:after="0" w:line="209"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b w:val="1"/>
          <w:bCs w:val="1"/>
          <w:i w:val="1"/>
          <w:iCs w:val="1"/>
          <w:color w:val="auto"/>
        </w:rPr>
        <w:t>The requirements of being a public company may strain our resources, divert management’s attention and affect our ability to attract and retain qualified board members and officers.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As a public company, we are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including becoming compliant with SOX 404, significant resources and management oversight may be required. As a result, management’s attention may be diverted from other business concerns, which could harm our business and results of operations. Although we have already hired additional employees in preparation for these heightened requirements, we may need to hire more employees in the future which would increase our costs and expenses.</w:t>
      </w:r>
    </w:p>
    <w:p>
      <w:pPr>
        <w:spacing w:after="0" w:line="239"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Now that we are a public company, it has become more expensive for us to obtain director and officer liability insurance. We may, in the future, have to choose between reduced coverage or substantially higher costs to continue coverage. These factors could make it more difficult for us to attract and retain qualified executive officers and members of our board of directors, particularly to serve on our audit committee and compensation committee.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b w:val="1"/>
          <w:bCs w:val="1"/>
          <w:i w:val="1"/>
          <w:iCs w:val="1"/>
          <w:color w:val="auto"/>
        </w:rPr>
        <w:t>We face risks related to actual or threatened health epidemics, such as the COVID-19 pandemic, and other outbreaks, which could significantly disrupt our manufacturing and operations.</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Our business could be adversely impacted by the effects of a widespread outbreak of contagious disease, including the recent outbreak of respiratory illness caused by a novel coronavirus (“COVID-19”) pandemic first identified in Wuhan, China. Any widespread outbreak of contagious diseases, and other adverse public health developments, could cause disruption to, among other things, our ground operations at project sites, our manufacturing facilities and our suppliers and vendors located in the United States, India and elsewhere and have a material and adverse effect on our business operations. Our ground operations at project sites, our manufacturing facilities and our suppliers and vendors could be disrupted by worker absenteeism, quarantines, shortage of COVID-19 test kits and personal protection equipment for employees, office and factory closures, disruptions to ports and other shipping infrastructure, or other travel or health-related restrictions. If our ground operations at project sites, our manufacturing facilities and our suppliers or vendors are so affected, our supply chain, manufacturing and product shipments will be delayed, which could adversely affect our business, operations and customer relationships. For example, our suppliers and vendors in India have been affected by business closures and disruptions to ports and other shipping infrastructure. In addition, the macroeconomic effects of the COVID-19 pandemic in the United States and other markets has resulted in a widespread health crisis that has adversely affected the economies and financial markets of many countries, resulting in an economic downturn that could affect demand for our products and impact our operating results.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Given the ongoing and dynamic nature of the circumstances, it is difficult to predict the full impact of the COVID-19 pandemic on our business. The extent of such impact will depend on future developments, which are highly uncertain, including when the COVID-19 pandemic can be controlled and abated. Further, while jurisdictions in which we operate have gradually allowed the reopening of businesses and other organizations and removed the sheltering restrictions, it is premature to assess whether doing so will result in a meaningful increase in economic activity and the impact of such actions on further COVID-19 cases.</w:t>
      </w:r>
    </w:p>
    <w:p>
      <w:pPr>
        <w:spacing w:after="0" w:line="236"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We are monitoring the recent global health emergency driven by the potential impact of the COVID-19 pandemic, along with global supply and demand dynamics. The extent to which these events may impact our business will depend on future developments, which are highly uncertain and cannot be predicted at this time.</w:t>
      </w:r>
    </w:p>
    <w:p>
      <w:pPr>
        <w:spacing w:after="0" w:line="233" w:lineRule="exact"/>
        <w:rPr>
          <w:sz w:val="20"/>
          <w:szCs w:val="20"/>
          <w:color w:val="auto"/>
        </w:rPr>
      </w:pPr>
    </w:p>
    <w:p>
      <w:pPr>
        <w:ind w:right="340"/>
        <w:spacing w:after="0" w:line="255" w:lineRule="auto"/>
        <w:rPr>
          <w:sz w:val="20"/>
          <w:szCs w:val="20"/>
          <w:color w:val="auto"/>
        </w:rPr>
      </w:pPr>
      <w:r>
        <w:rPr>
          <w:rFonts w:ascii="Arial" w:cs="Arial" w:eastAsia="Arial" w:hAnsi="Arial"/>
          <w:sz w:val="20"/>
          <w:szCs w:val="20"/>
          <w:color w:val="auto"/>
        </w:rPr>
        <w:t>Although we have thus far avoided significant impact to performance of operations, and have not incurred, to date, liquidated damages due to delay, we have encountered and could encounter in future project delays due to impacts on suppliers, customers, or others. The duration and intensity of these impacts and resulting disruption to our operations is uncertain and continues to evolve as of the date of this filing. Accordingly, management will continue to monitor the impact of the global situation on its financial condition, liquidity, operations, suppliers, industry, and workforce.</w:t>
      </w:r>
    </w:p>
    <w:p>
      <w:pPr>
        <w:spacing w:after="0" w:line="236"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To the extent the COVID-19 pandemic adversely affects our financial condition, operating results and cash flows,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Information Technology</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20"/>
          <w:szCs w:val="20"/>
          <w:b w:val="1"/>
          <w:bCs w:val="1"/>
          <w:i w:val="1"/>
          <w:iCs w:val="1"/>
          <w:color w:val="auto"/>
        </w:rPr>
        <w:t>Failure to effectively utilize information technology systems or implement new technologies could disrupt our business or reduce our sales or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We rely extensively on various information technology systems, including data centers, hardware, software and applications to manage many aspects of our business, including to operate and provide our products and 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computer viruses, malware, phishing or distributed denial-of-service attacks; security breaches; cyber-attacks; catastrophic events such as fires, floods, earthquakes, tornadoes, hurricanes; acts of war or terrorism and design or usage errors by our employees or contractors.</w:t>
      </w:r>
    </w:p>
    <w:p>
      <w:pPr>
        <w:spacing w:after="0" w:line="239" w:lineRule="exact"/>
        <w:rPr>
          <w:sz w:val="20"/>
          <w:szCs w:val="20"/>
          <w:color w:val="auto"/>
        </w:rPr>
      </w:pPr>
    </w:p>
    <w:p>
      <w:pPr>
        <w:ind w:right="560"/>
        <w:spacing w:after="0" w:line="287" w:lineRule="auto"/>
        <w:rPr>
          <w:sz w:val="20"/>
          <w:szCs w:val="20"/>
          <w:color w:val="auto"/>
        </w:rPr>
      </w:pPr>
      <w:r>
        <w:rPr>
          <w:rFonts w:ascii="Arial" w:cs="Arial" w:eastAsia="Arial" w:hAnsi="Arial"/>
          <w:sz w:val="19"/>
          <w:szCs w:val="19"/>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In addition, any interruption in the operation of our websites or systems could cause us to suffer reputational harm or to lose sales if customers are unable to access our site or purchase merchandise from us during such interruption. The efficient operation and successful growth of our business depends upon our information technology systems. The failure of our information technology systems and the third 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214" w:lineRule="exact"/>
        <w:rPr>
          <w:sz w:val="20"/>
          <w:szCs w:val="20"/>
          <w:color w:val="auto"/>
        </w:rPr>
      </w:pPr>
    </w:p>
    <w:p>
      <w:pPr>
        <w:ind w:right="440"/>
        <w:spacing w:after="0" w:line="286" w:lineRule="auto"/>
        <w:rPr>
          <w:sz w:val="20"/>
          <w:szCs w:val="20"/>
          <w:color w:val="auto"/>
        </w:rPr>
      </w:pPr>
      <w:r>
        <w:rPr>
          <w:rFonts w:ascii="Arial" w:cs="Arial" w:eastAsia="Arial" w:hAnsi="Arial"/>
          <w:sz w:val="20"/>
          <w:szCs w:val="20"/>
          <w:b w:val="1"/>
          <w:bCs w:val="1"/>
          <w:i w:val="1"/>
          <w:iCs w:val="1"/>
          <w:color w:val="auto"/>
        </w:rPr>
        <w:t>Unauthorized disclosure of personal or sensitive data or confidential information, whether through a breach of our computer system or otherwise, could severely hurt our business.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Some aspects of our business involves the collection, receipt, use, storage, processing and transmission of personal information (of our customers’ and end users of our customers’ solar energy systems, including names, addresses, e-mail addresses, credit information, energy production statistics), consumer preferences as well as confidential information and personal data about our employees, our suppliers and us, some of which is entrusted to third-party service providers and vendors. We increasingly rely on commercially available systems, software, tools (including encryption technology) and monitoring to provide security and oversight for processing, transmission, storage and protection of confidential information and personal data. Despite the security measures we have in place,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w:t>
      </w:r>
    </w:p>
    <w:p>
      <w:pPr>
        <w:spacing w:after="0" w:line="224"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Electronic security attacks designed to gain access to personal, sensitive or confidential information data by breaching mission critical systems of large organizations are constantly evolving, and high profile electronic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61" w:lineRule="auto"/>
        <w:rPr>
          <w:sz w:val="20"/>
          <w:szCs w:val="20"/>
          <w:color w:val="auto"/>
        </w:rPr>
      </w:pPr>
      <w:r>
        <w:rPr>
          <w:rFonts w:ascii="Arial" w:cs="Arial" w:eastAsia="Arial" w:hAnsi="Arial"/>
          <w:sz w:val="20"/>
          <w:szCs w:val="20"/>
          <w:color w:val="auto"/>
        </w:rPr>
        <w:t>security breaches leading to unauthorized disclosure of confidential information or personal data have occurred recently at a number of major U.S. companies.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Attempts by computer hackers or other unauthorized third parties to penetrate or otherwise gain access to our computer systems or the systems of third parties with which we do business through fraud or other means of deceit, if successful, may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We are implementing and updating our processes and procedures to protect against unauthorized access to, or use of, secured data and to prevent data loss. However, the ever-evolving threats mean we and our third-party service providers and vendors must continually evaluate and adapt our respective systems, procedures, controls and processes, and there is no guarantee that they will be adequate to safeguard against all data security breaches, misappropriating of confidential information, or misuses of personal data. Moreover,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Despite our precautions, an electronic security breach in our systems (or in the systems of third parties with which we do business) that results in the unauthorized release of personally identifiable information regarding customers, employees or other individuals or other sensitive data could nonetheless occur lead to serious disruption of our operations, financial losses from remedial actions, loss of business or potential liability, including possible punitive damages. As a result,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23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Any of the foregoing could have a material adverse effect on our business, financial condition, results of operations and prospects.</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data protection, advertising and consumer protection could adversely affect our business, financial condition, results of operations and prospects.</w:t>
      </w:r>
    </w:p>
    <w:p>
      <w:pPr>
        <w:spacing w:after="0" w:line="223" w:lineRule="exact"/>
        <w:rPr>
          <w:sz w:val="20"/>
          <w:szCs w:val="20"/>
          <w:color w:val="auto"/>
        </w:rPr>
      </w:pPr>
    </w:p>
    <w:p>
      <w:pPr>
        <w:ind w:right="600"/>
        <w:spacing w:after="0" w:line="261" w:lineRule="auto"/>
        <w:rPr>
          <w:sz w:val="20"/>
          <w:szCs w:val="20"/>
          <w:color w:val="auto"/>
        </w:rPr>
      </w:pPr>
      <w:r>
        <w:rPr>
          <w:rFonts w:ascii="Arial" w:cs="Arial" w:eastAsia="Arial" w:hAnsi="Arial"/>
          <w:sz w:val="20"/>
          <w:szCs w:val="20"/>
          <w:color w:val="auto"/>
        </w:rPr>
        <w:t>We rely on a variety of marketing and advertising techniques and we are subject to various laws, regulations and industry standards that govern such marketing and advertising practices. A variety of federal, state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60"/>
        <w:spacing w:after="0" w:line="261" w:lineRule="auto"/>
        <w:rPr>
          <w:sz w:val="20"/>
          <w:szCs w:val="20"/>
          <w:color w:val="auto"/>
        </w:rPr>
      </w:pPr>
      <w:r>
        <w:rPr>
          <w:rFonts w:ascii="Arial" w:cs="Arial" w:eastAsia="Arial" w:hAnsi="Arial"/>
          <w:sz w:val="20"/>
          <w:szCs w:val="20"/>
          <w:color w:val="auto"/>
        </w:rPr>
        <w:t>foreign laws and regulations and certain industry standards govern the collection, use, processing retention, sharing and security of consumer data.</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Laws, regulations and industry standards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spacing w:after="0" w:line="23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Any such claims, proceedings, investigations or actions could hurt our reputation, brand and business, force us to incur significant expenses in defense of such claims, proceedings, investigations or actions, distract our management, increase our costs of doing business, result in a loss of customers, suppliers or vendors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Federal, state and foreign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more restricted and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In addition, various federal, state and foreign legislative and regulatory bodies, or self-regulatory organizations, may expand current laws or regulations, enact new laws or regulations or issue revised rules or guidance regarding privacy, data protection, consumer protection, and advertising. For example, in June 2018, the State of California enacted the California Consumer Privacy Act of 2018 (the “CCPA”), which came into effect on January 1, 2020. The CCPA requires companies that process information relating to California residents to implement additional data security measures, to make new disclosures to consumers about their data collection, use and sharing practices, and allows consumers to opt out of certain data sharing with third parties. In addition, the CCPA provides for civil penalties and allows private lawsuits from California residents in the event of certain data breaches. Additionally, the Federal Trade Commission and many state attorneys general are interpreting federal and state consumer protection laws to impose standards for the online collection, use, dissemination and security of data. Each of these privacy, security, and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Any failure to comply with applicable laws or other obligations or any security incident or breach involving the misappropriation, loss or other unauthorized processing, use or disclosure of sensitive or confidential consumer or other personal information, whether by us, one of our third-party service providers or vendors or another third party, could have adverse effects,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reputational damage; and injunctive relief. We cannot assure you that our vendors or other third-party service providers with access to our or our customers’ or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Indebtedness and Financing</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affect our financial flexibility and our competitive position.</w:t>
      </w:r>
    </w:p>
    <w:p>
      <w:pPr>
        <w:spacing w:after="0" w:line="28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As of December 31, 2020, we owe $460.0 million under our Senior Secured Credit Facility (as defined below). Our level of indebtedness increases the risk that we may be unable to generate cash sufficient to pay amounts due in respect of our indebtedness. Our indebtedness could have other important consequences to you and significant effects on our business. For example, it could:</w:t>
      </w:r>
    </w:p>
    <w:p>
      <w:pPr>
        <w:spacing w:after="0" w:line="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increase our vulnerability to adverse changes in general economic, industry and competitive conditions;</w:t>
      </w:r>
    </w:p>
    <w:p>
      <w:pPr>
        <w:spacing w:after="0" w:line="13" w:lineRule="exact"/>
        <w:rPr>
          <w:rFonts w:ascii="Arial" w:cs="Arial" w:eastAsia="Arial" w:hAnsi="Arial"/>
          <w:sz w:val="20"/>
          <w:szCs w:val="20"/>
          <w:color w:val="auto"/>
        </w:rPr>
      </w:pPr>
    </w:p>
    <w:p>
      <w:pPr>
        <w:ind w:left="660" w:right="420" w:hanging="328"/>
        <w:spacing w:after="0" w:line="25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restrict us from exploiting business opportunities;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it more difficult to satisfy our financial obligations, including payments on our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place us at a disadvantage compared to our competitors that have less debt; and</w:t>
      </w:r>
    </w:p>
    <w:p>
      <w:pPr>
        <w:spacing w:after="0" w:line="13" w:lineRule="exact"/>
        <w:rPr>
          <w:rFonts w:ascii="Arial" w:cs="Arial" w:eastAsia="Arial" w:hAnsi="Arial"/>
          <w:sz w:val="20"/>
          <w:szCs w:val="20"/>
          <w:color w:val="auto"/>
        </w:rPr>
      </w:pPr>
    </w:p>
    <w:p>
      <w:pPr>
        <w:ind w:left="660" w:right="1180" w:hanging="328"/>
        <w:spacing w:after="0" w:line="261"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our ability to borrow additional funds for working capital, capital expenditures, acquisitions, debt service requirements, execution of our business strategy or other general corporate purposes.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addition, the agreement governing the Senior Secured Credit Facility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234" w:lineRule="exact"/>
        <w:rPr>
          <w:sz w:val="20"/>
          <w:szCs w:val="20"/>
          <w:color w:val="auto"/>
        </w:rPr>
      </w:pPr>
    </w:p>
    <w:p>
      <w:pPr>
        <w:jc w:val="both"/>
        <w:ind w:right="200"/>
        <w:spacing w:after="0" w:line="253" w:lineRule="auto"/>
        <w:rPr>
          <w:sz w:val="20"/>
          <w:szCs w:val="20"/>
          <w:color w:val="auto"/>
        </w:rPr>
      </w:pPr>
      <w:r>
        <w:rPr>
          <w:rFonts w:ascii="Arial" w:cs="Arial" w:eastAsia="Arial" w:hAnsi="Arial"/>
          <w:sz w:val="20"/>
          <w:szCs w:val="20"/>
          <w:color w:val="auto"/>
        </w:rPr>
        <w:t>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w:t>
      </w:r>
    </w:p>
    <w:p>
      <w:pPr>
        <w:spacing w:after="0" w:line="2"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place liens on our or our restricted subsidiaries’ assets;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make investments other than permitted investments;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prepay or redeem certain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merge, consolidate or dissolve;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sell assets;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change the nature of our business;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change our or our subsidiaries’ fiscal year or organizational documents;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make restricted payments (including certain equity issuances).</w:t>
      </w:r>
    </w:p>
    <w:p>
      <w:pPr>
        <w:spacing w:after="0" w:line="243" w:lineRule="exact"/>
        <w:rPr>
          <w:sz w:val="20"/>
          <w:szCs w:val="20"/>
          <w:color w:val="auto"/>
        </w:rPr>
      </w:pPr>
    </w:p>
    <w:p>
      <w:pPr>
        <w:ind w:right="460"/>
        <w:spacing w:after="0" w:line="230" w:lineRule="auto"/>
        <w:rPr>
          <w:sz w:val="20"/>
          <w:szCs w:val="20"/>
          <w:color w:val="auto"/>
        </w:rPr>
      </w:pPr>
      <w:r>
        <w:rPr>
          <w:rFonts w:ascii="Arial" w:cs="Arial" w:eastAsia="Arial" w:hAnsi="Arial"/>
          <w:sz w:val="20"/>
          <w:szCs w:val="20"/>
          <w:color w:val="auto"/>
        </w:rPr>
        <w:t>In addition, the Revolving Credit Facility (as defined below)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20"/>
          <w:szCs w:val="20"/>
          <w:b w:val="1"/>
          <w:bCs w:val="1"/>
          <w:i w:val="1"/>
          <w:iCs w:val="1"/>
          <w:color w:val="auto"/>
        </w:rPr>
        <w:t>The phase-out, replacement or unavailability of LIBOR and/or other interest rate benchmarks could adversely affect our indebtedness.</w:t>
      </w:r>
    </w:p>
    <w:p>
      <w:pPr>
        <w:spacing w:after="0" w:line="205"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The interest rates applicable to the Senior Secured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Senior Secured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provided that, with respect to any proposed amendment containing any SOFR-based rate, the Lenders shall be entitled to object only to the benchmark replacement spread (or method for calculating or determining such spread adjustment)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Senior Secured Credit Facility, or incur additional indebtedness, on favorable terms, or at all.</w:t>
      </w:r>
    </w:p>
    <w:p>
      <w:pPr>
        <w:spacing w:after="0" w:line="216"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our current or future business strategies on favorable terms, if at all, or without dilution to our stockholders.</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If financing is not available on acceptable terms, if and when needed, our ability to fund our operations, expand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56" w:lineRule="exact"/>
        <w:rPr>
          <w:sz w:val="20"/>
          <w:szCs w:val="20"/>
          <w:color w:val="auto"/>
        </w:rPr>
      </w:pPr>
    </w:p>
    <w:p>
      <w:pPr>
        <w:jc w:val="both"/>
        <w:ind w:right="220"/>
        <w:spacing w:after="0" w:line="269" w:lineRule="auto"/>
        <w:rPr>
          <w:sz w:val="20"/>
          <w:szCs w:val="20"/>
          <w:color w:val="auto"/>
        </w:rPr>
      </w:pPr>
      <w:r>
        <w:rPr>
          <w:rFonts w:ascii="Arial" w:cs="Arial" w:eastAsia="Arial" w:hAnsi="Arial"/>
          <w:sz w:val="20"/>
          <w:szCs w:val="20"/>
          <w:b w:val="1"/>
          <w:bCs w:val="1"/>
          <w:i w:val="1"/>
          <w:iCs w:val="1"/>
          <w:color w:val="auto"/>
        </w:rPr>
        <w:t>As an emerging growth company within the meaning of the Securities Act, we may utilize certain modified disclosure requirements, and we cannot be certain if these reduced requirements will make our common stock less attractive to investors.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 not being required to have our independent registered public accounting firm audit our internal control over financial reporting under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compensation not previously approved. We have in this Annual Report on Form 10-K utilized, and we may in future filings with the SEC continue to utilize, the modified disclosure requirements available to emerging growth companies. As a result, our stockholders may not have access to certain information they may deem important.</w:t>
      </w:r>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not “opt out” of this exemption from complying with new or revised accounting standards, and, therefore, we are permitted to adopt new or revised accounting standards at the time private companies adopt the new or revised accounting standard and are permitted to do so until such time that we either (i) irrevocably elect to “opt out” of such extended transition period or (ii) no longer qualify as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could remain an emerging growth company until the earliest to occur of (i) the last day of the fiscal year during which we had total annual gross revenues of at least $1.07 billion (as indexed for inflation), (ii) the last day of the fiscal year following the fifth anniversary of the date of the first sale of common stock in connection with our IPO, (iii) the date on which we have, during the previous three-year period, issued more than $1 billion in non-convertible debt, or (iv) the date on which we are deemed to be a “large accelerated filer,” as defined under the Exchange Act. As of the date of this filing we anticipate losing our emerging growth company eligibility on December 31, 2021 based upon our current unaffiliated market capitalization.</w:t>
      </w:r>
    </w:p>
    <w:p>
      <w:pPr>
        <w:spacing w:after="0" w:line="211" w:lineRule="exact"/>
        <w:rPr>
          <w:sz w:val="20"/>
          <w:szCs w:val="20"/>
          <w:color w:val="auto"/>
        </w:rPr>
      </w:pPr>
    </w:p>
    <w:p>
      <w:pPr>
        <w:ind w:right="420"/>
        <w:spacing w:after="0" w:line="286" w:lineRule="auto"/>
        <w:rPr>
          <w:sz w:val="20"/>
          <w:szCs w:val="20"/>
          <w:color w:val="auto"/>
        </w:rPr>
      </w:pPr>
      <w:r>
        <w:rPr>
          <w:rFonts w:ascii="Arial" w:cs="Arial" w:eastAsia="Arial" w:hAnsi="Arial"/>
          <w:sz w:val="20"/>
          <w:szCs w:val="20"/>
          <w:b w:val="1"/>
          <w:bCs w:val="1"/>
          <w:i w:val="1"/>
          <w:iCs w:val="1"/>
          <w:color w:val="auto"/>
        </w:rPr>
        <w:t>Provisions in our certificate of incorporation and bylaws, may have the effect of delaying or preventing a change of control or changes in our management.</w:t>
      </w:r>
    </w:p>
    <w:p>
      <w:pPr>
        <w:spacing w:after="0" w:line="205"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2" w:lineRule="exact"/>
        <w:rPr>
          <w:sz w:val="20"/>
          <w:szCs w:val="20"/>
          <w:color w:val="auto"/>
        </w:rPr>
      </w:pPr>
    </w:p>
    <w:p>
      <w:pPr>
        <w:ind w:left="660" w:right="28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authorizing “blank check” preferred stock that our board of directors could issue to increase the number of outstanding shares to discourage a takeover attempt;</w:t>
      </w:r>
    </w:p>
    <w:p>
      <w:pPr>
        <w:spacing w:after="0" w:line="1" w:lineRule="exact"/>
        <w:rPr>
          <w:rFonts w:ascii="Arial" w:cs="Arial" w:eastAsia="Arial" w:hAnsi="Arial"/>
          <w:sz w:val="20"/>
          <w:szCs w:val="20"/>
          <w:color w:val="auto"/>
        </w:rPr>
      </w:pPr>
    </w:p>
    <w:p>
      <w:pPr>
        <w:ind w:left="660" w:right="2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providing for a classified board of directors with staggered, three-year terms, which could delay the ability of stockholders to change the membership of a majority of our board of directors;</w:t>
      </w:r>
    </w:p>
    <w:p>
      <w:pPr>
        <w:spacing w:after="0" w:line="1" w:lineRule="exact"/>
        <w:rPr>
          <w:rFonts w:ascii="Arial" w:cs="Arial" w:eastAsia="Arial" w:hAnsi="Arial"/>
          <w:sz w:val="20"/>
          <w:szCs w:val="20"/>
          <w:color w:val="auto"/>
        </w:rPr>
      </w:pPr>
    </w:p>
    <w:p>
      <w:pPr>
        <w:ind w:left="660" w:right="44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not providing for cumulative voting in the election of directors, which limits the ability of minority stockholders to elect director candidates;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limiting the ability of stockholders to call a special stockholder meeting;</w:t>
      </w:r>
    </w:p>
    <w:p>
      <w:pPr>
        <w:spacing w:after="0" w:line="13" w:lineRule="exact"/>
        <w:rPr>
          <w:rFonts w:ascii="Arial" w:cs="Arial" w:eastAsia="Arial" w:hAnsi="Arial"/>
          <w:sz w:val="20"/>
          <w:szCs w:val="20"/>
          <w:color w:val="auto"/>
        </w:rPr>
      </w:pPr>
    </w:p>
    <w:p>
      <w:pPr>
        <w:ind w:left="660" w:right="62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prohibiting stockholders from acting by written consent from and after the date on which Oaktree Power, Oaktree Investors and each of their respective affiliates cease to beneficially own at least 50% of the outstanding shares of common stock (the “Trigger Event”);</w:t>
      </w:r>
    </w:p>
    <w:p>
      <w:pPr>
        <w:spacing w:after="0" w:line="1" w:lineRule="exact"/>
        <w:rPr>
          <w:rFonts w:ascii="Arial" w:cs="Arial" w:eastAsia="Arial" w:hAnsi="Arial"/>
          <w:sz w:val="20"/>
          <w:szCs w:val="20"/>
          <w:color w:val="auto"/>
        </w:rPr>
      </w:pPr>
    </w:p>
    <w:p>
      <w:pPr>
        <w:ind w:left="660" w:right="22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establishing advance notice requirements for nominations for election to our board of directors or for proposing matters that can be acted upon by stockholders at stockholder meetings;</w:t>
      </w:r>
    </w:p>
    <w:p>
      <w:pPr>
        <w:spacing w:after="0" w:line="1" w:lineRule="exact"/>
        <w:rPr>
          <w:rFonts w:ascii="Arial" w:cs="Arial" w:eastAsia="Arial" w:hAnsi="Arial"/>
          <w:sz w:val="20"/>
          <w:szCs w:val="20"/>
          <w:color w:val="auto"/>
        </w:rPr>
      </w:pPr>
    </w:p>
    <w:p>
      <w:pPr>
        <w:ind w:left="660" w:right="60" w:hanging="328"/>
        <w:spacing w:after="0" w:line="25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Trigger Event, the removal of directors only for cause and only upon the affirmative vote of the holders of at least 66 2/3% in voting power of all the then-outstanding shares of common stock of the Company entitled to vote thereon;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providing that our board of directors is expressly authorized to amend, alter, rescind or repeal our bylaws; and</w:t>
      </w:r>
    </w:p>
    <w:p>
      <w:pPr>
        <w:spacing w:after="0" w:line="13" w:lineRule="exact"/>
        <w:rPr>
          <w:rFonts w:ascii="Arial" w:cs="Arial" w:eastAsia="Arial" w:hAnsi="Arial"/>
          <w:sz w:val="20"/>
          <w:szCs w:val="20"/>
          <w:color w:val="auto"/>
        </w:rPr>
      </w:pPr>
    </w:p>
    <w:p>
      <w:pPr>
        <w:ind w:left="660" w:right="160" w:hanging="328"/>
        <w:spacing w:after="0" w:line="25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Trigger Event, which occurred in 2020, 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In addition, our certificate of incorporation provides that the federal district courts of the United States is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any cash distributions or dividends on our common stock in the foreseeable future.</w:t>
      </w:r>
    </w:p>
    <w:p>
      <w:pPr>
        <w:spacing w:after="0" w:line="26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(as defined below).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b w:val="1"/>
          <w:bCs w:val="1"/>
          <w:i w:val="1"/>
          <w:iCs w:val="1"/>
          <w:color w:val="auto"/>
        </w:rPr>
        <w:t>Internal control deficiencies have historically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w:t>
      </w:r>
    </w:p>
    <w:p>
      <w:pPr>
        <w:spacing w:after="0" w:line="214"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In connection with the audit of our consolidated financial statements for the years ended December 31, 2020, 2019 and 2018, we identified certain material weaknesses in our internal controls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in the years ended December 31, 2019 and 2018 were related to our financial close process, reconciliation of deferred and unbilled revenue, and inventory cut-off and pricing, specifically due to lack of qualified accounting and finance personnel, and in the case of the existing material weakness for inventory cut-off, due mainly to lack of system capabilities. In preparing our financial statements for the years ended December 31, 2018 and 2019, our internal controls failed to detect certain errors related to the classification of deferred and unbilled revenue, as well as inventory. As of December 31, 2020, we have remediated the material weaknesses related to our financial statements close process, reconciliation of deferred and unbilled revenue and inventory pricing, and are in the process of remediating the material weaknesses associated with inventory cut-off. Although no material errors were identified in this area for the year ended December 31, 2020, the material weakness for inventory cut-off is deemed still not remediated as of December 31, 2020. We have hired additional accounting and finance personnel with technical accounting and financial reporting experience as well as implemented procedures and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controls in the financial close processes to remediate the material weaknesses for our financial statement close process, reconciliation of deferred and unbilled revenue, and inventory pricing. We have also taken steps intended to remediate the inventory cut-off weaknesses primarily through procedures and controls in the financial statement close process while working to deploy system enhancements designed to improve the accuracy of inventory reporting. While we believe that these efforts will improve our internal control over financial reporting, the implementation of these procedures is ongoing and will require validation and testing of the design and operating effectiveness of internal controls over a sustained period of financial reporting cycles. We cannot be certain that these measures will successfully remediate the material weakness or that other material weaknesses and control deficiencies will not be discovered in the future.</w:t>
      </w:r>
    </w:p>
    <w:p>
      <w:pPr>
        <w:spacing w:after="0" w:line="223"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As an emerging growth company, our independent registered public accounting firm is not required, and has not conducted an audit of our internal control over financial reporting. Due to a transition period established by rules of the SEC for newly public companies, our management has not completed an assessment of the effectiveness of our internal control over financial reporting herein. Evaluation by us of our internal controls over financial reporting may identify additional material weaknesses. The identification of a material weakness in our internal controls or the failure to remediate existing material weaknesses in our internal controls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This could have a material adverse effect on our business, financial condition and results of operations and could also lead to a decline in the price of our common stock.</w:t>
      </w:r>
    </w:p>
    <w:p>
      <w:pPr>
        <w:spacing w:after="0" w:line="24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We are required to comply with the SEC’s rules implementing Section 404 of Sarbanes-Oxley, and will therefore be required to make a formal assessment of the effectiveness of our internal control over financial reporting for that purpose. We are required to comply with the SEC’s rules implementing Sections 302 and 404 of Sarbanes-Oxley, which will require our management to certify financial and other information in our quarterly and annual reports and provide an annual management report on the effectiveness of our internal control over financial reporting. Though we are required to disclose material changes made to our internal controls and procedures on a quarterly basis, we are not required to make our first annual assessment of our internal control over financial reporting pursuant to Section 404 until the year following the first annual report we are required to file with the SEC. To comply with the requirements of being a public company, we need to implement additional internal controls, reporting systems and procedures and hire additional accounting, finance and legal staff.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05"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b w:val="1"/>
          <w:bCs w:val="1"/>
          <w:i w:val="1"/>
          <w:iCs w:val="1"/>
          <w:color w:val="auto"/>
        </w:rPr>
        <w:t>If we fail to establish and maintain an effective system of integrated internal controls, we may not be able to report our financial results accurately, which could have a material adverse effect on our business, financial condition and results of operations.</w:t>
      </w:r>
    </w:p>
    <w:p>
      <w:pPr>
        <w:spacing w:after="0" w:line="22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in certain situations. We will be required to perform the internal annual review and evaluation of our internal controls no later than for fiscal 2021. We initially qualify as an emerging growth company, and thus, we will be exempt from the auditors’ attestation requirement until such time as we no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longer qualify as an emerging growth company. Regardless of whether we qualify as an emerging growth company, we will still need to implement substantial control systems and procedures in order to satisfy the reporting requirements under the Exchange Act and applicable Nasdaq requirements, among other items. Establishing these internal controls are costly and may divert management’s attention.</w:t>
      </w:r>
    </w:p>
    <w:p>
      <w:pPr>
        <w:spacing w:after="0" w:line="234"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Evaluation by us of our internal controls over financial reporting may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80"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Our corporate headquarters are located in Albuquerque, New Mexico and consists of 11,647 square feet of office space and 57,911 square feet of manufacturing, warehousing and shipping space, respectively. We own our corporate headquarters.</w:t>
      </w:r>
    </w:p>
    <w:p>
      <w:pPr>
        <w:spacing w:after="0" w:line="206" w:lineRule="exact"/>
        <w:rPr>
          <w:sz w:val="20"/>
          <w:szCs w:val="20"/>
          <w:color w:val="auto"/>
        </w:rPr>
      </w:pPr>
    </w:p>
    <w:p>
      <w:pPr>
        <w:jc w:val="both"/>
        <w:ind w:right="340"/>
        <w:spacing w:after="0" w:line="277" w:lineRule="auto"/>
        <w:rPr>
          <w:sz w:val="20"/>
          <w:szCs w:val="20"/>
          <w:color w:val="auto"/>
        </w:rPr>
      </w:pPr>
      <w:r>
        <w:rPr>
          <w:rFonts w:ascii="Arial" w:cs="Arial" w:eastAsia="Arial" w:hAnsi="Arial"/>
          <w:sz w:val="19"/>
          <w:szCs w:val="19"/>
          <w:color w:val="auto"/>
        </w:rPr>
        <w:t>In addition to our corporate headquarters, we lease approximately 1,276,000, 649,000, 500,000, 357,000, 187,000 ,176,000, and 135,000 square feet of warehousing facilities in Kansas, Nevada, Tennessee, Ohio, Texas, New Mexico, and Wisconsin, respectively. We also lease space in Australia and Spain for sales and technical support employees.</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We believe that our existing properties are in good condition and are sufficient and suitable for the conduct of our business for the foreseeable future. To the extent our needs change as our business grows, we expect that additional space and facilities will be available.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December 31, 2020, the Court has denied in every material aspect the motion for summary judgment filed by the Defendants. The Court has yet to rule on a motion for sanctions filed by Array. We anticipate that once the court has ruled on all of the pending motions, and the court procedures allow for jury trials to resume, it will set a trial date.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56" w:lineRule="exact"/>
        <w:rPr>
          <w:sz w:val="20"/>
          <w:szCs w:val="20"/>
          <w:color w:val="auto"/>
        </w:rPr>
      </w:pPr>
    </w:p>
    <w:p>
      <w:pPr>
        <w:ind w:right="40"/>
        <w:spacing w:after="0" w:line="519"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20"/>
          <w:szCs w:val="20"/>
          <w:color w:val="auto"/>
        </w:rPr>
        <w:t>Our Common Stock, par value $0.001 per share, began trading on the NASDAQ Global Market under the symbol “ARRY” on October 15, 2020. Prior to that date, there was no public trading market for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280" w:lineRule="exact"/>
        <w:rPr>
          <w:sz w:val="20"/>
          <w:szCs w:val="20"/>
          <w:color w:val="auto"/>
        </w:rPr>
      </w:pPr>
    </w:p>
    <w:p>
      <w:pPr>
        <w:ind w:right="300"/>
        <w:spacing w:after="0" w:line="261" w:lineRule="auto"/>
        <w:rPr>
          <w:sz w:val="20"/>
          <w:szCs w:val="20"/>
          <w:color w:val="auto"/>
        </w:rPr>
      </w:pPr>
      <w:r>
        <w:rPr>
          <w:rFonts w:ascii="Arial" w:cs="Arial" w:eastAsia="Arial" w:hAnsi="Arial"/>
          <w:sz w:val="20"/>
          <w:szCs w:val="20"/>
          <w:color w:val="auto"/>
        </w:rPr>
        <w:t>As of March 5, 2021, there were approximately 2 stockholders of record of our common stock, which does not include shares held in street name.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6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Our Equity Compensation Plans</w:t>
      </w:r>
    </w:p>
    <w:p>
      <w:pPr>
        <w:spacing w:after="0" w:line="28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4886325" cy="3789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632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r>
              <w:rPr>
                <w:rFonts w:ascii="Arial" w:cs="Arial" w:eastAsia="Arial" w:hAnsi="Arial"/>
                <w:sz w:val="20"/>
                <w:szCs w:val="20"/>
                <w:color w:val="auto"/>
              </w:rPr>
              <w:t>None.</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3"/>
        </w:trPr>
        <w:tc>
          <w:tcPr>
            <w:tcW w:w="5400" w:type="dxa"/>
            <w:vAlign w:val="bottom"/>
          </w:tcPr>
          <w:p>
            <w:pPr>
              <w:spacing w:after="0"/>
              <w:rPr>
                <w:sz w:val="20"/>
                <w:szCs w:val="20"/>
                <w:color w:val="auto"/>
              </w:rPr>
            </w:pPr>
            <w:r>
              <w:rPr>
                <w:rFonts w:ascii="Arial" w:cs="Arial" w:eastAsia="Arial" w:hAnsi="Arial"/>
                <w:sz w:val="20"/>
                <w:szCs w:val="20"/>
                <w:b w:val="1"/>
                <w:bCs w:val="1"/>
                <w:color w:val="auto"/>
              </w:rPr>
              <w:t>Item 6. Selected Financial Data.</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5400" w:type="dxa"/>
            <w:vAlign w:val="bottom"/>
          </w:tcPr>
          <w:p>
            <w:pPr>
              <w:spacing w:after="0"/>
              <w:rPr>
                <w:sz w:val="20"/>
                <w:szCs w:val="20"/>
                <w:color w:val="auto"/>
              </w:rPr>
            </w:pPr>
            <w:r>
              <w:rPr>
                <w:rFonts w:ascii="Arial" w:cs="Arial" w:eastAsia="Arial" w:hAnsi="Arial"/>
                <w:sz w:val="20"/>
                <w:szCs w:val="20"/>
                <w:b w:val="1"/>
                <w:bCs w:val="1"/>
                <w:color w:val="auto"/>
              </w:rPr>
              <w:t>Consolidated Statements of Operations Data:</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6"/>
        </w:trPr>
        <w:tc>
          <w:tcPr>
            <w:tcW w:w="54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20"/>
                <w:szCs w:val="20"/>
                <w:b w:val="1"/>
                <w:bCs w:val="1"/>
                <w:color w:val="auto"/>
              </w:rPr>
              <w:t>Year Ended December 31,</w:t>
            </w:r>
          </w:p>
        </w:tc>
        <w:tc>
          <w:tcPr>
            <w:tcW w:w="1440" w:type="dxa"/>
            <w:vAlign w:val="bottom"/>
            <w:tcBorders>
              <w:bottom w:val="single" w:sz="8" w:color="auto"/>
            </w:tcBorders>
          </w:tcPr>
          <w:p>
            <w:pPr>
              <w:spacing w:after="0"/>
              <w:rPr>
                <w:sz w:val="23"/>
                <w:szCs w:val="23"/>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2018</w:t>
            </w:r>
          </w:p>
        </w:tc>
      </w:tr>
      <w:tr>
        <w:trPr>
          <w:trHeight w:val="236"/>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647,899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290,783</w:t>
            </w:r>
          </w:p>
        </w:tc>
      </w:tr>
      <w:tr>
        <w:trPr>
          <w:trHeight w:val="243"/>
        </w:trPr>
        <w:tc>
          <w:tcPr>
            <w:tcW w:w="540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202,801</w:t>
            </w:r>
          </w:p>
        </w:tc>
        <w:tc>
          <w:tcPr>
            <w:tcW w:w="80" w:type="dxa"/>
            <w:vAlign w:val="bottom"/>
          </w:tcPr>
          <w:p>
            <w:pPr>
              <w:spacing w:after="0"/>
              <w:rPr>
                <w:sz w:val="21"/>
                <w:szCs w:val="21"/>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150,761</w:t>
            </w:r>
          </w:p>
        </w:tc>
        <w:tc>
          <w:tcPr>
            <w:tcW w:w="80" w:type="dxa"/>
            <w:vAlign w:val="bottom"/>
          </w:tcPr>
          <w:p>
            <w:pPr>
              <w:spacing w:after="0"/>
              <w:rPr>
                <w:sz w:val="21"/>
                <w:szCs w:val="21"/>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11,555</w:t>
            </w: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r>
      <w:tr>
        <w:trPr>
          <w:trHeight w:val="243"/>
        </w:trPr>
        <w:tc>
          <w:tcPr>
            <w:tcW w:w="5400" w:type="dxa"/>
            <w:vAlign w:val="bottom"/>
          </w:tcPr>
          <w:p>
            <w:pPr>
              <w:ind w:left="20"/>
              <w:spacing w:after="0"/>
              <w:rPr>
                <w:sz w:val="20"/>
                <w:szCs w:val="20"/>
                <w:color w:val="auto"/>
              </w:rPr>
            </w:pPr>
            <w:r>
              <w:rPr>
                <w:rFonts w:ascii="Arial" w:cs="Arial" w:eastAsia="Arial" w:hAnsi="Arial"/>
                <w:sz w:val="20"/>
                <w:szCs w:val="20"/>
                <w:color w:val="auto"/>
              </w:rPr>
              <w:t>Earnings (Loss) per Share</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5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Basic and Diluted</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0.33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(0.51)</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 Data:</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1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b w:val="1"/>
                <w:bCs w:val="1"/>
                <w:color w:val="auto"/>
              </w:rPr>
              <w:t>December 31,</w:t>
            </w:r>
          </w:p>
        </w:tc>
        <w:tc>
          <w:tcPr>
            <w:tcW w:w="5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r>
      <w:tr>
        <w:trPr>
          <w:trHeight w:val="255"/>
        </w:trPr>
        <w:tc>
          <w:tcPr>
            <w:tcW w:w="4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2018</w:t>
            </w:r>
          </w:p>
        </w:tc>
      </w:tr>
      <w:tr>
        <w:trPr>
          <w:trHeight w:val="23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656,024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923,581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509,861</w:t>
            </w: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liabilities</w:t>
            </w: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447,820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27,810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110,816</w:t>
            </w:r>
          </w:p>
        </w:tc>
      </w:tr>
      <w:tr>
        <w:trPr>
          <w:trHeight w:val="243"/>
        </w:trPr>
        <w:tc>
          <w:tcPr>
            <w:tcW w:w="4180" w:type="dxa"/>
            <w:vAlign w:val="bottom"/>
          </w:tcPr>
          <w:p>
            <w:pPr>
              <w:ind w:left="20"/>
              <w:spacing w:after="0"/>
              <w:rPr>
                <w:sz w:val="20"/>
                <w:szCs w:val="20"/>
                <w:color w:val="auto"/>
              </w:rPr>
            </w:pPr>
            <w:r>
              <w:rPr>
                <w:rFonts w:ascii="Arial" w:cs="Arial" w:eastAsia="Arial" w:hAnsi="Arial"/>
                <w:sz w:val="20"/>
                <w:szCs w:val="20"/>
                <w:color w:val="auto"/>
              </w:rPr>
              <w:t>Total liabilities</w:t>
            </w: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736,923</w:t>
            </w:r>
          </w:p>
        </w:tc>
        <w:tc>
          <w:tcPr>
            <w:tcW w:w="8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Pr>
          <w:p>
            <w:pPr>
              <w:jc w:val="right"/>
              <w:ind w:right="1"/>
              <w:spacing w:after="0"/>
              <w:rPr>
                <w:sz w:val="20"/>
                <w:szCs w:val="20"/>
                <w:color w:val="auto"/>
              </w:rPr>
            </w:pPr>
            <w:r>
              <w:rPr>
                <w:rFonts w:ascii="Arial" w:cs="Arial" w:eastAsia="Arial" w:hAnsi="Arial"/>
                <w:sz w:val="20"/>
                <w:szCs w:val="20"/>
                <w:color w:val="auto"/>
              </w:rPr>
              <w:t>618,430</w:t>
            </w:r>
          </w:p>
        </w:tc>
        <w:tc>
          <w:tcPr>
            <w:tcW w:w="80" w:type="dxa"/>
            <w:vAlign w:val="bottom"/>
          </w:tcPr>
          <w:p>
            <w:pPr>
              <w:spacing w:after="0"/>
              <w:rPr>
                <w:sz w:val="21"/>
                <w:szCs w:val="21"/>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245,387</w:t>
            </w: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member’s equity/stockholders’ deficit</w:t>
            </w: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305,151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80"/>
        <w:spacing w:after="0" w:line="536"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 Management’s Discussion and Analysis of Financial Condition and Results of Operations</w:t>
      </w:r>
    </w:p>
    <w:p>
      <w:pPr>
        <w:ind w:right="80"/>
        <w:spacing w:after="0" w:line="259"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10-K captioned “Forward-Looking Statements” and “Risk Factors.”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than projects that use “fixed tilt” mounting systems, which do not move.</w:t>
      </w:r>
    </w:p>
    <w:p>
      <w:pPr>
        <w:spacing w:after="0" w:line="23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6" w:lineRule="exact"/>
        <w:rPr>
          <w:sz w:val="20"/>
          <w:szCs w:val="20"/>
          <w:color w:val="auto"/>
        </w:rPr>
      </w:pPr>
    </w:p>
    <w:p>
      <w:pPr>
        <w:jc w:val="both"/>
        <w:ind w:right="160"/>
        <w:spacing w:after="0" w:line="277" w:lineRule="auto"/>
        <w:rPr>
          <w:sz w:val="20"/>
          <w:szCs w:val="20"/>
          <w:color w:val="auto"/>
        </w:rPr>
      </w:pPr>
      <w:r>
        <w:rPr>
          <w:rFonts w:ascii="Arial" w:cs="Arial" w:eastAsia="Arial" w:hAnsi="Arial"/>
          <w:sz w:val="19"/>
          <w:szCs w:val="19"/>
          <w:color w:val="auto"/>
        </w:rPr>
        <w:t>We sell our products to engineering, procurement and construction firms (“EPCs”) that build solar energy projects and to large solar developers, independent power producers and utilities, often under master supply agreements or multi-year procurement contracts. In 2020, we derived 92% and 8% of our revenues from customers in the U.S. and rest of the world, respectively.</w:t>
      </w:r>
    </w:p>
    <w:p>
      <w:pPr>
        <w:spacing w:after="0" w:line="215" w:lineRule="exact"/>
        <w:rPr>
          <w:sz w:val="20"/>
          <w:szCs w:val="20"/>
          <w:color w:val="auto"/>
        </w:rPr>
      </w:pPr>
    </w:p>
    <w:p>
      <w:pPr>
        <w:ind w:right="600"/>
        <w:spacing w:after="0" w:line="261"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December 31, 2020, we had 389 full-time employees.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we have maintained uninterrupted business operations with normal turnaround times for the delivery of solar tracking systems. We have implemented adjustments to our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is measured for each individual project and is calculated based on the expected output of that project once installed and fully operational.</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36"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Revenues and Gross Profit</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Cost of revenues consists primarily of product costs, including purchased components, as well as costs related to shipping, tariffs, customer support, product warranty, personnel and depreciation of test and manufacturing equipment. Personnel costs in cost of revenues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 Some of these costs, primarily personnel and depreciation of test and manufacturing equipment, are not directly affected by sales volume.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37"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150 as of December 31, 2019 to 177 at December 31, 2020,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3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2020 were in the U.S.; however, during the year we expanded our international presence with additional global sales staff. We currently have a sales presence in the U.S.,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R&amp;D spend.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Contingent consideration consists of the changes in fair value of the earn-out and the TRA entered into with Ron P. Corio, our indirect stockholder, concurrent with Former Parent’s acquisition of Patent, LLC.</w:t>
      </w:r>
    </w:p>
    <w:p>
      <w:pPr>
        <w:spacing w:after="0" w:line="215"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earn-out liability was recorded at fair value at the acquisition date and subsequent changes in the fair value are recognized in earnings. Fair value of the earn-out liability is measured based upon the expected return of investment of Former Parent, among other things. Payments related to the earn-out liability are required to be evaluated upon the occurrence of certain events, including the consummation of an IPO; the sale, transfer, assignment, pledge, encumbrance, distribution or disposition of shares of Former Parent held by Oaktree Power and Oaktree Investors to a third party; the sale of equity securities or assets of Former Parent, ATI Investment Sub, Inc. or Array Technologies, Inc. to a third-party; or a merger, consolidation, recapitalization or reorganization of Former Parent, ATI Investment Sub, Inc. or the Company. The IPO, Special Distribution and our follow-on offering in December 2020 (the “Follow-on Offering”) required the Company to make a cash payment of $9.1 million in October 2020 and $15.9 million in December 2020. As a result of these payments our earn-out liability has been paid in full.</w:t>
      </w:r>
    </w:p>
    <w:p>
      <w:pPr>
        <w:spacing w:after="0" w:line="22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(f/k/a Array Technologies, Inc.) from the use of certain deductions generated by the increase in the tax value of the developed technology. Estimating fair value of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jc w:val="both"/>
        <w:ind w:right="440"/>
        <w:spacing w:after="0" w:line="277" w:lineRule="auto"/>
        <w:rPr>
          <w:sz w:val="20"/>
          <w:szCs w:val="20"/>
          <w:color w:val="auto"/>
        </w:rPr>
      </w:pPr>
      <w:r>
        <w:rPr>
          <w:rFonts w:ascii="Arial" w:cs="Arial" w:eastAsia="Arial" w:hAnsi="Arial"/>
          <w:sz w:val="19"/>
          <w:szCs w:val="19"/>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(as defined below) and our Senior ABL Facility, interest on the Senior Secured Promissory Note (as defined below), and interest on our Prior Term Loan Facility (as defined below), which was fully repaid on February 2, 2020.</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We are subject to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gridSpan w:val="5"/>
          </w:tcPr>
          <w:p>
            <w:pPr>
              <w:ind w:left="280"/>
              <w:spacing w:after="0"/>
              <w:rPr>
                <w:sz w:val="20"/>
                <w:szCs w:val="20"/>
                <w:color w:val="auto"/>
              </w:rPr>
            </w:pPr>
            <w:r>
              <w:rPr>
                <w:rFonts w:ascii="Arial" w:cs="Arial" w:eastAsia="Arial" w:hAnsi="Arial"/>
                <w:sz w:val="20"/>
                <w:szCs w:val="20"/>
                <w:b w:val="1"/>
                <w:bCs w:val="1"/>
                <w:color w:val="auto"/>
              </w:rPr>
              <w:t>Year Ended December 31,</w:t>
            </w:r>
          </w:p>
        </w:tc>
        <w:tc>
          <w:tcPr>
            <w:tcW w:w="280" w:type="dxa"/>
            <w:vAlign w:val="bottom"/>
          </w:tcPr>
          <w:p>
            <w:pPr>
              <w:spacing w:after="0"/>
              <w:rPr>
                <w:sz w:val="22"/>
                <w:szCs w:val="22"/>
                <w:color w:val="auto"/>
              </w:rPr>
            </w:pPr>
          </w:p>
        </w:tc>
        <w:tc>
          <w:tcPr>
            <w:tcW w:w="2480" w:type="dxa"/>
            <w:vAlign w:val="bottom"/>
            <w:gridSpan w:val="3"/>
          </w:tcPr>
          <w:p>
            <w:pPr>
              <w:jc w:val="right"/>
              <w:ind w:right="341"/>
              <w:spacing w:after="0"/>
              <w:rPr>
                <w:sz w:val="20"/>
                <w:szCs w:val="20"/>
                <w:color w:val="auto"/>
              </w:rPr>
            </w:pPr>
            <w:r>
              <w:rPr>
                <w:rFonts w:ascii="Arial" w:cs="Arial" w:eastAsia="Arial" w:hAnsi="Arial"/>
                <w:sz w:val="20"/>
                <w:szCs w:val="20"/>
                <w:b w:val="1"/>
                <w:bCs w:val="1"/>
                <w:color w:val="auto"/>
              </w:rPr>
              <w:t>Increase (Decrease)</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647,899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224,763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Revenues</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669,861</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497,138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172,723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202,801</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150,761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52,040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55,634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41,212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14,422</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25,801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4031 %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25,514</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25,500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107,589</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67,352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40,237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60 %</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from Operations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95,212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83,409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11,803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Expense</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(2,305)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2,272</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6885 %</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(15,129)</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(17,434)</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77,778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64,579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24,834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(6,129)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Income</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19,328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49 %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Other Financial Information (unaudited):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Adjusted EBITDA</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160,539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121,789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38,750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32 %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ind w:left="20"/>
              <w:spacing w:after="0" w:line="217" w:lineRule="exact"/>
              <w:rPr>
                <w:sz w:val="20"/>
                <w:szCs w:val="20"/>
                <w:color w:val="auto"/>
              </w:rPr>
            </w:pPr>
            <w:r>
              <w:rPr>
                <w:rFonts w:ascii="Arial" w:cs="Arial" w:eastAsia="Arial" w:hAnsi="Arial"/>
                <w:sz w:val="20"/>
                <w:szCs w:val="20"/>
                <w:b w:val="1"/>
                <w:bCs w:val="1"/>
                <w:color w:val="auto"/>
              </w:rPr>
              <w:t>Adjusted Net Income</w:t>
            </w:r>
          </w:p>
        </w:tc>
        <w:tc>
          <w:tcPr>
            <w:tcW w:w="400" w:type="dxa"/>
            <w:vAlign w:val="bottom"/>
            <w:tcBorders>
              <w:bottom w:val="single" w:sz="8" w:color="auto"/>
            </w:tcBorders>
          </w:tcPr>
          <w:p>
            <w:pPr>
              <w:jc w:val="right"/>
              <w:ind w:right="181"/>
              <w:spacing w:after="0" w:line="217" w:lineRule="exact"/>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112,411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81"/>
              <w:spacing w:after="0" w:line="217"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80,179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61"/>
              <w:spacing w:after="0" w:line="217" w:lineRule="exact"/>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32,232</w:t>
            </w:r>
          </w:p>
        </w:tc>
        <w:tc>
          <w:tcPr>
            <w:tcW w:w="1500" w:type="dxa"/>
            <w:vAlign w:val="bottom"/>
            <w:gridSpan w:val="2"/>
          </w:tcPr>
          <w:p>
            <w:pPr>
              <w:jc w:val="right"/>
              <w:spacing w:after="0" w:line="217" w:lineRule="exact"/>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2020 and 2019</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20"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Revenues increased by $224.8 million, or 35%, for the year ended December 31, 2020 compared to the year ended December 31, 2019. Total MW delivered increased by approximately 32% for the year ended December 31, 2020 driven by a higher number of projects delivered in 2020 compared to 2019. ASPs were up 2% year over year reflecting a change in the mix of our projects.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Revenues and Gross Profit</w:t>
      </w:r>
    </w:p>
    <w:p>
      <w:pPr>
        <w:spacing w:after="0" w:line="3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Cost of revenues increased by $172.7 million, or 35%, for the year ended December 31, 2020 compared to the year ended December 31, 2019 primarily due to the increase in the number of MW delivered. Gross profit as a percentage of revenue remained relatively flat at 23.2% for the year ended December 31, 2020 compared to 23.3% for the year ended December 31, 2019. Cost Per Watt was up 2% year over year reflecting a change in the mix of our projects.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0"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General and administrative expenses increased by $ 14.4 million, or 35%, for the year ended December 31, 2020 compared to the year ended December 31, 2019. The increase in general and administrative expense was due to a $4.1 million collection of an accounts receivable for which the allowance for bad debt was recorded in 2018, an increase in equity-based compensation of $4.0 million related to the Class B and C unit grants in November 2019 and May 2020. Equity-based compensation is amortized monthly over the vesting period resulting in more equity-based compensation as the grants were outstanding for more monthly periods in 2020. We also increased our internal headcount in 2020 to support our growth and business plan resulting in higher payroll and related costs. The increase in general and administrative expenses was partially offset from a reduction in third-party spend related to business process outsourcing, consulting costs, and other professional fees as a result of the completion of our ERP implementation as well as a reduction in travel expenses due to the COVID-19 pandemic.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2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Contingent consideration expense increased by $25.8 million for the year ended December 31, 2020 compared to $0.6 million for the year ended December 31, 2019. The increase was due to an increase in the fair value of our earn-out obligation and a slight increase in the fair value of our TRA. The earn-out value was based upon the anticipated return of investment our sponsor expects to receive upon liquidation of its investment in Array. As a result of the IPO, Special Distribution and Follow-on Offering, we were required to pay the maximum amount of the earn-out ($25 million) during the fourth quarter of 2020 resulting in a change in the fair value of the earn-out of $24.6 million during the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Depreciation expense for the year ended December 31, 2020 was similar to the year ended December 31, 2019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Amortization of intangibles for the year ended December 31, 2020 was similar to the year ended December 31, 2019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0"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Interest expenses decreased by $3.7 million, or 20%, for the year ended December 31, 2020 compared to the year ended December 31, 2019, primarily due to lower interest on our Term Loan Facility (as defined below) as it was paid in full in February 2020 and our Senior Secured Promissory Note as it was paid in full in July 2020. During October 2020 we entered into our Senior Secured Credit Facility and borrowed $575 million. We used IPO proceeds to repay $105 million and made additional principal payments of $ 10.0 million in December 2020 resulting in a balance of $460.0 million outstanding at December 31, 2020. We anticipate an increase in interest expense as a result of our Senior Secured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20"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Income tax expense decreased by $6.1 million, or 25% for the year ended December 31, 2020 compared to the year ended December 31, 2019. Our effective tax rate was 24.0% for year ended December 31, 2020 and 38.5% for the year ended December 31, 2019. The effective tax rate for the year ended December 31, 2019 was higher than the statutory rate as a result of a $9.3 million permanent difference from the settlement of an IRS examination which reduced the value of the developed technology from $ 210.0 million to $188.0 million for federal income tax purposes. The reduction in value increased our deferred tax liability related to the developed technology by $4.6 million. The settlement with the IRS also resulted in payments related to the TRA being non-deductible for tax purposes, resulting in the write-off of the deferred tax asset related to the TRA totaling $4.7 million. The effective tax rate for the year ended December 31, 2020 benefited from a $6.6 million income tax benefit received from the NOL carryback provision provided by the CARES Act. The benefit from the CARES Act was offset by a significant amount of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 factors discussed above, our net income increased by $19.3 million, or 49%, in 2020 as compared to 2019.</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2019 and 2018</w:t>
      </w:r>
    </w:p>
    <w:p>
      <w:pPr>
        <w:spacing w:after="0" w:line="26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 discussion and analysis covering the comparison of the year ended December 31, 2019 to the year ended December 31, 2018 is included in our prospectus filed pursuant to Rule 424(b) with the Securities and Exchange Commission on December 4,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contains the presentation of Adjusted EBITDA and Adjusted Net Income, which are not presented in accordance with GAAP. Adjusted EBITDA and Adjusted Net Income are being presented because they provide the Company and readers of this Form 10-K with additional insight into our operational performance relative to earlier periods and relative to our competitors. We do not intend Adjusted EBITDA and Adjusted Net Income to be substitutes for any GAAP financial information. Readers of this Form 10-K should use Adjusted EBITDA and Adjusted Net Income only in conjunction with Net Income, the most comparable GAAP financial measure. Reconciliations of Adjusted EBITDA and Adjusted Net Income to Net Income, the most comparable GAAP measure to each, are provided in “—Non-GAAP Financial Measure.”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 and Adjusted Net Income (Non-GAAP)</w:t>
      </w:r>
    </w:p>
    <w:p>
      <w:pPr>
        <w:spacing w:after="0" w:line="263"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We present Adjusted EBITDA and Adjusted Net Income as supplemental measures of our performance. We define Adjusted EBITDA as net income (loss) plus (i) interest expense, (ii) other (income) expense, (iii) income tax expense (benefit), (iv) depreciation expense, (v) amortization of intangibles, (vi) equity based compensation, (vii) remeasurement of the fair value of contingent consideration, (viii) ERP implementation costs, (ix) certain legal expense, and (x) other costs. We define Adjusted Net Income as net income (loss) plus (i) amortization of intangibles, (ii) amortization of debt discount and issuance costs, (iii) equity based compensation, (iv) remeasurement of the fair value of contingent consideration, (v) ERP implementation costs, (vi) certain legal expense, (vii) other costs, and (viii) income tax (expense) benefit of adjustments.</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Adjusted EBITDA and Adjusted Net Income are intended as supplemental measures of performance that are neither required by, nor presented in accordance with, GAAP. We present Adjusted EBITDA and Adjusted Net Income because we believe they assist investors and analysts in comparing our performance across reporting periods on a consistent basis by excluding items that we do not believe are indicative of our core operating performance. In addition, we use Adjusted EBITDA and Adjusted Net Income: (i) as factors in evaluating management’s performance when determining incentive compensation; (ii) to evaluate the effectiveness of our business strategies; and (iii) because our credit agreement uses measures similar to Adjusted EBITDA and Adjusted Net Income to measure our compliance with certain covenants.</w:t>
      </w:r>
    </w:p>
    <w:p>
      <w:pPr>
        <w:spacing w:after="0" w:line="24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Among other limitations, Adjusted EBITDA and Adjusted Net Income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EBITDA and Adjusted Net Income differently than we do, which limits their usefulness as comparative measures.</w:t>
      </w:r>
    </w:p>
    <w:p>
      <w:pPr>
        <w:spacing w:after="0" w:line="236"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Because of these limitations, Adjusted EBITDA and Adjusted Net Income should not be considered in isolation or as substitutes for performance measures calculated in accordance with GAAP. We compensate for these limitations by relying primarily on our GAAP results and using Adjusted EBITDA and Adjusted Net Income on 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supplemental basis. You should review the reconciliation of net income (loss) to Adjusted EBITDA and Adjusted Net Income below and not rely on any single financial measure to evaluate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net income (loss) to Adjusted EBITDA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6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b w:val="1"/>
                <w:bCs w:val="1"/>
                <w:color w:val="auto"/>
                <w:w w:val="98"/>
              </w:rPr>
              <w:t>Year Ended December 31,</w:t>
            </w: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r>
      <w:tr>
        <w:trPr>
          <w:trHeight w:val="236"/>
        </w:trPr>
        <w:tc>
          <w:tcPr>
            <w:tcW w:w="41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2018</w:t>
            </w: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620" w:type="dxa"/>
            <w:vAlign w:val="bottom"/>
            <w:gridSpan w:val="2"/>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39,745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r>
      <w:tr>
        <w:trPr>
          <w:trHeight w:val="270"/>
        </w:trPr>
        <w:tc>
          <w:tcPr>
            <w:tcW w:w="41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15,129</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18,797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19,043</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 net</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447</w:t>
            </w:r>
          </w:p>
        </w:tc>
      </w:tr>
      <w:tr>
        <w:trPr>
          <w:trHeight w:val="270"/>
        </w:trPr>
        <w:tc>
          <w:tcPr>
            <w:tcW w:w="4160" w:type="dxa"/>
            <w:vAlign w:val="bottom"/>
          </w:tcPr>
          <w:p>
            <w:pPr>
              <w:ind w:left="20"/>
              <w:spacing w:after="0"/>
              <w:rPr>
                <w:sz w:val="20"/>
                <w:szCs w:val="20"/>
                <w:color w:val="auto"/>
              </w:rPr>
            </w:pPr>
            <w:r>
              <w:rPr>
                <w:rFonts w:ascii="Arial" w:cs="Arial" w:eastAsia="Arial" w:hAnsi="Arial"/>
                <w:sz w:val="20"/>
                <w:szCs w:val="20"/>
                <w:color w:val="auto"/>
              </w:rPr>
              <w:t>Income tax expense (benefit)</w:t>
            </w:r>
          </w:p>
        </w:tc>
        <w:tc>
          <w:tcPr>
            <w:tcW w:w="1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24,834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(19,932)</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expense</w:t>
            </w:r>
          </w:p>
        </w:tc>
        <w:tc>
          <w:tcPr>
            <w:tcW w:w="1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2,224</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2,066</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1,944</w:t>
            </w:r>
          </w:p>
        </w:tc>
      </w:tr>
      <w:tr>
        <w:trPr>
          <w:trHeight w:val="270"/>
        </w:trPr>
        <w:tc>
          <w:tcPr>
            <w:tcW w:w="4160" w:type="dxa"/>
            <w:vAlign w:val="bottom"/>
          </w:tcPr>
          <w:p>
            <w:pPr>
              <w:ind w:left="20"/>
              <w:spacing w:after="0"/>
              <w:rPr>
                <w:sz w:val="20"/>
                <w:szCs w:val="20"/>
                <w:color w:val="auto"/>
              </w:rPr>
            </w:pPr>
            <w:r>
              <w:rPr>
                <w:rFonts w:ascii="Arial" w:cs="Arial" w:eastAsia="Arial" w:hAnsi="Arial"/>
                <w:sz w:val="20"/>
                <w:szCs w:val="20"/>
                <w:color w:val="auto"/>
              </w:rPr>
              <w:t>Amortization of intangibles</w:t>
            </w:r>
          </w:p>
        </w:tc>
        <w:tc>
          <w:tcPr>
            <w:tcW w:w="1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25,250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25,250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26,506</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Equity-based compensation</w:t>
            </w:r>
          </w:p>
        </w:tc>
        <w:tc>
          <w:tcPr>
            <w:tcW w:w="1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4,809</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799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4160" w:type="dxa"/>
            <w:vAlign w:val="bottom"/>
          </w:tcPr>
          <w:p>
            <w:pPr>
              <w:ind w:left="20"/>
              <w:spacing w:after="0"/>
              <w:rPr>
                <w:sz w:val="20"/>
                <w:szCs w:val="20"/>
                <w:color w:val="auto"/>
              </w:rPr>
            </w:pPr>
            <w:r>
              <w:rPr>
                <w:rFonts w:ascii="Arial" w:cs="Arial" w:eastAsia="Arial" w:hAnsi="Arial"/>
                <w:sz w:val="20"/>
                <w:szCs w:val="20"/>
                <w:color w:val="auto"/>
              </w:rPr>
              <w:t>Contingent consideration</w:t>
            </w:r>
          </w:p>
        </w:tc>
        <w:tc>
          <w:tcPr>
            <w:tcW w:w="1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26,441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640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(825)</w:t>
            </w:r>
          </w:p>
        </w:tc>
      </w:tr>
      <w:tr>
        <w:trPr>
          <w:trHeight w:val="270"/>
        </w:trPr>
        <w:tc>
          <w:tcPr>
            <w:tcW w:w="41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ERP implementation costs</w:t>
            </w:r>
            <w:r>
              <w:rPr>
                <w:rFonts w:ascii="Arial" w:cs="Arial" w:eastAsia="Arial" w:hAnsi="Arial"/>
                <w:sz w:val="25"/>
                <w:szCs w:val="25"/>
                <w:color w:val="auto"/>
                <w:vertAlign w:val="superscript"/>
              </w:rPr>
              <w:t>(a)</w:t>
            </w:r>
          </w:p>
        </w:tc>
        <w:tc>
          <w:tcPr>
            <w:tcW w:w="1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2,874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5,810</w:t>
            </w:r>
          </w:p>
        </w:tc>
      </w:tr>
      <w:tr>
        <w:trPr>
          <w:trHeight w:val="270"/>
        </w:trPr>
        <w:tc>
          <w:tcPr>
            <w:tcW w:w="4160" w:type="dxa"/>
            <w:vAlign w:val="bottom"/>
          </w:tcPr>
          <w:p>
            <w:pPr>
              <w:ind w:left="20"/>
              <w:spacing w:after="0" w:line="270" w:lineRule="exact"/>
              <w:rPr>
                <w:sz w:val="20"/>
                <w:szCs w:val="20"/>
                <w:color w:val="auto"/>
              </w:rPr>
            </w:pPr>
            <w:r>
              <w:rPr>
                <w:rFonts w:ascii="Arial" w:cs="Arial" w:eastAsia="Arial" w:hAnsi="Arial"/>
                <w:sz w:val="20"/>
                <w:szCs w:val="20"/>
                <w:color w:val="auto"/>
              </w:rPr>
              <w:t>Legal expense</w:t>
            </w:r>
            <w:r>
              <w:rPr>
                <w:rFonts w:ascii="Arial" w:cs="Arial" w:eastAsia="Arial" w:hAnsi="Arial"/>
                <w:sz w:val="25"/>
                <w:szCs w:val="25"/>
                <w:color w:val="auto"/>
                <w:vertAlign w:val="superscript"/>
              </w:rPr>
              <w:t>(b)</w:t>
            </w:r>
          </w:p>
        </w:tc>
        <w:tc>
          <w:tcPr>
            <w:tcW w:w="1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1,068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3,915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1,483</w:t>
            </w:r>
          </w:p>
        </w:tc>
      </w:tr>
      <w:tr>
        <w:trPr>
          <w:trHeight w:val="270"/>
        </w:trPr>
        <w:tc>
          <w:tcPr>
            <w:tcW w:w="416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(c)</w:t>
            </w:r>
          </w:p>
        </w:tc>
        <w:tc>
          <w:tcPr>
            <w:tcW w:w="1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3,589</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2,836</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3,636</w:t>
            </w:r>
          </w:p>
        </w:tc>
      </w:tr>
      <w:tr>
        <w:trPr>
          <w:trHeight w:val="237"/>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rPr>
              <w:t>Adjusted EBITDA</w:t>
            </w:r>
          </w:p>
        </w:tc>
        <w:tc>
          <w:tcPr>
            <w:tcW w:w="1440" w:type="dxa"/>
            <w:vAlign w:val="bottom"/>
            <w:tcBorders>
              <w:bottom w:val="single" w:sz="8" w:color="auto"/>
            </w:tcBorders>
          </w:tcPr>
          <w:p>
            <w:pPr>
              <w:jc w:val="right"/>
              <w:ind w:right="1201"/>
              <w:spacing w:after="0"/>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160,539</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w:t>
            </w: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121,789</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(22,652)</w:t>
            </w:r>
          </w:p>
        </w:tc>
      </w:tr>
      <w:tr>
        <w:trPr>
          <w:trHeight w:val="20"/>
        </w:trPr>
        <w:tc>
          <w:tcPr>
            <w:tcW w:w="4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consulting costs associated with our enterprise resource planning system implementation.</w:t>
      </w:r>
    </w:p>
    <w:p>
      <w:pPr>
        <w:spacing w:after="0" w:line="242" w:lineRule="exact"/>
        <w:rPr>
          <w:rFonts w:ascii="Arial" w:cs="Arial" w:eastAsia="Arial" w:hAnsi="Arial"/>
          <w:sz w:val="22"/>
          <w:szCs w:val="22"/>
          <w:color w:val="auto"/>
          <w:vertAlign w:val="superscript"/>
        </w:rPr>
      </w:pPr>
    </w:p>
    <w:p>
      <w:pPr>
        <w:jc w:val="both"/>
        <w:ind w:left="660" w:hanging="4"/>
        <w:spacing w:after="0" w:line="234" w:lineRule="auto"/>
        <w:tabs>
          <w:tab w:leader="none" w:pos="849"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243" w:lineRule="exact"/>
        <w:rPr>
          <w:rFonts w:ascii="Arial" w:cs="Arial" w:eastAsia="Arial" w:hAnsi="Arial"/>
          <w:sz w:val="23"/>
          <w:szCs w:val="23"/>
          <w:color w:val="auto"/>
          <w:vertAlign w:val="superscript"/>
        </w:rPr>
      </w:pPr>
    </w:p>
    <w:p>
      <w:pPr>
        <w:jc w:val="both"/>
        <w:ind w:left="660" w:hanging="4"/>
        <w:spacing w:after="0" w:line="237" w:lineRule="auto"/>
        <w:tabs>
          <w:tab w:leader="none" w:pos="85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other costs represent (i) certain costs associated with our IPO and Follow-on Offering of $3.5 million and, (ii) costs associated with our initial Board of Directors search for $0.1 million. For the year ended December 31, 2019, other costs represent (i) consulting fees for certain accounting, finance and IT services of $2.6 million and (ii) $0.2 million for the executive consulting costs. For the year ended December 31, 2018, other costs represent (i) consulting fees for certain accounting, finance and IT services of $3.6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reconciles net income to Adjusted Net Income (loss) (in thousands):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4380" w:type="dxa"/>
            <w:vAlign w:val="bottom"/>
          </w:tcPr>
          <w:p>
            <w:pPr>
              <w:spacing w:after="0"/>
              <w:rPr>
                <w:sz w:val="20"/>
                <w:szCs w:val="20"/>
                <w:color w:val="auto"/>
              </w:rPr>
            </w:pPr>
            <w:r>
              <w:rPr>
                <w:rFonts w:ascii="Arial" w:cs="Arial" w:eastAsia="Arial" w:hAnsi="Arial"/>
                <w:sz w:val="20"/>
                <w:szCs w:val="20"/>
                <w:color w:val="auto"/>
              </w:rPr>
              <w:t>Net Income (loss)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4380" w:type="dxa"/>
            <w:vAlign w:val="bottom"/>
          </w:tcPr>
          <w:p>
            <w:pPr>
              <w:spacing w:after="0"/>
              <w:rPr>
                <w:sz w:val="20"/>
                <w:szCs w:val="20"/>
                <w:color w:val="auto"/>
              </w:rPr>
            </w:pPr>
            <w:r>
              <w:rPr>
                <w:rFonts w:ascii="Arial" w:cs="Arial" w:eastAsia="Arial" w:hAnsi="Arial"/>
                <w:sz w:val="20"/>
                <w:szCs w:val="20"/>
                <w:color w:val="auto"/>
              </w:rPr>
              <w:t>Amortization of intangibles</w:t>
            </w:r>
          </w:p>
        </w:tc>
        <w:tc>
          <w:tcPr>
            <w:tcW w:w="220" w:type="dxa"/>
            <w:vAlign w:val="bottom"/>
          </w:tcPr>
          <w:p>
            <w:pPr>
              <w:spacing w:after="0"/>
              <w:rPr>
                <w:sz w:val="22"/>
                <w:szCs w:val="22"/>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0"/>
                <w:szCs w:val="20"/>
                <w:color w:val="auto"/>
              </w:rPr>
              <w:t>Amortization of debt discount and issuance costs</w:t>
            </w:r>
          </w:p>
        </w:tc>
        <w:tc>
          <w:tcPr>
            <w:tcW w:w="220" w:type="dxa"/>
            <w:vAlign w:val="bottom"/>
          </w:tcPr>
          <w:p>
            <w:pPr>
              <w:spacing w:after="0"/>
              <w:rPr>
                <w:sz w:val="23"/>
                <w:szCs w:val="23"/>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0"/>
                <w:szCs w:val="20"/>
                <w:color w:val="auto"/>
              </w:rPr>
              <w:t>Equity based compensation</w:t>
            </w:r>
          </w:p>
        </w:tc>
        <w:tc>
          <w:tcPr>
            <w:tcW w:w="220" w:type="dxa"/>
            <w:vAlign w:val="bottom"/>
          </w:tcPr>
          <w:p>
            <w:pPr>
              <w:spacing w:after="0"/>
              <w:rPr>
                <w:sz w:val="23"/>
                <w:szCs w:val="23"/>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0"/>
                <w:szCs w:val="20"/>
                <w:color w:val="auto"/>
              </w:rPr>
              <w:t>Contingent consideration</w:t>
            </w:r>
          </w:p>
        </w:tc>
        <w:tc>
          <w:tcPr>
            <w:tcW w:w="220" w:type="dxa"/>
            <w:vAlign w:val="bottom"/>
          </w:tcPr>
          <w:p>
            <w:pPr>
              <w:spacing w:after="0"/>
              <w:rPr>
                <w:sz w:val="23"/>
                <w:szCs w:val="23"/>
                <w:color w:val="auto"/>
              </w:rPr>
            </w:pPr>
          </w:p>
        </w:tc>
      </w:tr>
      <w:tr>
        <w:trPr>
          <w:trHeight w:val="298"/>
        </w:trPr>
        <w:tc>
          <w:tcPr>
            <w:tcW w:w="4380" w:type="dxa"/>
            <w:vAlign w:val="bottom"/>
          </w:tcPr>
          <w:p>
            <w:pPr>
              <w:spacing w:after="0"/>
              <w:rPr>
                <w:sz w:val="20"/>
                <w:szCs w:val="20"/>
                <w:color w:val="auto"/>
              </w:rPr>
            </w:pPr>
            <w:r>
              <w:rPr>
                <w:rFonts w:ascii="Arial" w:cs="Arial" w:eastAsia="Arial" w:hAnsi="Arial"/>
                <w:sz w:val="20"/>
                <w:szCs w:val="20"/>
                <w:color w:val="auto"/>
              </w:rPr>
              <w:t>ERP implementation costs</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r>
      <w:tr>
        <w:trPr>
          <w:trHeight w:val="270"/>
        </w:trPr>
        <w:tc>
          <w:tcPr>
            <w:tcW w:w="4380" w:type="dxa"/>
            <w:vAlign w:val="bottom"/>
          </w:tcPr>
          <w:p>
            <w:pPr>
              <w:spacing w:after="0" w:line="270" w:lineRule="exact"/>
              <w:rPr>
                <w:sz w:val="20"/>
                <w:szCs w:val="20"/>
                <w:color w:val="auto"/>
              </w:rPr>
            </w:pPr>
            <w:r>
              <w:rPr>
                <w:rFonts w:ascii="Arial" w:cs="Arial" w:eastAsia="Arial" w:hAnsi="Arial"/>
                <w:sz w:val="20"/>
                <w:szCs w:val="20"/>
                <w:color w:val="auto"/>
              </w:rPr>
              <w:t>Legal expense</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r>
      <w:tr>
        <w:trPr>
          <w:trHeight w:val="270"/>
        </w:trPr>
        <w:tc>
          <w:tcPr>
            <w:tcW w:w="4380" w:type="dxa"/>
            <w:vAlign w:val="bottom"/>
          </w:tcPr>
          <w:p>
            <w:pPr>
              <w:spacing w:after="0" w:line="270"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r>
      <w:tr>
        <w:trPr>
          <w:trHeight w:val="275"/>
        </w:trPr>
        <w:tc>
          <w:tcPr>
            <w:tcW w:w="4380" w:type="dxa"/>
            <w:vAlign w:val="bottom"/>
          </w:tcPr>
          <w:p>
            <w:pPr>
              <w:spacing w:after="0" w:line="275" w:lineRule="exact"/>
              <w:rPr>
                <w:sz w:val="20"/>
                <w:szCs w:val="20"/>
                <w:color w:val="auto"/>
              </w:rPr>
            </w:pPr>
            <w:r>
              <w:rPr>
                <w:rFonts w:ascii="Arial" w:cs="Arial" w:eastAsia="Arial" w:hAnsi="Arial"/>
                <w:sz w:val="20"/>
                <w:szCs w:val="20"/>
                <w:color w:val="auto"/>
              </w:rPr>
              <w:t>Income tax expense of adjustments</w:t>
            </w:r>
            <w:r>
              <w:rPr>
                <w:rFonts w:ascii="Arial" w:cs="Arial" w:eastAsia="Arial" w:hAnsi="Arial"/>
                <w:sz w:val="25"/>
                <w:szCs w:val="25"/>
                <w:color w:val="auto"/>
                <w:vertAlign w:val="superscript"/>
              </w:rPr>
              <w:t>(d)</w:t>
            </w:r>
          </w:p>
        </w:tc>
        <w:tc>
          <w:tcPr>
            <w:tcW w:w="220" w:type="dxa"/>
            <w:vAlign w:val="bottom"/>
          </w:tcPr>
          <w:p>
            <w:pPr>
              <w:spacing w:after="0"/>
              <w:rPr>
                <w:sz w:val="23"/>
                <w:szCs w:val="23"/>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20"/>
                <w:szCs w:val="20"/>
                <w:color w:val="auto"/>
              </w:rPr>
              <w:t>Non-recurring income tax adjustments related to</w:t>
            </w:r>
          </w:p>
        </w:tc>
        <w:tc>
          <w:tcPr>
            <w:tcW w:w="220" w:type="dxa"/>
            <w:vAlign w:val="bottom"/>
          </w:tcPr>
          <w:p>
            <w:pPr>
              <w:spacing w:after="0"/>
              <w:rPr>
                <w:sz w:val="18"/>
                <w:szCs w:val="18"/>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20"/>
                <w:szCs w:val="20"/>
                <w:color w:val="auto"/>
              </w:rPr>
              <w:t>the IRS settlement and CARES Act</w:t>
            </w:r>
          </w:p>
        </w:tc>
        <w:tc>
          <w:tcPr>
            <w:tcW w:w="220" w:type="dxa"/>
            <w:vAlign w:val="bottom"/>
          </w:tcPr>
          <w:p>
            <w:pPr>
              <w:spacing w:after="0"/>
              <w:rPr>
                <w:sz w:val="20"/>
                <w:szCs w:val="20"/>
                <w:color w:val="auto"/>
              </w:rPr>
            </w:pPr>
          </w:p>
        </w:tc>
      </w:tr>
      <w:tr>
        <w:trPr>
          <w:trHeight w:val="283"/>
        </w:trPr>
        <w:tc>
          <w:tcPr>
            <w:tcW w:w="4380" w:type="dxa"/>
            <w:vAlign w:val="bottom"/>
          </w:tcPr>
          <w:p>
            <w:pPr>
              <w:spacing w:after="0"/>
              <w:rPr>
                <w:sz w:val="20"/>
                <w:szCs w:val="20"/>
                <w:color w:val="auto"/>
              </w:rPr>
            </w:pPr>
            <w:r>
              <w:rPr>
                <w:rFonts w:ascii="Arial" w:cs="Arial" w:eastAsia="Arial" w:hAnsi="Arial"/>
                <w:sz w:val="20"/>
                <w:szCs w:val="20"/>
                <w:b w:val="1"/>
                <w:bCs w:val="1"/>
                <w:color w:val="auto"/>
              </w:rPr>
              <w:t>Adjusted Net Income (loss)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17145</wp:posOffset>
            </wp:positionV>
            <wp:extent cx="42945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right"/>
              <w:ind w:right="861"/>
              <w:spacing w:after="0"/>
              <w:rPr>
                <w:sz w:val="20"/>
                <w:szCs w:val="20"/>
                <w:color w:val="auto"/>
              </w:rPr>
            </w:pPr>
            <w:r>
              <w:rPr>
                <w:rFonts w:ascii="Arial" w:cs="Arial" w:eastAsia="Arial" w:hAnsi="Arial"/>
                <w:sz w:val="20"/>
                <w:szCs w:val="20"/>
                <w:b w:val="1"/>
                <w:bCs w:val="1"/>
                <w:color w:val="auto"/>
                <w:w w:val="94"/>
              </w:rPr>
              <w:t>2020</w:t>
            </w: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b w:val="1"/>
                <w:bCs w:val="1"/>
                <w:color w:val="auto"/>
              </w:rPr>
              <w:t>2019</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b w:val="1"/>
                <w:bCs w:val="1"/>
                <w:color w:val="auto"/>
              </w:rPr>
              <w:t>2018</w:t>
            </w:r>
          </w:p>
        </w:tc>
      </w:tr>
      <w:tr>
        <w:trPr>
          <w:trHeight w:val="254"/>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59,073</w:t>
            </w: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39,745</w:t>
            </w:r>
          </w:p>
        </w:tc>
        <w:tc>
          <w:tcPr>
            <w:tcW w:w="80" w:type="dxa"/>
            <w:vAlign w:val="bottom"/>
          </w:tcPr>
          <w:p>
            <w:pPr>
              <w:spacing w:after="0"/>
              <w:rPr>
                <w:sz w:val="22"/>
                <w:szCs w:val="22"/>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(60,764)</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25,250</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25,250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26,506</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3,366</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3,968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2,991</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4,809</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799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26,441</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640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(825)</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1,946</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2,874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5,810</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1,068</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3,915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1,483</w:t>
            </w:r>
          </w:p>
        </w:tc>
      </w:tr>
      <w:tr>
        <w:trPr>
          <w:trHeight w:val="270"/>
        </w:trPr>
        <w:tc>
          <w:tcPr>
            <w:tcW w:w="1400" w:type="dxa"/>
            <w:vAlign w:val="bottom"/>
          </w:tcPr>
          <w:p>
            <w:pPr>
              <w:jc w:val="right"/>
              <w:ind w:right="61"/>
              <w:spacing w:after="0"/>
              <w:rPr>
                <w:sz w:val="20"/>
                <w:szCs w:val="20"/>
                <w:color w:val="auto"/>
              </w:rPr>
            </w:pPr>
            <w:r>
              <w:rPr>
                <w:rFonts w:ascii="Arial" w:cs="Arial" w:eastAsia="Arial" w:hAnsi="Arial"/>
                <w:sz w:val="20"/>
                <w:szCs w:val="20"/>
                <w:color w:val="auto"/>
              </w:rPr>
              <w:t>5,821</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2,836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3,636</w:t>
            </w:r>
          </w:p>
        </w:tc>
      </w:tr>
      <w:tr>
        <w:trPr>
          <w:trHeight w:val="270"/>
        </w:trPr>
        <w:tc>
          <w:tcPr>
            <w:tcW w:w="1400" w:type="dxa"/>
            <w:vAlign w:val="bottom"/>
          </w:tcPr>
          <w:p>
            <w:pPr>
              <w:jc w:val="right"/>
              <w:ind w:right="1"/>
              <w:spacing w:after="0"/>
              <w:rPr>
                <w:sz w:val="20"/>
                <w:szCs w:val="20"/>
                <w:color w:val="auto"/>
              </w:rPr>
            </w:pPr>
            <w:r>
              <w:rPr>
                <w:rFonts w:ascii="Arial" w:cs="Arial" w:eastAsia="Arial" w:hAnsi="Arial"/>
                <w:sz w:val="20"/>
                <w:szCs w:val="20"/>
                <w:color w:val="auto"/>
              </w:rPr>
              <w:t>(8,755)</w:t>
            </w: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(9,132)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(9,338)</w:t>
            </w:r>
          </w:p>
        </w:tc>
      </w:tr>
      <w:tr>
        <w:trPr>
          <w:trHeight w:val="482"/>
        </w:trPr>
        <w:tc>
          <w:tcPr>
            <w:tcW w:w="1400" w:type="dxa"/>
            <w:vAlign w:val="bottom"/>
          </w:tcPr>
          <w:p>
            <w:pPr>
              <w:jc w:val="right"/>
              <w:ind w:right="1"/>
              <w:spacing w:after="0"/>
              <w:rPr>
                <w:sz w:val="20"/>
                <w:szCs w:val="20"/>
                <w:color w:val="auto"/>
              </w:rPr>
            </w:pPr>
            <w:r>
              <w:rPr>
                <w:rFonts w:ascii="Arial" w:cs="Arial" w:eastAsia="Arial" w:hAnsi="Arial"/>
                <w:sz w:val="20"/>
                <w:szCs w:val="20"/>
                <w:color w:val="auto"/>
              </w:rPr>
              <w:t>(6,608)</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9,284</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1400" w:type="dxa"/>
            <w:vAlign w:val="bottom"/>
          </w:tcPr>
          <w:p>
            <w:pPr>
              <w:jc w:val="right"/>
              <w:ind w:right="61"/>
              <w:spacing w:after="0"/>
              <w:rPr>
                <w:sz w:val="20"/>
                <w:szCs w:val="20"/>
                <w:color w:val="auto"/>
              </w:rPr>
            </w:pPr>
            <w:r>
              <w:rPr>
                <w:rFonts w:ascii="Arial" w:cs="Arial" w:eastAsia="Arial" w:hAnsi="Arial"/>
                <w:sz w:val="20"/>
                <w:szCs w:val="20"/>
                <w:b w:val="1"/>
                <w:bCs w:val="1"/>
                <w:color w:val="auto"/>
              </w:rPr>
              <w:t>112,411</w:t>
            </w: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80,179</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(30,501)</w:t>
            </w:r>
          </w:p>
        </w:tc>
      </w:tr>
      <w:tr>
        <w:trPr>
          <w:trHeight w:val="25"/>
        </w:trPr>
        <w:tc>
          <w:tcPr>
            <w:tcW w:w="14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-1722120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-1379220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-1036320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-693420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-213995</wp:posOffset>
            </wp:positionV>
            <wp:extent cx="71323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-2065020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5880"/>
          </w:cols>
          <w:pgMar w:left="320" w:top="141" w:right="339" w:bottom="1440" w:gutter="0" w:footer="0" w:header="0"/>
          <w:type w:val="continuous"/>
        </w:sectPr>
      </w:pPr>
    </w:p>
    <w:p>
      <w:pPr>
        <w:spacing w:after="0" w:line="344"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consulting costs associated with our enterprise resource planning system implementation.</w:t>
      </w:r>
    </w:p>
    <w:p>
      <w:pPr>
        <w:spacing w:after="0" w:line="242" w:lineRule="exact"/>
        <w:rPr>
          <w:rFonts w:ascii="Arial" w:cs="Arial" w:eastAsia="Arial" w:hAnsi="Arial"/>
          <w:sz w:val="22"/>
          <w:szCs w:val="22"/>
          <w:color w:val="auto"/>
          <w:vertAlign w:val="superscript"/>
        </w:rPr>
      </w:pPr>
    </w:p>
    <w:p>
      <w:pPr>
        <w:jc w:val="both"/>
        <w:ind w:left="660" w:hanging="4"/>
        <w:spacing w:after="0" w:line="234" w:lineRule="auto"/>
        <w:tabs>
          <w:tab w:leader="none" w:pos="87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243" w:lineRule="exact"/>
        <w:rPr>
          <w:rFonts w:ascii="Arial" w:cs="Arial" w:eastAsia="Arial" w:hAnsi="Arial"/>
          <w:sz w:val="23"/>
          <w:szCs w:val="23"/>
          <w:color w:val="auto"/>
          <w:vertAlign w:val="superscript"/>
        </w:rPr>
      </w:pPr>
    </w:p>
    <w:p>
      <w:pPr>
        <w:jc w:val="both"/>
        <w:ind w:left="660" w:hanging="4"/>
        <w:spacing w:after="0" w:line="239" w:lineRule="auto"/>
        <w:tabs>
          <w:tab w:leader="none" w:pos="85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other costs represent (i) certain costs associated with our IPO and Follow-on Offering of $3.5 million, (ii) $2.2 million to the former majority shareholder in connection with tax benefits received as part of the CARES act (this $2.2 million is reflected in the "Other Expense" line in Adjusted EBITDA) and (iii) costs associated with our initial Board of Directors search for $0.1 million. For the year ended December 31, 2019, other costs represent (i) consulting fees for certain accounting, finance and IT services of $2.6 million and (ii) $0.2 million for the executive consulting costs. For the year ended December 31, 2018, other costs represent (i) consulting fees for certain accounting, finance and IT services of $3.6 million.</w:t>
      </w:r>
    </w:p>
    <w:p>
      <w:pPr>
        <w:spacing w:after="0" w:line="231" w:lineRule="exact"/>
        <w:rPr>
          <w:rFonts w:ascii="Arial" w:cs="Arial" w:eastAsia="Arial" w:hAnsi="Arial"/>
          <w:sz w:val="23"/>
          <w:szCs w:val="23"/>
          <w:color w:val="auto"/>
          <w:vertAlign w:val="superscript"/>
        </w:rPr>
      </w:pPr>
    </w:p>
    <w:p>
      <w:pPr>
        <w:ind w:left="660" w:right="860" w:hanging="4"/>
        <w:spacing w:after="0" w:line="206" w:lineRule="auto"/>
        <w:tabs>
          <w:tab w:leader="none" w:pos="853"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estimated tax impact of all Adjusted Net Income add-backs, excluding those which represent permanent differences between book versus tax.</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Historical Cash Flow</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compares the historical cash flow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20"/>
                <w:szCs w:val="20"/>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2019</w:t>
            </w: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Provided by Operating Activities</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(122,205)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386,073</w:t>
            </w:r>
          </w:p>
        </w:tc>
      </w:tr>
      <w:tr>
        <w:trPr>
          <w:trHeight w:val="270"/>
        </w:trPr>
        <w:tc>
          <w:tcPr>
            <w:tcW w:w="744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(1,697)</w:t>
            </w:r>
          </w:p>
        </w:tc>
      </w:tr>
      <w:tr>
        <w:trPr>
          <w:trHeight w:val="270"/>
        </w:trPr>
        <w:tc>
          <w:tcPr>
            <w:tcW w:w="7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provided by Financing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(129,273)</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(63,945)</w:t>
            </w:r>
          </w:p>
        </w:tc>
      </w:tr>
      <w:tr>
        <w:trPr>
          <w:trHeight w:val="259"/>
        </w:trPr>
        <w:tc>
          <w:tcPr>
            <w:tcW w:w="7440" w:type="dxa"/>
            <w:vAlign w:val="bottom"/>
          </w:tcPr>
          <w:p>
            <w:pPr>
              <w:ind w:left="20"/>
              <w:spacing w:after="0"/>
              <w:rPr>
                <w:sz w:val="20"/>
                <w:szCs w:val="20"/>
                <w:color w:val="auto"/>
              </w:rPr>
            </w:pPr>
            <w:r>
              <w:rPr>
                <w:rFonts w:ascii="Arial" w:cs="Arial" w:eastAsia="Arial" w:hAnsi="Arial"/>
                <w:sz w:val="20"/>
                <w:szCs w:val="20"/>
                <w:color w:val="auto"/>
              </w:rPr>
              <w:t>Net (Decrease) Increase in Cash, Cash Equivalents and Restricted Cash</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(252,816)</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320,431</w:t>
            </w:r>
          </w:p>
        </w:tc>
      </w:tr>
      <w:tr>
        <w:trPr>
          <w:trHeight w:val="25"/>
        </w:trPr>
        <w:tc>
          <w:tcPr>
            <w:tcW w:w="7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We have historically financed our operations primarily with the proceeds from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 sufficient to meet our future cash needs. Our Senior Secured Credit Facility (see discussion below) provides an additional source of short and long-term liquidity to fund operations.</w:t>
      </w:r>
    </w:p>
    <w:p>
      <w:pPr>
        <w:spacing w:after="0" w:line="23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As of December 31, 2020, our cash and cash equivalents was $108.4 million. Net working capital as of December 31, 2020 was $86.1 million.</w:t>
      </w: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As of December 31, 2020, we had outstanding borrowings of $460.0 million under the Term Loan Facility and $103.4 million available of our $150.0 million commitment under our Revolving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37" w:lineRule="exact"/>
        <w:rPr>
          <w:sz w:val="20"/>
          <w:szCs w:val="20"/>
          <w:color w:val="auto"/>
        </w:rPr>
      </w:pPr>
    </w:p>
    <w:p>
      <w:pPr>
        <w:jc w:val="both"/>
        <w:ind w:right="160"/>
        <w:spacing w:after="0" w:line="257" w:lineRule="auto"/>
        <w:rPr>
          <w:sz w:val="20"/>
          <w:szCs w:val="20"/>
          <w:color w:val="auto"/>
        </w:rPr>
      </w:pPr>
      <w:r>
        <w:rPr>
          <w:rFonts w:ascii="Arial" w:cs="Arial" w:eastAsia="Arial" w:hAnsi="Arial"/>
          <w:sz w:val="20"/>
          <w:szCs w:val="20"/>
          <w:color w:val="auto"/>
        </w:rPr>
        <w:t>For the year ended December 31, 2020, cash used by operating activities was $122.2 million primarily due to payments to our suppliers for products that were paid for by customers in 2019, but that we did not ship until 2020. In order for our customers to take advantage of the ITC credit, we received payment on these projects in the fourth quarter of 2019.</w:t>
      </w:r>
    </w:p>
    <w:p>
      <w:pPr>
        <w:spacing w:after="0" w:line="220"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For the year ended December 31, 2019 cash provided by operating activities was $ 386.1 million, due to an increase in deferred revenue of $ 307.0 million resulting from payments made by customers for products we did not ship until the first half of 2020. Additionally, there was a $94.6 million increase in inventory and a $105.5 million increase in accounts payable in preparation of expected volume increases in the first quarter of 2020.</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37" w:lineRule="exact"/>
        <w:rPr>
          <w:sz w:val="20"/>
          <w:szCs w:val="20"/>
          <w:color w:val="auto"/>
        </w:rPr>
      </w:pPr>
    </w:p>
    <w:p>
      <w:pPr>
        <w:ind w:right="620"/>
        <w:spacing w:after="0" w:line="261" w:lineRule="auto"/>
        <w:rPr>
          <w:sz w:val="20"/>
          <w:szCs w:val="20"/>
          <w:color w:val="auto"/>
        </w:rPr>
      </w:pPr>
      <w:r>
        <w:rPr>
          <w:rFonts w:ascii="Arial" w:cs="Arial" w:eastAsia="Arial" w:hAnsi="Arial"/>
          <w:sz w:val="20"/>
          <w:szCs w:val="20"/>
          <w:color w:val="auto"/>
        </w:rPr>
        <w:t>For the years ended December 31, 2020 and 2019, net cash used in investing activities was $1.3 million and $1.7 million, respectively, primarily attributable to the purchase of property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For the year ended December 31, 2020, net cash used by financing activities was $129.3 million. Net proceeds from the Term Loan Facility and IPO were $460.0 million and $139.1 million, respectively. The Company also paid a special distribution to its members prior to our IPO of $589.0 million (the “Special Distribution”) along with $57.7 million and $45.6 million payments of the Term Loan and Senior Secured Promissory Note, respectively.</w:t>
      </w:r>
    </w:p>
    <w:p>
      <w:pPr>
        <w:spacing w:after="0" w:line="226" w:lineRule="exact"/>
        <w:rPr>
          <w:sz w:val="20"/>
          <w:szCs w:val="20"/>
          <w:color w:val="auto"/>
        </w:rPr>
      </w:pPr>
    </w:p>
    <w:p>
      <w:pPr>
        <w:ind w:right="540"/>
        <w:spacing w:after="0" w:line="236" w:lineRule="auto"/>
        <w:rPr>
          <w:sz w:val="20"/>
          <w:szCs w:val="20"/>
          <w:color w:val="auto"/>
        </w:rPr>
      </w:pPr>
      <w:r>
        <w:rPr>
          <w:rFonts w:ascii="Arial" w:cs="Arial" w:eastAsia="Arial" w:hAnsi="Arial"/>
          <w:sz w:val="20"/>
          <w:szCs w:val="20"/>
          <w:color w:val="auto"/>
        </w:rPr>
        <w:t>For the year ended December 31, 2019, net cash used by financing activities was $63.9 million, of which $25.0 million and $39.1 million was attributable to the payment of the Prior Term Loan Facility and Senior ABL Facility.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2018 Historical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A discussion and analysis covering historical cash flows for the year ended December 31, 2018 is included in our prospectus filed pursuant to Rule 424(b) with the Securities and Exchange Commission on December 4,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Credit Facility</w:t>
      </w:r>
    </w:p>
    <w:p>
      <w:pPr>
        <w:spacing w:after="0" w:line="248"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On October 14, 2020, the Company entered into a senior secured credit facility consisting of (i) a $575.0 million senior secured seven-year term loan facility (the “Term Loan Facility”) and (ii) a $150.0 million senior secured 5 -year revolving credit facility (the “Revolving Credit Facility” and, together with the Term Loan Facility, the “Senior Secured Credit Facility”). On February 26, 2021, we entered into the incremental facility amendment No. 2 (the “Second Amendment”) to the Senior Secured Credit Facility. The Second Amendment increases the $150.0 million Revolving Credit Facility from $150.0 million to $200.0 million. As of December 31, 2020, the Term Loan Facility had a balance of $460.0 million. The Term Loan Facility accrued interest equal to applicable margin of 1% plus base rate (4% at December 31, 2020). On February 23, 2021 we entered into the first amendment (“First Amendment”) to our Senior Secured Credit Facility. The First Amendment, in the case of the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Amendment.The balance of the Term Loan Facility is presented in the accompanying consolidated balance sheets net of debt discount and issuance costs of $31.7 million at December 31, 2020. The debt discount and issuance costs are being amortized using the effective interest method and the rate as of December 31, 2020 is 6.08%. The Term Loan Facility has an annual excess cash flow calculation beginning with the year ended December 31, 2021 which could require the Company to make advance principal payments.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Letters of Credit</w:t>
      </w:r>
    </w:p>
    <w:p>
      <w:pPr>
        <w:spacing w:after="0" w:line="20"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Under the Revolving Credit Facility, the Company had no outstanding balance, $46.6 million in standby letters of credit and availability of $103.4 million under the Revolving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LIBOR for the relevant currency, adjusted for statutory reserve requirements, and (b) 100 basis points, plus, in each case, the applicable margin of 400 basis points per annum. Pursuant to the First Amendment, (i) the applicable margin (a) with respect to ABR borrowings was reduced to 225 basis points and (b) with respect to Eurocurrency borrowings was reduced to 325 basis points and (ii) the LIBOR floor referred to in clause (ii)(b) above was reduced from 100 to 50 basis points.</w:t>
      </w:r>
    </w:p>
    <w:p>
      <w:pPr>
        <w:spacing w:after="0" w:line="239"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LIBOR for the relevant currency, adjusted for statutory reserve requirements, and (b) 50 basis points, plus, in each case, the applicable margin of 325 basis points per annum.</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and its wholly owned domestic subsidiaries other than certain immaterial subsidiaries and other excluded subsidiaries. The obligations under the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3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w:t>
      </w:r>
    </w:p>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The Senior Secured Credit Facility requires mandatory prepayments, but not permanent reductions of commitments thereunder, for excess cash flow, asset sales, subject to a right of reinvestment, and refinancing facilities.</w:t>
      </w:r>
    </w:p>
    <w:p>
      <w:pPr>
        <w:spacing w:after="0" w:line="229"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33"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The Senior Secured Credit Facility contains affirmative and negative covenants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Revolving Credit Facility also includes a springing financial maintenance covenant that is tested on the last day of each fiscal quarter if the outstanding loans and certain other credit extensions under the New Revolving Credit Facility exceed 35% of the aggregate amount of commitments thereunder. If the financial maintenance covenant is triggered, the first lien net leverage ratio will be tested for compliance not to exceed 7.10 to 1.00.</w:t>
      </w:r>
    </w:p>
    <w:p>
      <w:pPr>
        <w:spacing w:after="0" w:line="234" w:lineRule="exact"/>
        <w:rPr>
          <w:sz w:val="20"/>
          <w:szCs w:val="20"/>
          <w:color w:val="auto"/>
        </w:rPr>
      </w:pPr>
    </w:p>
    <w:p>
      <w:pPr>
        <w:ind w:right="3300"/>
        <w:spacing w:after="0" w:line="261" w:lineRule="auto"/>
        <w:rPr>
          <w:sz w:val="20"/>
          <w:szCs w:val="20"/>
          <w:color w:val="auto"/>
        </w:rPr>
      </w:pPr>
      <w:r>
        <w:rPr>
          <w:rFonts w:ascii="Arial" w:cs="Arial" w:eastAsia="Arial" w:hAnsi="Arial"/>
          <w:sz w:val="20"/>
          <w:szCs w:val="20"/>
          <w:color w:val="auto"/>
        </w:rPr>
        <w:t>The Senior Secured Credit Facility also includes customary events of default, including the occurrence of a change of control.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ABL Facility</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Company had a Senior ABL Facility which, as amended on March 23, 2020, had maximum availability of $100.0 million and matures on March 23, 2025. The amount available to be borrowed under the Senior ABL Facility was determined by a borrowing base consisting of our eligible inventory, eligible accounts receivable and cash. On October 14, 2020, we repaid the entire outstanding balance of the Senior ABL Facility and closed this facility.</w:t>
      </w:r>
    </w:p>
    <w:p>
      <w:pPr>
        <w:spacing w:after="0" w:line="234"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The interest rates applicable to the loans under the Senior ABL Facility were based on a fluctuating rate of interest determined by reference to a base rate plus an applicable margin ranging from 0.50% to 1.00% or a prime rate or Eurocurrency rate plus an applicable margin ranging from 1.50% to 2.00%. The applicable margin was adjusted after the completion of each full fiscal quarter based upon the pricing grid in the Senior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Senior ABL Facility contained a number of customary affirmative and negative covenants, including covenants that restricted our ability to borrow money, grant liens, pay dividends or dispose of assets, and events of default. Specifically, we were required to maintain a fixed charge coverage ratio, measured as of the last day of each full fiscal quarter, of at least 1.10 to 1.00.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 of Credit Facility</w:t>
      </w:r>
    </w:p>
    <w:p>
      <w:pPr>
        <w:spacing w:after="0" w:line="33"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On December 16, 2019, we entered into a letter of credit facility (the “LC Facility”) to provide customers with additional credit support in the form of a standby letter of credit to secure our performance obligations under contracts for which certain customers elected to prepay for the design and manufacture of tracker systems. The LC Facility has a commitment of $100.0 million in standby letters of credit which expired August 31, 2020.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Promissory Note</w:t>
      </w:r>
    </w:p>
    <w:p>
      <w:pPr>
        <w:spacing w:after="0" w:line="33"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On August 22, 2018, High Desert Finance LLC, our wholly owned subsidiary, issued $38.6 million Senior Secured Promissory Note (the “Senior Secured Promissory Note”) in favor of Ron P. Corio, our indirect stockholder, that was secured by the outstanding common stock of ATI Investment Holdings, Inc. The maturity due date of the Senior Secured Promissory Note was originally February 22, 2020 but was subsequently amended to extend the due date to September 22, 2020.</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Company paid the remaining outstanding balance and accrued interest on July 31, 2020 to settle the obligation with respect to the Senior Secured Promissory Note.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Prior Term Loan Facility</w:t>
      </w:r>
    </w:p>
    <w:p>
      <w:pPr>
        <w:spacing w:after="0" w:line="3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On June 23, 2016, we entered into a term loan agreement with Jefferies Finance LLC, providing for a term loan in an aggregate amount of $200 million (the “Prior Term Loan Facility”). As of December 31, 2019, the Prior Term Loan Facility had a balance of $57.7 million. The balance of the Prior Term Loan Facility is presented in the accompanying consolidated balance sheet net of debt discount and issuance costs of $1.8 million at December 31, 2019. The Prior Term Loan Facility contains a provision under which a percentage of excess cash flow must be used to pay down the loan. As of December 31, 2019, the excess cash flow provision resulted in the Prior Term Loan Facility being classified as current on the accompanying consolidated balance sheet. On February 7, 2020, the Company repaid the Prior Term Loan Facility in full and settled all obligations with respect to the Prior Term Loan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280"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color w:val="auto"/>
        </w:rPr>
        <w:t>As of December 31, 2020, we posted surety bonds in the total amount of approximately $121.2 million. We are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 .</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 2020 and 2019</w:t>
      </w:r>
    </w:p>
    <w:p>
      <w:pPr>
        <w:spacing w:after="0" w:line="37"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The Company recognized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3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Company’s contracts with customers are predominately accounted for as one performance obligation, as the majority of tasks and services is part of a single project or capability. As these contracts are typically a customized assembly for a customer-specific solution, the Company uses the expected cost-plus margin approach to estimate the standalone selling price of each performance obligation. For contracts with multiple performance obligations, the Company allocates the contract’s transaction price to each performance obligation using its best estimate of the standalone selling price of each distinct good or service in the contract. 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The Company analyzes its changed orders to determine if they should be accounted for as a modification to an existing contract or a new stand-alone contract. The Company’s change orders are generally modifications to existing contracts and are included in the total estimated contract revenue when it is probable that the change order will result in additional value that can be reliably estimated and realized. The majority of the Company’s contracts do not contain variable consideration provisions as a continuation of the original contract.</w:t>
      </w:r>
    </w:p>
    <w:p>
      <w:pPr>
        <w:spacing w:after="0" w:line="224"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The Company’s performance obligations are satisfied predominately over-time as work progresses for its custom assembled solar systems, utilizing an output measure of completed products and based on the timing of the product’s shipments considering the shipping terms described in the contract. In certain situations, when product is still in our custody, and title and risk of loss has passed to the customer (known as bill-and-hold arrangement), revenue will be recognized when all the specific requirements for transfer of control under a bill-and-hold arrangement have been met.</w:t>
      </w:r>
    </w:p>
    <w:p>
      <w:pPr>
        <w:spacing w:after="0" w:line="239" w:lineRule="exact"/>
        <w:rPr>
          <w:sz w:val="20"/>
          <w:szCs w:val="20"/>
          <w:color w:val="auto"/>
        </w:rPr>
      </w:pPr>
    </w:p>
    <w:p>
      <w:pPr>
        <w:jc w:val="both"/>
        <w:ind w:right="220"/>
        <w:spacing w:after="0" w:line="257" w:lineRule="auto"/>
        <w:rPr>
          <w:sz w:val="20"/>
          <w:szCs w:val="20"/>
          <w:color w:val="auto"/>
        </w:rPr>
      </w:pPr>
      <w:r>
        <w:rPr>
          <w:rFonts w:ascii="Arial" w:cs="Arial" w:eastAsia="Arial" w:hAnsi="Arial"/>
          <w:sz w:val="20"/>
          <w:szCs w:val="20"/>
          <w:color w:val="auto"/>
        </w:rPr>
        <w:t>Revenue recognized for the Company’s part sales are recorded at a point in time and recognized when obligations under the terms of the contract with our customer are satisfied. Generally, this occurs with the transfer of control of the asset, which is in line with shipping terms.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Accounting for contracts utilizing the over-time method and their expected cost-plus margins is based on various assumptions to project the outcome of future events that can exceed a year. These assumptions include labor productivity and availability; the complexity of the work to be performed; the cost and availability of materials; and the availability and timing of funding from the customer. The Company reviews and updates its contract-related estimates each reporting period. The Company recognizes adjustments in estimated expected cost-plus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estimate of contract profitability indicates an anticipated loss on the contract, the Company recognizes the total loss in the period it is identified.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 recorded on a contract-by-contract basis at the end of each reporting period.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As of December 31, 2020 and December 31, 2019, contract assets consisting of unbilled receivables totaling $18.1 million and $16.1 million, respectively, were recorded within accounts receivable on the consolidated balance sheet. The Company also receives 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Based on the terms of the tax incentives the customer must pay for the goods prior to December 31, 2019 which accounts for the increase in the advanced orders and payments and the resulting deferred revenue. As of December 31, 2020 and December 31, 2019, contract liabilities consisting of deferred revenue was presented separately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Warranty</w:t>
      </w:r>
    </w:p>
    <w:p>
      <w:pPr>
        <w:spacing w:after="0" w:line="37"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Company offers an assurance type warranty for its products against defects in design, materials and workmanship for a period ranging from five to twenty years from customer acceptance.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 Valuation</w:t>
      </w:r>
    </w:p>
    <w:p>
      <w:pPr>
        <w:spacing w:after="0" w:line="37"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Inventories consist of raw materials and finished goods. Inventories are stated at the lower of cost or estimated net realizable value using the weighted average method. Provisions are made to reduce excess or obsolete inventories to their estimated net realizable values which require estimates by management.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5"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Concurrent with Former Parent’s acquisition of Patent LLC, Array Tech, Inc. (f/k/a Array Technologies, Inc.) entered into the TRA with Ron P. Corio, our indirect stockholder. The TRA is accounted for as contingent consideration and subsequent changes in fair value of the contingent liability are recognized in general and administrative in the Company’s consolidated statement of operations. The TRA obligations were recorded at acquisition-date fair value at inception and is classified as a liability. The TRA will generally provide for the payment by Array Tech, Inc. (f/k/a Array Technologies, Inc.) to Ron P. Corio, our indirect stockholder, for certain federal, state, local and non-U.S. tax benefits deemed realized in post-closing taxable periods by Array Tech, Inc. (f/k/a Array Technologies, Inc.) from the use of certain deductions generated by the increase in the tax value of the developed technology. Estimating the amount of payments that may be made under the TRA is by nature imprecise. The significant fair value inputs used to estimate the future expected TRA payments to Ron P. Corio include the timing of tax payments, a discount rate, book income projections, timing of expected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00"/>
        <w:spacing w:after="0" w:line="232" w:lineRule="auto"/>
        <w:rPr>
          <w:sz w:val="20"/>
          <w:szCs w:val="20"/>
          <w:color w:val="auto"/>
        </w:rPr>
      </w:pPr>
      <w:r>
        <w:rPr>
          <w:rFonts w:ascii="Arial" w:cs="Arial" w:eastAsia="Arial" w:hAnsi="Arial"/>
          <w:sz w:val="20"/>
          <w:szCs w:val="20"/>
          <w:color w:val="auto"/>
        </w:rPr>
        <w:t>adjustments to calculate taxable income and the projected rate of use for attributes defined in the TRA. As of December 31, 2020 and December 31, 2019, the estimated fair value of the TRA is $19.7 million and $17.8 million, respectively, which has been recorded as a liability. Subsequent changes in fair value of the TRA will be recognized in earnings.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Obligations</w:t>
      </w:r>
    </w:p>
    <w:p>
      <w:pPr>
        <w:spacing w:after="0" w:line="2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Under the Earn-Out Agreement, dated June 23, 2016, by and among ATI Investment Former Parent, LLC, ATI Investment Sub, Inc., Array Technologies, Inc., and the seller parties thereto (the “Earn-Out Agreement”), the Company is required to pay the former stockholders of Array Technologies, Inc., including Ron P. Corio, an indirect stockholder, future contingent consideration consisting of earn-out payments in the form of cash upon the occurrence of certain events, including the consummation of an IPO; the sale, transfer, assignment, pledge, encumbrance, distribution or disposition of shares of Former Parent held by Oaktree Power and Oaktree Investors to a third party; the sale of equity securities or assets of Former Parent, ATI Investment Sub, Inc. or Array Technologies, Inc. to a third-party; or a merger, consolidation, recapitalization or reorganization of Former Parent, ATI Investment Sub, Inc. or the Company. The maximum aggregate earn-out consideration is $25.0 million. During the year ended December 31, 2020 we were required to pay the maximum aggregate earn-out consideration as a result of our IPO, Special Distribution and Follow-on Offering. As a result of the $25.0 million payment we are no longer obligated under the earn-out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 Expense</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 xml:space="preserve">The Company accounts for equity grants to employees (Class B units of Former Parent) as stock-based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Class B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4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Class B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pacing w:after="0" w:line="233"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Effective October 14, 2020, the Company granted an aggregate of 29,398 restricted stock units (RSU’s) to its non-employee directors in connection with their service on the board of directors and 470,608 RSU’s to certain executives and members of management. The RSU’s were granted under the 2020 Plan at the IPO price of $22.00 per share. Each share has a vesting commencement date of and is subject to a two to three-year vesting schedule, vesting annually on the anniversary date of the vesting commencement date.</w:t>
      </w:r>
    </w:p>
    <w:p>
      <w:pPr>
        <w:spacing w:after="0" w:line="236"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For the years ended December 31, 2020 and 2019, the Company recognized $4.8 million and $0.8 million, respectively, in equity-based compensation. At December 31, 2020, the Company had $17.0 million of unrecognized compensation costs related to Class B units and restricted stock units which is expected to be recognized over a period of 3 years. There were no forfeitures during 2019 or 2020. Following the Corporate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Conversion, the Class B Units in Former Parent remained outstanding and were not converted into shares of common stock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37" w:lineRule="exact"/>
        <w:rPr>
          <w:sz w:val="20"/>
          <w:szCs w:val="20"/>
          <w:color w:val="auto"/>
        </w:rPr>
      </w:pPr>
    </w:p>
    <w:p>
      <w:pPr>
        <w:ind w:right="840"/>
        <w:spacing w:after="0" w:line="287" w:lineRule="auto"/>
        <w:rPr>
          <w:sz w:val="20"/>
          <w:szCs w:val="20"/>
          <w:color w:val="auto"/>
        </w:rPr>
      </w:pPr>
      <w:r>
        <w:rPr>
          <w:rFonts w:ascii="Arial" w:cs="Arial" w:eastAsia="Arial" w:hAnsi="Arial"/>
          <w:sz w:val="19"/>
          <w:szCs w:val="19"/>
          <w:color w:val="auto"/>
        </w:rPr>
        <w:t>Refer to Note 2 - Summary of Significant Accounting Policies,’’ in the accompanying notes to our consolidated financial statements included in this Annual Report on Form 10-K for a discussion of recent accounting pronouncements.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JOBS Act Accounting Election</w:t>
      </w:r>
    </w:p>
    <w:p>
      <w:pPr>
        <w:spacing w:after="0" w:line="37"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requirement to present only two years of audited financial statements and only two years of selected financial data;</w:t>
      </w:r>
    </w:p>
    <w:p>
      <w:pPr>
        <w:spacing w:after="0" w:line="13" w:lineRule="exact"/>
        <w:rPr>
          <w:rFonts w:ascii="Arial" w:cs="Arial" w:eastAsia="Arial" w:hAnsi="Arial"/>
          <w:sz w:val="20"/>
          <w:szCs w:val="20"/>
          <w:color w:val="auto"/>
        </w:rPr>
      </w:pPr>
    </w:p>
    <w:p>
      <w:pPr>
        <w:ind w:left="660" w:right="400" w:hanging="328"/>
        <w:spacing w:after="0" w:line="253"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exemption from compliance with the auditor attestation requirements of Section 404 of the Sarbanes-Oxley Act of 2002, or the Sarbanes-Oxley Act;</w:t>
      </w:r>
    </w:p>
    <w:p>
      <w:pPr>
        <w:spacing w:after="0" w:line="1" w:lineRule="exact"/>
        <w:rPr>
          <w:rFonts w:ascii="Arial" w:cs="Arial" w:eastAsia="Arial" w:hAnsi="Arial"/>
          <w:sz w:val="20"/>
          <w:szCs w:val="20"/>
          <w:color w:val="auto"/>
        </w:rPr>
      </w:pPr>
    </w:p>
    <w:p>
      <w:pPr>
        <w:ind w:left="660" w:right="540" w:hanging="328"/>
        <w:spacing w:after="0" w:line="253"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reduced disclosure about our executive compensation arrangements in our periodic reports, proxy statements, and registration statements; and</w:t>
      </w:r>
    </w:p>
    <w:p>
      <w:pPr>
        <w:spacing w:after="0" w:line="1" w:lineRule="exact"/>
        <w:rPr>
          <w:rFonts w:ascii="Arial" w:cs="Arial" w:eastAsia="Arial" w:hAnsi="Arial"/>
          <w:sz w:val="20"/>
          <w:szCs w:val="20"/>
          <w:color w:val="auto"/>
        </w:rPr>
      </w:pPr>
    </w:p>
    <w:p>
      <w:pPr>
        <w:ind w:left="660" w:right="920" w:hanging="328"/>
        <w:spacing w:after="0" w:line="261"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exemptions from the requirements of holding non-binding advisory votes on executive compensation or golden parachute arrangements.</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at the same time as other public companies that are not emerging growth companies or those that have opted out of using such extended transition period, which may make comparison of our financial statements with such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226"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color w:val="auto"/>
        </w:rPr>
        <w:t>We will remain an emerging growth company until the earliest of (i) the last day of the fiscal year in which we have total annual gross revenues of $1.07 billion or more; (ii) the last day of our fiscal year following the fifth anniversary of the date of our IPO;</w:t>
      </w:r>
    </w:p>
    <w:p>
      <w:pPr>
        <w:jc w:val="both"/>
        <w:ind w:right="200" w:firstLine="8"/>
        <w:spacing w:after="0" w:line="232" w:lineRule="auto"/>
        <w:tabs>
          <w:tab w:leader="none" w:pos="31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date on which we have issued more than $1 billion in nonconvertible debt during the previous three years; and (iv) the date on which we are deemed to be a large accelerated filer under the rules of the SEC. We may choose to take advantage of some but not all of these reduced reporting burdens.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27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Our customer base consists primarily of solar contractors and utilities. We do not require collateral on our trade receivables. For the year ended December 31, 2020, our largest customer and five largest customers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constituted 11.2% and 40.9% of total revenues, respectively. Two customers, Lightsource Renewable Energy US, LLC and Blattner Energy, Inc., made up 21.5% of revenue and are the only customers greater than 10% of total revenue for the year ended December 31, 2020. For the year ended December 31, 2019, our largest customer and five largest customers constituted 17.2% and 50.1% of total revenues, respectively. Two customers made up 28.7% of revenue and are the only customers constituting greater than 10% of total revenue for the year ended December 31, 2019. The loss of any one of our top five customers could have a materially adverse effect on the revenues and profits of the Company. Further, our trade accounts receivable are from companies within the solar industry and, as such, the Company is exposed to normal industry credit risks. As of December 31, 2020, our largest customer and five largest customers constituted 0.1% and 20.9% of trade accounts receivable, respectively. As of December 31, 2019, our largest customer and five largest customers constituted 29.5% and 69.0% of trade accounts receivable, respectively. We continually evaluate our reserves for potential credit losses and establishes reserves for such losses.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Price Risk</w:t>
      </w:r>
    </w:p>
    <w:p>
      <w:pPr>
        <w:spacing w:after="0" w:line="27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 Risk</w:t>
      </w:r>
    </w:p>
    <w:p>
      <w:pPr>
        <w:spacing w:after="0" w:line="276" w:lineRule="exact"/>
        <w:rPr>
          <w:sz w:val="20"/>
          <w:szCs w:val="20"/>
          <w:color w:val="auto"/>
        </w:rPr>
      </w:pPr>
    </w:p>
    <w:p>
      <w:pPr>
        <w:jc w:val="both"/>
        <w:ind w:right="300"/>
        <w:spacing w:after="0" w:line="257" w:lineRule="auto"/>
        <w:rPr>
          <w:sz w:val="20"/>
          <w:szCs w:val="20"/>
          <w:color w:val="auto"/>
        </w:rPr>
      </w:pPr>
      <w:r>
        <w:rPr>
          <w:rFonts w:ascii="Arial" w:cs="Arial" w:eastAsia="Arial" w:hAnsi="Arial"/>
          <w:sz w:val="20"/>
          <w:szCs w:val="20"/>
          <w:color w:val="auto"/>
        </w:rPr>
        <w:t>As of December 31, 2020, our long-term debt totaled $460 million. We have interest rate exposure with respect to the $460.0 million balance due to the variable interest rate. A 50 basis point increase in interest rates would impact our expected annual interest expense for the next 12 months by approximately $2.3 million.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67"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80"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ind w:right="120" w:firstLine="8"/>
        <w:spacing w:after="0" w:line="255" w:lineRule="auto"/>
        <w:tabs>
          <w:tab w:leader="none" w:pos="297"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December 31, 2020. Based upon the evaluation, our Chief Executive Officer and Chief Financial Officer concluded that, as of such date, our disclosure controls and procedures were not effective at a reasonable assurance level as a result of the material weakness that existed in our internal control over financial reporting as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Material Weakness in Internal Control over Financial Reporting</w:t>
      </w:r>
    </w:p>
    <w:p>
      <w:pPr>
        <w:spacing w:after="0" w:line="276" w:lineRule="exact"/>
        <w:rPr>
          <w:sz w:val="20"/>
          <w:szCs w:val="20"/>
          <w:color w:val="auto"/>
        </w:rPr>
      </w:pPr>
    </w:p>
    <w:p>
      <w:pPr>
        <w:ind w:right="580"/>
        <w:spacing w:after="0" w:line="261" w:lineRule="auto"/>
        <w:rPr>
          <w:sz w:val="20"/>
          <w:szCs w:val="20"/>
          <w:color w:val="auto"/>
        </w:rPr>
      </w:pPr>
      <w:r>
        <w:rPr>
          <w:rFonts w:ascii="Arial" w:cs="Arial" w:eastAsia="Arial" w:hAnsi="Arial"/>
          <w:sz w:val="20"/>
          <w:szCs w:val="20"/>
          <w:color w:val="auto"/>
        </w:rPr>
        <w:t>In connection with the audit of our financial statements as of December 31, 2020, we identified a material weakness in our internal control over financial reporting involving inventory.</w:t>
      </w:r>
    </w:p>
    <w:p>
      <w:pPr>
        <w:spacing w:after="0" w:line="215"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This material weakness is in the inventory process related to inventory cut-off. It was noted that we recorded inventory for which we did not hold risk at year-end for inventory in-transit. This risk was initially identified during our audit for fiscal year 2018 and remained as of December 31, 2019. Although we began efforts to remediate this issue immediately upon identification, this issue remained at year end 2020.</w:t>
      </w:r>
    </w:p>
    <w:p>
      <w:pPr>
        <w:spacing w:after="0" w:line="239" w:lineRule="exact"/>
        <w:rPr>
          <w:sz w:val="20"/>
          <w:szCs w:val="20"/>
          <w:color w:val="auto"/>
        </w:rPr>
      </w:pPr>
    </w:p>
    <w:p>
      <w:pPr>
        <w:ind w:right="640"/>
        <w:spacing w:after="0" w:line="252" w:lineRule="auto"/>
        <w:rPr>
          <w:sz w:val="20"/>
          <w:szCs w:val="20"/>
          <w:color w:val="auto"/>
        </w:rPr>
      </w:pPr>
      <w:r>
        <w:rPr>
          <w:rFonts w:ascii="Arial" w:cs="Arial" w:eastAsia="Arial" w:hAnsi="Arial"/>
          <w:sz w:val="20"/>
          <w:szCs w:val="20"/>
          <w:color w:val="auto"/>
        </w:rPr>
        <w:t>We have begun to implement measures designed to improve our internal control over financial reporting to remediate this material weakness, including the following:</w:t>
      </w:r>
    </w:p>
    <w:p>
      <w:pPr>
        <w:spacing w:after="0" w:line="17" w:lineRule="exact"/>
        <w:rPr>
          <w:sz w:val="20"/>
          <w:szCs w:val="20"/>
          <w:color w:val="auto"/>
        </w:rPr>
      </w:pPr>
    </w:p>
    <w:p>
      <w:pPr>
        <w:ind w:left="660" w:right="240" w:hanging="328"/>
        <w:spacing w:after="0" w:line="250"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color w:val="auto"/>
        </w:rPr>
        <w:t>We have taken steps intended to remediate the inventory cut-off material weakness through additional procedures and controls in the inventory and financial statement close processes while working to deploy system enhancements designed to improve the accuracy of inventory reporting. These controls include instituting electronic data interchange with key inventory carriers as well as enhancements in the review process over in-transit inventory.</w:t>
      </w:r>
    </w:p>
    <w:p>
      <w:pPr>
        <w:spacing w:after="0" w:line="3" w:lineRule="exact"/>
        <w:rPr>
          <w:rFonts w:ascii="Arial" w:cs="Arial" w:eastAsia="Arial" w:hAnsi="Arial"/>
          <w:sz w:val="22"/>
          <w:szCs w:val="22"/>
          <w:color w:val="auto"/>
        </w:rPr>
      </w:pPr>
    </w:p>
    <w:p>
      <w:pPr>
        <w:ind w:left="660" w:right="520" w:hanging="328"/>
        <w:spacing w:after="0" w:line="25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have hired an external consulting firm that specializes in internal controls and internal audit work to assist in the organizational risk assessment, identification of control activities, controls documentation and testing and the enhancement of ongoing monitoring activities related to the internal controls over financial reporting.</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These system enhancements and activities are designed to enable us to broaden the scope and quality of our internal review of underlying information related to financial reporting and to formalize and enhance our internal control procedures. With the oversight of senior management and our audit committee, we have begun taking the above steps and plan to take additional measures to remediate the underlying causes of the material weakness.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Remediation Efforts to Address Previously Reported Material Weaknesses in Internal Control Over Financial Reporting</w:t>
      </w:r>
    </w:p>
    <w:p>
      <w:pPr>
        <w:spacing w:after="0" w:line="27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 connection with the audit of our financial statements as of and for each of the years ended December 31, 2018 and 2019, we identified material weaknesses in our internal control over financial reporting relating to our financial close process, reconciliation of deferred revenue and unbilled revenue and inventory pricing, specifically due to lack of qualified accounting and finance personnel and lack of system capabilities which resulted in certain material corrections to the financial statements.</w:t>
      </w:r>
    </w:p>
    <w:p>
      <w:pPr>
        <w:spacing w:after="0" w:line="22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order to address these previously reported material weaknesses, we hired additional accounting and finance personnel with technical accounting and financial reporting experience as well as implemented procedures and controls in the financial statement close process, which include enhanced system capabilities in most areas, enhanced reconciliation controls, enhanced review controls and financial close checklists which ensure all necessary reviews and reconciliations are occurring 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color w:val="auto"/>
        </w:rPr>
        <w:t>Based on these remediation efforts, management has concluded that the previously reported material weaknesses in our internal control over financial reporting relating to our financial close process, reconciliation of deferred revenue and unbilled revenue and inventory pricing have been remediated as of December 31, 2020.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80"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80"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Other than the implementation of measures described above under Material Weaknesses in Internal Control over Financial Reporting, there were no changes in our internal control over financial reporting during the quarter ended December 31, 2020 that have materially affected, or are reasonably likely to materially affect, our internal control over financial reporting</w:t>
      </w:r>
      <w:r>
        <w:rPr>
          <w:rFonts w:ascii="Arial" w:cs="Arial" w:eastAsia="Arial" w:hAnsi="Arial"/>
          <w:sz w:val="20"/>
          <w:szCs w:val="20"/>
          <w:color w:val="FF0000"/>
        </w:rPr>
        <w: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67" w:lineRule="exact"/>
        <w:rPr>
          <w:sz w:val="20"/>
          <w:szCs w:val="20"/>
          <w:color w:val="auto"/>
        </w:rPr>
      </w:pPr>
    </w:p>
    <w:p>
      <w:pPr>
        <w:ind w:right="540"/>
        <w:spacing w:after="0" w:line="232" w:lineRule="auto"/>
        <w:rPr>
          <w:sz w:val="20"/>
          <w:szCs w:val="20"/>
          <w:color w:val="auto"/>
        </w:rPr>
      </w:pPr>
      <w:r>
        <w:rPr>
          <w:rFonts w:ascii="Arial" w:cs="Arial" w:eastAsia="Arial" w:hAnsi="Arial"/>
          <w:sz w:val="20"/>
          <w:szCs w:val="20"/>
          <w:color w:val="auto"/>
        </w:rPr>
        <w:t>On March 8, 2020, the compensation committee of the Board of directors approved certain changes to employment terms applicable to the Company’s named executive officers. A description of these arrangements is filed as exhibit 10.13 filed herewith.</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information required by this item and not set forth below will be contained in our definitive proxy statement to be filed with the Securities and Exchange Commission in connection with our 2021 Annual Meeting of Stockholders, or the Proxy Statement, which is expected to be filed not later than 120 days after the end of our fiscal year ended December 31, 2020, and is incorporated herein by reference.</w:t>
      </w:r>
    </w:p>
    <w:p>
      <w:pPr>
        <w:spacing w:after="0" w:line="220" w:lineRule="exact"/>
        <w:rPr>
          <w:sz w:val="20"/>
          <w:szCs w:val="20"/>
          <w:color w:val="auto"/>
        </w:rPr>
      </w:pPr>
    </w:p>
    <w:p>
      <w:pPr>
        <w:ind w:right="340"/>
        <w:spacing w:after="0"/>
        <w:rPr>
          <w:sz w:val="20"/>
          <w:szCs w:val="20"/>
          <w:color w:val="auto"/>
        </w:rPr>
      </w:pPr>
      <w:r>
        <w:rPr>
          <w:rFonts w:ascii="Arial" w:cs="Arial" w:eastAsia="Arial" w:hAnsi="Arial"/>
          <w:sz w:val="20"/>
          <w:szCs w:val="20"/>
          <w:color w:val="auto"/>
        </w:rPr>
        <w:t>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13" w:lineRule="exact"/>
        <w:rPr>
          <w:sz w:val="20"/>
          <w:szCs w:val="20"/>
          <w:color w:val="auto"/>
        </w:rPr>
      </w:pPr>
    </w:p>
    <w:p>
      <w:pPr>
        <w:ind w:left="660" w:right="540"/>
        <w:spacing w:after="0" w:line="261"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13" w:lineRule="exact"/>
        <w:rPr>
          <w:sz w:val="20"/>
          <w:szCs w:val="20"/>
          <w:color w:val="auto"/>
        </w:rPr>
      </w:pPr>
    </w:p>
    <w:p>
      <w:pPr>
        <w:ind w:left="660" w:right="600"/>
        <w:spacing w:after="0" w:line="261" w:lineRule="auto"/>
        <w:rPr>
          <w:sz w:val="20"/>
          <w:szCs w:val="20"/>
          <w:color w:val="auto"/>
        </w:rPr>
      </w:pPr>
      <w:r>
        <w:rPr>
          <w:rFonts w:ascii="Arial" w:cs="Arial" w:eastAsia="Arial" w:hAnsi="Arial"/>
          <w:sz w:val="20"/>
          <w:szCs w:val="20"/>
          <w:color w:val="auto"/>
        </w:rPr>
        <w:t>All schedules have been omitted because they are not required or because the required information is given in the Financial Statements or Notes thereto.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in the Exhibit Index below are filed or incorporated by reference as part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340" w:type="dxa"/>
            <w:vAlign w:val="bottom"/>
            <w:gridSpan w:val="8"/>
          </w:tcPr>
          <w:p>
            <w:pPr>
              <w:ind w:left="1540"/>
              <w:spacing w:after="0"/>
              <w:rPr>
                <w:sz w:val="20"/>
                <w:szCs w:val="20"/>
                <w:color w:val="auto"/>
              </w:rPr>
            </w:pPr>
            <w:r>
              <w:rPr>
                <w:rFonts w:ascii="Arial" w:cs="Arial" w:eastAsia="Arial" w:hAnsi="Arial"/>
                <w:sz w:val="20"/>
                <w:szCs w:val="20"/>
                <w:b w:val="1"/>
                <w:bCs w:val="1"/>
                <w:color w:val="auto"/>
              </w:rPr>
              <w:t>Exhibit Index</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509"/>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ind w:left="18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380" w:type="dxa"/>
            <w:vAlign w:val="bottom"/>
            <w:shd w:val="clear" w:color="auto" w:fill="CCEEFF"/>
          </w:tcPr>
          <w:p>
            <w:pPr>
              <w:spacing w:after="0"/>
              <w:rPr>
                <w:sz w:val="17"/>
                <w:szCs w:val="17"/>
                <w:color w:val="auto"/>
              </w:rPr>
            </w:pPr>
          </w:p>
        </w:tc>
        <w:tc>
          <w:tcPr>
            <w:tcW w:w="5880" w:type="dxa"/>
            <w:vAlign w:val="bottom"/>
            <w:gridSpan w:val="11"/>
            <w:shd w:val="clear" w:color="auto" w:fill="CCEEFF"/>
          </w:tcPr>
          <w:p>
            <w:pPr>
              <w:spacing w:after="0" w:line="196" w:lineRule="exact"/>
              <w:rPr>
                <w:rFonts w:ascii="Arial" w:cs="Arial" w:eastAsia="Arial" w:hAnsi="Arial"/>
                <w:sz w:val="20"/>
                <w:szCs w:val="20"/>
                <w:color w:val="0000FF"/>
              </w:rPr>
            </w:pPr>
            <w:hyperlink r:id="rId84">
              <w:r>
                <w:rPr>
                  <w:rFonts w:ascii="Arial" w:cs="Arial" w:eastAsia="Arial" w:hAnsi="Arial"/>
                  <w:sz w:val="20"/>
                  <w:szCs w:val="20"/>
                  <w:color w:val="0000FF"/>
                </w:rPr>
                <w:t>Amended and Restated Certificate of Incorporation of Array</w:t>
              </w:r>
            </w:hyperlink>
          </w:p>
        </w:tc>
        <w:tc>
          <w:tcPr>
            <w:tcW w:w="94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6"/>
            <w:shd w:val="clear" w:color="auto" w:fill="CCEEFF"/>
          </w:tcPr>
          <w:p>
            <w:pPr>
              <w:spacing w:after="0" w:line="169" w:lineRule="exact"/>
              <w:rPr>
                <w:rFonts w:ascii="Arial" w:cs="Arial" w:eastAsia="Arial" w:hAnsi="Arial"/>
                <w:sz w:val="19"/>
                <w:szCs w:val="19"/>
                <w:color w:val="0000FF"/>
              </w:rPr>
            </w:pPr>
            <w:hyperlink r:id="rId84">
              <w:r>
                <w:rPr>
                  <w:rFonts w:ascii="Arial" w:cs="Arial" w:eastAsia="Arial" w:hAnsi="Arial"/>
                  <w:sz w:val="19"/>
                  <w:szCs w:val="19"/>
                  <w:color w:val="0000FF"/>
                </w:rPr>
                <w:t>Technologies, Inc., dated October 19, 2020</w:t>
              </w:r>
            </w:hyperlink>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tcPr>
          <w:p>
            <w:pPr>
              <w:spacing w:after="0"/>
              <w:rPr>
                <w:sz w:val="17"/>
                <w:szCs w:val="17"/>
                <w:color w:val="auto"/>
              </w:rPr>
            </w:pPr>
          </w:p>
        </w:tc>
        <w:tc>
          <w:tcPr>
            <w:tcW w:w="5880" w:type="dxa"/>
            <w:vAlign w:val="bottom"/>
            <w:gridSpan w:val="11"/>
          </w:tcPr>
          <w:p>
            <w:pPr>
              <w:spacing w:after="0" w:line="203" w:lineRule="exact"/>
              <w:rPr>
                <w:rFonts w:ascii="Arial" w:cs="Arial" w:eastAsia="Arial" w:hAnsi="Arial"/>
                <w:sz w:val="20"/>
                <w:szCs w:val="20"/>
                <w:color w:val="0000FF"/>
              </w:rPr>
            </w:pPr>
            <w:hyperlink r:id="rId85">
              <w:r>
                <w:rPr>
                  <w:rFonts w:ascii="Arial" w:cs="Arial" w:eastAsia="Arial" w:hAnsi="Arial"/>
                  <w:sz w:val="20"/>
                  <w:szCs w:val="20"/>
                  <w:color w:val="0000FF"/>
                </w:rPr>
                <w:t>Amended and Restated Bylaws of Array Technologies, Inc., dated</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85">
              <w:r>
                <w:rPr>
                  <w:rFonts w:ascii="Arial" w:cs="Arial" w:eastAsia="Arial" w:hAnsi="Arial"/>
                  <w:sz w:val="19"/>
                  <w:szCs w:val="19"/>
                  <w:color w:val="0000FF"/>
                </w:rPr>
                <w:t>October 19, 2020</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c>
          <w:tcPr>
            <w:tcW w:w="380" w:type="dxa"/>
            <w:vAlign w:val="bottom"/>
            <w:shd w:val="clear" w:color="auto" w:fill="CCEEFF"/>
          </w:tcPr>
          <w:p>
            <w:pPr>
              <w:spacing w:after="0"/>
              <w:rPr>
                <w:sz w:val="17"/>
                <w:szCs w:val="17"/>
                <w:color w:val="auto"/>
              </w:rPr>
            </w:pPr>
          </w:p>
        </w:tc>
        <w:tc>
          <w:tcPr>
            <w:tcW w:w="5880" w:type="dxa"/>
            <w:vAlign w:val="bottom"/>
            <w:gridSpan w:val="11"/>
            <w:shd w:val="clear" w:color="auto" w:fill="CCEEFF"/>
          </w:tcPr>
          <w:p>
            <w:pPr>
              <w:spacing w:after="0" w:line="203" w:lineRule="exact"/>
              <w:rPr>
                <w:rFonts w:ascii="Arial" w:cs="Arial" w:eastAsia="Arial" w:hAnsi="Arial"/>
                <w:sz w:val="20"/>
                <w:szCs w:val="20"/>
                <w:color w:val="0000FF"/>
              </w:rPr>
            </w:pPr>
            <w:hyperlink w:anchor="page101">
              <w:r>
                <w:rPr>
                  <w:rFonts w:ascii="Arial" w:cs="Arial" w:eastAsia="Arial" w:hAnsi="Arial"/>
                  <w:sz w:val="20"/>
                  <w:szCs w:val="20"/>
                  <w:color w:val="0000FF"/>
                </w:rPr>
                <w:t>Description of securities registered under Section 12 of the</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5"/>
            <w:shd w:val="clear" w:color="auto" w:fill="CCEEFF"/>
          </w:tcPr>
          <w:p>
            <w:pPr>
              <w:spacing w:after="0" w:line="169" w:lineRule="exact"/>
              <w:rPr>
                <w:rFonts w:ascii="Arial" w:cs="Arial" w:eastAsia="Arial" w:hAnsi="Arial"/>
                <w:sz w:val="19"/>
                <w:szCs w:val="19"/>
                <w:color w:val="0000FF"/>
              </w:rPr>
            </w:pPr>
            <w:hyperlink w:anchor="page101">
              <w:r>
                <w:rPr>
                  <w:rFonts w:ascii="Arial" w:cs="Arial" w:eastAsia="Arial" w:hAnsi="Arial"/>
                  <w:sz w:val="19"/>
                  <w:szCs w:val="19"/>
                  <w:color w:val="0000FF"/>
                </w:rPr>
                <w:t>Exchange Act</w:t>
              </w:r>
            </w:hyperlink>
          </w:p>
        </w:tc>
        <w:tc>
          <w:tcPr>
            <w:tcW w:w="22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43"/>
        </w:trPr>
        <w:tc>
          <w:tcPr>
            <w:tcW w:w="1540" w:type="dxa"/>
            <w:vAlign w:val="bottom"/>
          </w:tcPr>
          <w:p>
            <w:pPr>
              <w:jc w:val="center"/>
              <w:spacing w:after="0"/>
              <w:rPr>
                <w:sz w:val="20"/>
                <w:szCs w:val="20"/>
                <w:color w:val="auto"/>
              </w:rPr>
            </w:pPr>
            <w:r>
              <w:rPr>
                <w:rFonts w:ascii="Arial" w:cs="Arial" w:eastAsia="Arial" w:hAnsi="Arial"/>
                <w:sz w:val="20"/>
                <w:szCs w:val="20"/>
                <w:color w:val="auto"/>
              </w:rPr>
              <w:t>4.2</w:t>
            </w:r>
          </w:p>
        </w:tc>
        <w:tc>
          <w:tcPr>
            <w:tcW w:w="380" w:type="dxa"/>
            <w:vAlign w:val="bottom"/>
          </w:tcPr>
          <w:p>
            <w:pPr>
              <w:spacing w:after="0"/>
              <w:rPr>
                <w:sz w:val="21"/>
                <w:szCs w:val="21"/>
                <w:color w:val="auto"/>
              </w:rPr>
            </w:pPr>
          </w:p>
        </w:tc>
        <w:tc>
          <w:tcPr>
            <w:tcW w:w="5880" w:type="dxa"/>
            <w:vAlign w:val="bottom"/>
            <w:gridSpan w:val="11"/>
          </w:tcPr>
          <w:p>
            <w:pPr>
              <w:spacing w:after="0"/>
              <w:rPr>
                <w:sz w:val="20"/>
                <w:szCs w:val="20"/>
                <w:color w:val="auto"/>
              </w:rPr>
            </w:pPr>
            <w:r>
              <w:rPr>
                <w:rFonts w:ascii="Arial" w:cs="Arial" w:eastAsia="Arial" w:hAnsi="Arial"/>
                <w:sz w:val="20"/>
                <w:szCs w:val="20"/>
                <w:color w:val="auto"/>
              </w:rPr>
              <w:t>Form of Common Stock Certificate of the Registrant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10.1</w:t>
            </w:r>
          </w:p>
        </w:tc>
        <w:tc>
          <w:tcPr>
            <w:tcW w:w="380" w:type="dxa"/>
            <w:vAlign w:val="bottom"/>
            <w:shd w:val="clear" w:color="auto" w:fill="CCEEFF"/>
          </w:tcPr>
          <w:p>
            <w:pPr>
              <w:spacing w:after="0"/>
              <w:rPr>
                <w:sz w:val="17"/>
                <w:szCs w:val="17"/>
                <w:color w:val="auto"/>
              </w:rPr>
            </w:pPr>
          </w:p>
        </w:tc>
        <w:tc>
          <w:tcPr>
            <w:tcW w:w="5880" w:type="dxa"/>
            <w:vAlign w:val="bottom"/>
            <w:gridSpan w:val="11"/>
            <w:shd w:val="clear" w:color="auto" w:fill="CCEEFF"/>
          </w:tcPr>
          <w:p>
            <w:pPr>
              <w:spacing w:after="0" w:line="203" w:lineRule="exact"/>
              <w:rPr>
                <w:rFonts w:ascii="Arial" w:cs="Arial" w:eastAsia="Arial" w:hAnsi="Arial"/>
                <w:sz w:val="20"/>
                <w:szCs w:val="20"/>
                <w:color w:val="0000FF"/>
              </w:rPr>
            </w:pPr>
            <w:hyperlink r:id="rId86">
              <w:r>
                <w:rPr>
                  <w:rFonts w:ascii="Arial" w:cs="Arial" w:eastAsia="Arial" w:hAnsi="Arial"/>
                  <w:sz w:val="20"/>
                  <w:szCs w:val="20"/>
                  <w:color w:val="0000FF"/>
                </w:rPr>
                <w:t>Registration Rights Agreement, dated as of October 19 by and</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8"/>
            <w:shd w:val="clear" w:color="auto" w:fill="CCEEFF"/>
          </w:tcPr>
          <w:p>
            <w:pPr>
              <w:spacing w:after="0" w:line="169" w:lineRule="exact"/>
              <w:rPr>
                <w:rFonts w:ascii="Arial" w:cs="Arial" w:eastAsia="Arial" w:hAnsi="Arial"/>
                <w:sz w:val="19"/>
                <w:szCs w:val="19"/>
                <w:color w:val="0000FF"/>
              </w:rPr>
            </w:pPr>
            <w:hyperlink r:id="rId86">
              <w:r>
                <w:rPr>
                  <w:rFonts w:ascii="Arial" w:cs="Arial" w:eastAsia="Arial" w:hAnsi="Arial"/>
                  <w:sz w:val="19"/>
                  <w:szCs w:val="19"/>
                  <w:color w:val="0000FF"/>
                </w:rPr>
                <w:t>among Array Technologies, Inc. and certain holders identified</w:t>
              </w:r>
            </w:hyperlink>
          </w:p>
        </w:tc>
        <w:tc>
          <w:tcPr>
            <w:tcW w:w="40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360" w:type="dxa"/>
            <w:vAlign w:val="bottom"/>
            <w:tcBorders>
              <w:top w:val="single" w:sz="8" w:color="0000FF"/>
            </w:tcBorders>
            <w:gridSpan w:val="7"/>
            <w:shd w:val="clear" w:color="auto" w:fill="CCEEFF"/>
          </w:tcPr>
          <w:p>
            <w:pPr>
              <w:spacing w:after="0" w:line="169" w:lineRule="exact"/>
              <w:rPr>
                <w:rFonts w:ascii="Arial" w:cs="Arial" w:eastAsia="Arial" w:hAnsi="Arial"/>
                <w:sz w:val="19"/>
                <w:szCs w:val="19"/>
                <w:color w:val="0000FF"/>
              </w:rPr>
            </w:pPr>
            <w:hyperlink r:id="rId86">
              <w:r>
                <w:rPr>
                  <w:rFonts w:ascii="Arial" w:cs="Arial" w:eastAsia="Arial" w:hAnsi="Arial"/>
                  <w:sz w:val="19"/>
                  <w:szCs w:val="19"/>
                  <w:color w:val="0000FF"/>
                </w:rPr>
                <w:t>therein</w:t>
              </w:r>
            </w:hyperlink>
          </w:p>
        </w:tc>
        <w:tc>
          <w:tcPr>
            <w:tcW w:w="520" w:type="dxa"/>
            <w:vAlign w:val="bottom"/>
            <w:tcBorders>
              <w:top w:val="single" w:sz="8" w:color="CCEEFF"/>
            </w:tcBorders>
            <w:gridSpan w:val="4"/>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gridSpan w:val="21"/>
          </w:tcPr>
          <w:p>
            <w:pPr>
              <w:ind w:left="42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Pr>
          <w:p>
            <w:pPr>
              <w:spacing w:after="0"/>
              <w:rPr>
                <w:sz w:val="22"/>
                <w:szCs w:val="22"/>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Pr>
          <w:p>
            <w:pPr>
              <w:spacing w:after="0"/>
              <w:rPr>
                <w:sz w:val="22"/>
                <w:szCs w:val="22"/>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Pr>
          <w:p>
            <w:pPr>
              <w:jc w:val="center"/>
              <w:spacing w:after="0" w:line="196" w:lineRule="exact"/>
              <w:rPr>
                <w:sz w:val="20"/>
                <w:szCs w:val="20"/>
                <w:color w:val="auto"/>
              </w:rPr>
            </w:pPr>
            <w:r>
              <w:rPr>
                <w:rFonts w:ascii="Arial" w:cs="Arial" w:eastAsia="Arial" w:hAnsi="Arial"/>
                <w:sz w:val="20"/>
                <w:szCs w:val="20"/>
                <w:color w:val="auto"/>
              </w:rPr>
              <w:t>10.2</w:t>
            </w:r>
          </w:p>
        </w:tc>
        <w:tc>
          <w:tcPr>
            <w:tcW w:w="380" w:type="dxa"/>
            <w:vAlign w:val="bottom"/>
          </w:tcPr>
          <w:p>
            <w:pPr>
              <w:spacing w:after="0"/>
              <w:rPr>
                <w:sz w:val="17"/>
                <w:szCs w:val="17"/>
                <w:color w:val="auto"/>
              </w:rPr>
            </w:pPr>
          </w:p>
        </w:tc>
        <w:tc>
          <w:tcPr>
            <w:tcW w:w="5880" w:type="dxa"/>
            <w:vAlign w:val="bottom"/>
            <w:gridSpan w:val="23"/>
          </w:tcPr>
          <w:p>
            <w:pPr>
              <w:spacing w:after="0" w:line="196" w:lineRule="exact"/>
              <w:rPr>
                <w:rFonts w:ascii="Arial" w:cs="Arial" w:eastAsia="Arial" w:hAnsi="Arial"/>
                <w:sz w:val="20"/>
                <w:szCs w:val="20"/>
                <w:color w:val="0000FF"/>
              </w:rPr>
            </w:pPr>
            <w:hyperlink r:id="rId88">
              <w:r>
                <w:rPr>
                  <w:rFonts w:ascii="Arial" w:cs="Arial" w:eastAsia="Arial" w:hAnsi="Arial"/>
                  <w:sz w:val="20"/>
                  <w:szCs w:val="20"/>
                  <w:color w:val="0000FF"/>
                </w:rPr>
                <w:t>Credit Agreement, dated as of October 14, 2020, by and among</w:t>
              </w:r>
            </w:hyperlink>
          </w:p>
        </w:tc>
        <w:tc>
          <w:tcPr>
            <w:tcW w:w="940" w:type="dxa"/>
            <w:vAlign w:val="bottom"/>
            <w:gridSpan w:val="2"/>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20"/>
                <w:szCs w:val="20"/>
                <w:color w:val="auto"/>
                <w:w w:val="97"/>
              </w:rPr>
              <w:t>10.2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Array Technologies, Inc., as borrower, ATI Investment Sub, Inc.,</w:t>
              </w:r>
            </w:hyperlink>
          </w:p>
        </w:tc>
        <w:tc>
          <w:tcPr>
            <w:tcW w:w="1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gridSpan w:val="23"/>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as guarantor, Goldman Sachs Bank USA, as administrative agent</w:t>
              </w:r>
            </w:hyperlink>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5"/>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21"/>
          </w:tcPr>
          <w:p>
            <w:pPr>
              <w:spacing w:after="0" w:line="165" w:lineRule="exact"/>
              <w:rPr>
                <w:rFonts w:ascii="Arial" w:cs="Arial" w:eastAsia="Arial" w:hAnsi="Arial"/>
                <w:sz w:val="19"/>
                <w:szCs w:val="19"/>
                <w:u w:val="single" w:color="auto"/>
                <w:color w:val="0000FF"/>
              </w:rPr>
            </w:pPr>
            <w:hyperlink r:id="rId88">
              <w:r>
                <w:rPr>
                  <w:rFonts w:ascii="Arial" w:cs="Arial" w:eastAsia="Arial" w:hAnsi="Arial"/>
                  <w:sz w:val="19"/>
                  <w:szCs w:val="19"/>
                  <w:u w:val="single" w:color="auto"/>
                  <w:color w:val="0000FF"/>
                </w:rPr>
                <w:t>and collateral agent, and the Lenders (as defined therein) from</w:t>
              </w:r>
            </w:hyperlink>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7"/>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80" w:type="dxa"/>
            <w:vAlign w:val="bottom"/>
            <w:gridSpan w:val="23"/>
          </w:tcPr>
          <w:p>
            <w:pPr>
              <w:spacing w:after="0"/>
              <w:rPr>
                <w:rFonts w:ascii="Arial" w:cs="Arial" w:eastAsia="Arial" w:hAnsi="Arial"/>
                <w:sz w:val="20"/>
                <w:szCs w:val="20"/>
                <w:u w:val="single" w:color="auto"/>
                <w:color w:val="0000FF"/>
              </w:rPr>
            </w:pPr>
            <w:hyperlink r:id="rId88">
              <w:r>
                <w:rPr>
                  <w:rFonts w:ascii="Arial" w:cs="Arial" w:eastAsia="Arial" w:hAnsi="Arial"/>
                  <w:sz w:val="20"/>
                  <w:szCs w:val="20"/>
                  <w:u w:val="single" w:color="auto"/>
                  <w:color w:val="0000FF"/>
                </w:rPr>
                <w:t>time to time party thereto</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10.3</w:t>
            </w:r>
          </w:p>
        </w:tc>
        <w:tc>
          <w:tcPr>
            <w:tcW w:w="380" w:type="dxa"/>
            <w:vAlign w:val="bottom"/>
            <w:shd w:val="clear" w:color="auto" w:fill="CCEEFF"/>
          </w:tcPr>
          <w:p>
            <w:pPr>
              <w:spacing w:after="0"/>
              <w:rPr>
                <w:sz w:val="17"/>
                <w:szCs w:val="17"/>
                <w:color w:val="auto"/>
              </w:rPr>
            </w:pPr>
          </w:p>
        </w:tc>
        <w:tc>
          <w:tcPr>
            <w:tcW w:w="5880" w:type="dxa"/>
            <w:vAlign w:val="bottom"/>
            <w:gridSpan w:val="23"/>
            <w:shd w:val="clear" w:color="auto" w:fill="CCEEFF"/>
          </w:tcPr>
          <w:p>
            <w:pPr>
              <w:spacing w:after="0" w:line="203" w:lineRule="exact"/>
              <w:rPr>
                <w:rFonts w:ascii="Arial" w:cs="Arial" w:eastAsia="Arial" w:hAnsi="Arial"/>
                <w:sz w:val="20"/>
                <w:szCs w:val="20"/>
                <w:color w:val="0000FF"/>
              </w:rPr>
            </w:pPr>
            <w:hyperlink r:id="rId89">
              <w:r>
                <w:rPr>
                  <w:rFonts w:ascii="Arial" w:cs="Arial" w:eastAsia="Arial" w:hAnsi="Arial"/>
                  <w:sz w:val="20"/>
                  <w:szCs w:val="20"/>
                  <w:color w:val="0000FF"/>
                </w:rPr>
                <w:t>Amended and Restated ABL Credit and Guarantee Agreement,</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580" w:type="dxa"/>
            <w:vAlign w:val="bottom"/>
            <w:tcBorders>
              <w:top w:val="single" w:sz="8" w:color="0000FF"/>
              <w:right w:val="single" w:sz="8" w:color="CCEEFF"/>
            </w:tcBorders>
            <w:gridSpan w:val="19"/>
            <w:shd w:val="clear" w:color="auto" w:fill="CCEEFF"/>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dated as of March 23, 2020, by and among ATI Investment</w:t>
              </w:r>
            </w:hyperlink>
          </w:p>
        </w:tc>
        <w:tc>
          <w:tcPr>
            <w:tcW w:w="300" w:type="dxa"/>
            <w:vAlign w:val="bottom"/>
            <w:tcBorders>
              <w:top w:val="single" w:sz="8" w:color="CCEEFF"/>
            </w:tcBorders>
            <w:gridSpan w:val="4"/>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69"/>
        </w:trPr>
        <w:tc>
          <w:tcPr>
            <w:tcW w:w="15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510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Holdings, Inc., Wells Fargo Bank, National Association, as</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5"/>
        </w:trPr>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80" w:type="dxa"/>
            <w:vAlign w:val="bottom"/>
            <w:gridSpan w:val="23"/>
            <w:shd w:val="clear" w:color="auto" w:fill="CCEEFF"/>
          </w:tcPr>
          <w:p>
            <w:pPr>
              <w:spacing w:after="0" w:line="165" w:lineRule="exact"/>
              <w:rPr>
                <w:rFonts w:ascii="Arial" w:cs="Arial" w:eastAsia="Arial" w:hAnsi="Arial"/>
                <w:sz w:val="19"/>
                <w:szCs w:val="19"/>
                <w:u w:val="single" w:color="auto"/>
                <w:color w:val="0000FF"/>
              </w:rPr>
            </w:pPr>
            <w:hyperlink r:id="rId89">
              <w:r>
                <w:rPr>
                  <w:rFonts w:ascii="Arial" w:cs="Arial" w:eastAsia="Arial" w:hAnsi="Arial"/>
                  <w:sz w:val="19"/>
                  <w:szCs w:val="19"/>
                  <w:u w:val="single" w:color="auto"/>
                  <w:color w:val="0000FF"/>
                </w:rPr>
                <w:t>administrative agent, and the lenders from time to time party</w:t>
              </w:r>
            </w:hyperlink>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7"/>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80" w:type="dxa"/>
            <w:vAlign w:val="bottom"/>
            <w:gridSpan w:val="23"/>
            <w:shd w:val="clear" w:color="auto" w:fill="CCEEFF"/>
          </w:tcPr>
          <w:p>
            <w:pPr>
              <w:spacing w:after="0"/>
              <w:rPr>
                <w:rFonts w:ascii="Arial" w:cs="Arial" w:eastAsia="Arial" w:hAnsi="Arial"/>
                <w:sz w:val="20"/>
                <w:szCs w:val="20"/>
                <w:u w:val="single" w:color="auto"/>
                <w:color w:val="0000FF"/>
              </w:rPr>
            </w:pPr>
            <w:hyperlink r:id="rId89">
              <w:r>
                <w:rPr>
                  <w:rFonts w:ascii="Arial" w:cs="Arial" w:eastAsia="Arial" w:hAnsi="Arial"/>
                  <w:sz w:val="20"/>
                  <w:szCs w:val="20"/>
                  <w:u w:val="single" w:color="auto"/>
                  <w:color w:val="0000FF"/>
                </w:rPr>
                <w:t>thereto</w:t>
              </w:r>
            </w:hyperlink>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9"/>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10.4</w:t>
            </w:r>
          </w:p>
        </w:tc>
        <w:tc>
          <w:tcPr>
            <w:tcW w:w="380" w:type="dxa"/>
            <w:vAlign w:val="bottom"/>
          </w:tcPr>
          <w:p>
            <w:pPr>
              <w:spacing w:after="0"/>
              <w:rPr>
                <w:sz w:val="17"/>
                <w:szCs w:val="17"/>
                <w:color w:val="auto"/>
              </w:rPr>
            </w:pPr>
          </w:p>
        </w:tc>
        <w:tc>
          <w:tcPr>
            <w:tcW w:w="5880" w:type="dxa"/>
            <w:vAlign w:val="bottom"/>
            <w:gridSpan w:val="23"/>
          </w:tcPr>
          <w:p>
            <w:pPr>
              <w:spacing w:after="0" w:line="203" w:lineRule="exact"/>
              <w:rPr>
                <w:rFonts w:ascii="Arial" w:cs="Arial" w:eastAsia="Arial" w:hAnsi="Arial"/>
                <w:sz w:val="20"/>
                <w:szCs w:val="20"/>
                <w:color w:val="0000FF"/>
              </w:rPr>
            </w:pPr>
            <w:hyperlink r:id="rId90">
              <w:r>
                <w:rPr>
                  <w:rFonts w:ascii="Arial" w:cs="Arial" w:eastAsia="Arial" w:hAnsi="Arial"/>
                  <w:sz w:val="20"/>
                  <w:szCs w:val="20"/>
                  <w:color w:val="0000FF"/>
                </w:rPr>
                <w:t>Tax Receivable Agreement, dated as of July 8, 2016, between</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10.3</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90">
              <w:r>
                <w:rPr>
                  <w:rFonts w:ascii="Arial" w:cs="Arial" w:eastAsia="Arial" w:hAnsi="Arial"/>
                  <w:sz w:val="19"/>
                  <w:szCs w:val="19"/>
                  <w:color w:val="0000FF"/>
                </w:rPr>
                <w:t>Array Technologies, Inc. and Ron P. Corio</w:t>
              </w:r>
            </w:hyperlink>
          </w:p>
        </w:tc>
        <w:tc>
          <w:tcPr>
            <w:tcW w:w="60" w:type="dxa"/>
            <w:vAlign w:val="bottom"/>
          </w:tcPr>
          <w:p>
            <w:pPr>
              <w:spacing w:after="0"/>
              <w:rPr>
                <w:sz w:val="14"/>
                <w:szCs w:val="14"/>
                <w:color w:val="auto"/>
              </w:rPr>
            </w:pPr>
          </w:p>
        </w:tc>
        <w:tc>
          <w:tcPr>
            <w:tcW w:w="36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7"/>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10.5</w:t>
            </w:r>
          </w:p>
        </w:tc>
        <w:tc>
          <w:tcPr>
            <w:tcW w:w="380" w:type="dxa"/>
            <w:vAlign w:val="bottom"/>
            <w:shd w:val="clear" w:color="auto" w:fill="CCEEFF"/>
          </w:tcPr>
          <w:p>
            <w:pPr>
              <w:spacing w:after="0"/>
              <w:rPr>
                <w:sz w:val="21"/>
                <w:szCs w:val="21"/>
                <w:color w:val="auto"/>
              </w:rPr>
            </w:pPr>
          </w:p>
        </w:tc>
        <w:tc>
          <w:tcPr>
            <w:tcW w:w="5880" w:type="dxa"/>
            <w:vAlign w:val="bottom"/>
            <w:gridSpan w:val="23"/>
            <w:shd w:val="clear" w:color="auto" w:fill="CCEEFF"/>
          </w:tcPr>
          <w:p>
            <w:pPr>
              <w:spacing w:after="0"/>
              <w:rPr>
                <w:rFonts w:ascii="Arial" w:cs="Arial" w:eastAsia="Arial" w:hAnsi="Arial"/>
                <w:sz w:val="20"/>
                <w:szCs w:val="20"/>
                <w:u w:val="single" w:color="auto"/>
                <w:color w:val="0000FF"/>
              </w:rPr>
            </w:pPr>
            <w:hyperlink r:id="rId91">
              <w:r>
                <w:rPr>
                  <w:rFonts w:ascii="Arial" w:cs="Arial" w:eastAsia="Arial" w:hAnsi="Arial"/>
                  <w:sz w:val="20"/>
                  <w:szCs w:val="20"/>
                  <w:u w:val="single" w:color="auto"/>
                  <w:color w:val="0000FF"/>
                </w:rPr>
                <w:t>Form of Array Technologies, Inc. 2020 Long-Term Incentive Plan</w:t>
              </w:r>
            </w:hyperlink>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10.4</w:t>
            </w:r>
          </w:p>
        </w:tc>
      </w:tr>
      <w:tr>
        <w:trPr>
          <w:trHeight w:val="239"/>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10.6</w:t>
            </w:r>
          </w:p>
        </w:tc>
        <w:tc>
          <w:tcPr>
            <w:tcW w:w="380" w:type="dxa"/>
            <w:vAlign w:val="bottom"/>
          </w:tcPr>
          <w:p>
            <w:pPr>
              <w:spacing w:after="0"/>
              <w:rPr>
                <w:sz w:val="17"/>
                <w:szCs w:val="17"/>
                <w:color w:val="auto"/>
              </w:rPr>
            </w:pPr>
          </w:p>
        </w:tc>
        <w:tc>
          <w:tcPr>
            <w:tcW w:w="5880" w:type="dxa"/>
            <w:vAlign w:val="bottom"/>
            <w:gridSpan w:val="23"/>
          </w:tcPr>
          <w:p>
            <w:pPr>
              <w:spacing w:after="0" w:line="203" w:lineRule="exact"/>
              <w:rPr>
                <w:rFonts w:ascii="Arial" w:cs="Arial" w:eastAsia="Arial" w:hAnsi="Arial"/>
                <w:sz w:val="20"/>
                <w:szCs w:val="20"/>
                <w:color w:val="0000FF"/>
              </w:rPr>
            </w:pPr>
            <w:hyperlink r:id="rId92">
              <w:r>
                <w:rPr>
                  <w:rFonts w:ascii="Arial" w:cs="Arial" w:eastAsia="Arial" w:hAnsi="Arial"/>
                  <w:sz w:val="20"/>
                  <w:szCs w:val="20"/>
                  <w:color w:val="0000FF"/>
                </w:rPr>
                <w:t>Earnout Agreement, dated June 23, 2016, by and among ATI</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10.5</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60" w:type="dxa"/>
            <w:vAlign w:val="bottom"/>
            <w:tcBorders>
              <w:top w:val="single" w:sz="8" w:color="0000FF"/>
            </w:tcBorders>
            <w:gridSpan w:val="13"/>
          </w:tcPr>
          <w:p>
            <w:pPr>
              <w:spacing w:after="0" w:line="169" w:lineRule="exact"/>
              <w:rPr>
                <w:rFonts w:ascii="Arial" w:cs="Arial" w:eastAsia="Arial" w:hAnsi="Arial"/>
                <w:sz w:val="19"/>
                <w:szCs w:val="19"/>
                <w:color w:val="0000FF"/>
              </w:rPr>
            </w:pPr>
            <w:hyperlink r:id="rId92">
              <w:r>
                <w:rPr>
                  <w:rFonts w:ascii="Arial" w:cs="Arial" w:eastAsia="Arial" w:hAnsi="Arial"/>
                  <w:sz w:val="19"/>
                  <w:szCs w:val="19"/>
                  <w:color w:val="0000FF"/>
                </w:rPr>
                <w:t>Investment Parent, LLC, ATI Investment Sub, Inc., Array</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6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40" w:type="dxa"/>
            <w:vAlign w:val="bottom"/>
            <w:tcBorders>
              <w:top w:val="single" w:sz="8" w:color="0000FF"/>
            </w:tcBorders>
            <w:gridSpan w:val="10"/>
          </w:tcPr>
          <w:p>
            <w:pPr>
              <w:spacing w:after="0" w:line="169" w:lineRule="exact"/>
              <w:rPr>
                <w:rFonts w:ascii="Arial" w:cs="Arial" w:eastAsia="Arial" w:hAnsi="Arial"/>
                <w:sz w:val="19"/>
                <w:szCs w:val="19"/>
                <w:color w:val="0000FF"/>
              </w:rPr>
            </w:pPr>
            <w:hyperlink r:id="rId92">
              <w:r>
                <w:rPr>
                  <w:rFonts w:ascii="Arial" w:cs="Arial" w:eastAsia="Arial" w:hAnsi="Arial"/>
                  <w:sz w:val="19"/>
                  <w:szCs w:val="19"/>
                  <w:color w:val="0000FF"/>
                </w:rPr>
                <w:t>Technologies, Inc., and the seller parties thereto</w:t>
              </w:r>
            </w:hyperlink>
          </w:p>
        </w:tc>
        <w:tc>
          <w:tcPr>
            <w:tcW w:w="4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6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10.7</w:t>
            </w:r>
          </w:p>
        </w:tc>
        <w:tc>
          <w:tcPr>
            <w:tcW w:w="380" w:type="dxa"/>
            <w:vAlign w:val="bottom"/>
            <w:shd w:val="clear" w:color="auto" w:fill="CCEEFF"/>
          </w:tcPr>
          <w:p>
            <w:pPr>
              <w:spacing w:after="0"/>
              <w:rPr>
                <w:sz w:val="17"/>
                <w:szCs w:val="17"/>
                <w:color w:val="auto"/>
              </w:rPr>
            </w:pPr>
          </w:p>
        </w:tc>
        <w:tc>
          <w:tcPr>
            <w:tcW w:w="5880" w:type="dxa"/>
            <w:vAlign w:val="bottom"/>
            <w:gridSpan w:val="23"/>
            <w:shd w:val="clear" w:color="auto" w:fill="CCEEFF"/>
          </w:tcPr>
          <w:p>
            <w:pPr>
              <w:spacing w:after="0" w:line="203" w:lineRule="exact"/>
              <w:rPr>
                <w:rFonts w:ascii="Arial" w:cs="Arial" w:eastAsia="Arial" w:hAnsi="Arial"/>
                <w:sz w:val="20"/>
                <w:szCs w:val="20"/>
                <w:color w:val="0000FF"/>
              </w:rPr>
            </w:pPr>
            <w:hyperlink r:id="rId93">
              <w:r>
                <w:rPr>
                  <w:rFonts w:ascii="Arial" w:cs="Arial" w:eastAsia="Arial" w:hAnsi="Arial"/>
                  <w:sz w:val="20"/>
                  <w:szCs w:val="20"/>
                  <w:color w:val="0000FF"/>
                </w:rPr>
                <w:t>Employment Offer Letter, dated August 7, 2018, between Array</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10.6</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0000FF"/>
            </w:tcBorders>
            <w:gridSpan w:val="18"/>
            <w:shd w:val="clear" w:color="auto" w:fill="CCEEFF"/>
          </w:tcPr>
          <w:p>
            <w:pPr>
              <w:spacing w:after="0" w:line="169" w:lineRule="exact"/>
              <w:rPr>
                <w:rFonts w:ascii="Arial" w:cs="Arial" w:eastAsia="Arial" w:hAnsi="Arial"/>
                <w:sz w:val="19"/>
                <w:szCs w:val="19"/>
                <w:color w:val="0000FF"/>
              </w:rPr>
            </w:pPr>
            <w:hyperlink r:id="rId93">
              <w:r>
                <w:rPr>
                  <w:rFonts w:ascii="Arial" w:cs="Arial" w:eastAsia="Arial" w:hAnsi="Arial"/>
                  <w:sz w:val="19"/>
                  <w:szCs w:val="19"/>
                  <w:color w:val="0000FF"/>
                </w:rPr>
                <w:t>Technologies, Inc. and Stuart Bolland</w:t>
              </w:r>
            </w:hyperlink>
          </w:p>
        </w:tc>
        <w:tc>
          <w:tcPr>
            <w:tcW w:w="360" w:type="dxa"/>
            <w:vAlign w:val="bottom"/>
            <w:tcBorders>
              <w:top w:val="single" w:sz="8" w:color="CCEEFF"/>
            </w:tcBorders>
            <w:gridSpan w:val="5"/>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5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10.8</w:t>
            </w:r>
          </w:p>
        </w:tc>
        <w:tc>
          <w:tcPr>
            <w:tcW w:w="380" w:type="dxa"/>
            <w:vAlign w:val="bottom"/>
          </w:tcPr>
          <w:p>
            <w:pPr>
              <w:spacing w:after="0"/>
              <w:rPr>
                <w:sz w:val="17"/>
                <w:szCs w:val="17"/>
                <w:color w:val="auto"/>
              </w:rPr>
            </w:pPr>
          </w:p>
        </w:tc>
        <w:tc>
          <w:tcPr>
            <w:tcW w:w="5880" w:type="dxa"/>
            <w:vAlign w:val="bottom"/>
            <w:gridSpan w:val="23"/>
          </w:tcPr>
          <w:p>
            <w:pPr>
              <w:spacing w:after="0" w:line="203" w:lineRule="exact"/>
              <w:rPr>
                <w:rFonts w:ascii="Arial" w:cs="Arial" w:eastAsia="Arial" w:hAnsi="Arial"/>
                <w:sz w:val="20"/>
                <w:szCs w:val="20"/>
                <w:color w:val="0000FF"/>
              </w:rPr>
            </w:pPr>
            <w:hyperlink r:id="rId94">
              <w:r>
                <w:rPr>
                  <w:rFonts w:ascii="Arial" w:cs="Arial" w:eastAsia="Arial" w:hAnsi="Arial"/>
                  <w:sz w:val="20"/>
                  <w:szCs w:val="20"/>
                  <w:color w:val="0000FF"/>
                </w:rPr>
                <w:t>Amendment to Employment Offer Letter, dated May 25, 2019,</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10.7</w:t>
            </w: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0" w:type="dxa"/>
            <w:vAlign w:val="bottom"/>
            <w:tcBorders>
              <w:top w:val="single" w:sz="8" w:color="0000FF"/>
            </w:tcBorders>
            <w:gridSpan w:val="14"/>
          </w:tcPr>
          <w:p>
            <w:pPr>
              <w:spacing w:after="0"/>
              <w:rPr>
                <w:rFonts w:ascii="Arial" w:cs="Arial" w:eastAsia="Arial" w:hAnsi="Arial"/>
                <w:sz w:val="20"/>
                <w:szCs w:val="20"/>
                <w:u w:val="single" w:color="auto"/>
                <w:color w:val="0000FF"/>
              </w:rPr>
            </w:pPr>
            <w:hyperlink r:id="rId94">
              <w:r>
                <w:rPr>
                  <w:rFonts w:ascii="Arial" w:cs="Arial" w:eastAsia="Arial" w:hAnsi="Arial"/>
                  <w:sz w:val="20"/>
                  <w:szCs w:val="20"/>
                  <w:u w:val="single" w:color="auto"/>
                  <w:color w:val="0000FF"/>
                </w:rPr>
                <w:t>between Array Technologies, Inc. and Stuart Bolland</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10.9</w:t>
            </w:r>
          </w:p>
        </w:tc>
        <w:tc>
          <w:tcPr>
            <w:tcW w:w="380" w:type="dxa"/>
            <w:vAlign w:val="bottom"/>
            <w:shd w:val="clear" w:color="auto" w:fill="CCEEFF"/>
          </w:tcPr>
          <w:p>
            <w:pPr>
              <w:spacing w:after="0"/>
              <w:rPr>
                <w:sz w:val="17"/>
                <w:szCs w:val="17"/>
                <w:color w:val="auto"/>
              </w:rPr>
            </w:pPr>
          </w:p>
        </w:tc>
        <w:tc>
          <w:tcPr>
            <w:tcW w:w="5880" w:type="dxa"/>
            <w:vAlign w:val="bottom"/>
            <w:gridSpan w:val="23"/>
            <w:shd w:val="clear" w:color="auto" w:fill="CCEEFF"/>
          </w:tcPr>
          <w:p>
            <w:pPr>
              <w:spacing w:after="0" w:line="203" w:lineRule="exact"/>
              <w:rPr>
                <w:rFonts w:ascii="Arial" w:cs="Arial" w:eastAsia="Arial" w:hAnsi="Arial"/>
                <w:sz w:val="20"/>
                <w:szCs w:val="20"/>
                <w:color w:val="0000FF"/>
              </w:rPr>
            </w:pPr>
            <w:hyperlink r:id="rId95">
              <w:r>
                <w:rPr>
                  <w:rFonts w:ascii="Arial" w:cs="Arial" w:eastAsia="Arial" w:hAnsi="Arial"/>
                  <w:sz w:val="20"/>
                  <w:szCs w:val="20"/>
                  <w:color w:val="0000FF"/>
                </w:rPr>
                <w:t>Employment Offer Letter, dated April 25, 2018, between Array</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10.8</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40" w:type="dxa"/>
            <w:vAlign w:val="bottom"/>
            <w:tcBorders>
              <w:top w:val="single" w:sz="8" w:color="0000FF"/>
            </w:tcBorders>
            <w:gridSpan w:val="16"/>
            <w:shd w:val="clear" w:color="auto" w:fill="CCEEFF"/>
          </w:tcPr>
          <w:p>
            <w:pPr>
              <w:spacing w:after="0" w:line="169" w:lineRule="exact"/>
              <w:rPr>
                <w:rFonts w:ascii="Arial" w:cs="Arial" w:eastAsia="Arial" w:hAnsi="Arial"/>
                <w:sz w:val="19"/>
                <w:szCs w:val="19"/>
                <w:color w:val="0000FF"/>
              </w:rPr>
            </w:pPr>
            <w:hyperlink r:id="rId95">
              <w:r>
                <w:rPr>
                  <w:rFonts w:ascii="Arial" w:cs="Arial" w:eastAsia="Arial" w:hAnsi="Arial"/>
                  <w:sz w:val="19"/>
                  <w:szCs w:val="19"/>
                  <w:color w:val="0000FF"/>
                </w:rPr>
                <w:t>Technologies, Inc. and Jim Fusaro</w:t>
              </w:r>
            </w:hyperlink>
          </w:p>
        </w:tc>
        <w:tc>
          <w:tcPr>
            <w:tcW w:w="440" w:type="dxa"/>
            <w:vAlign w:val="bottom"/>
            <w:tcBorders>
              <w:top w:val="single" w:sz="8" w:color="CCEEFF"/>
            </w:tcBorders>
            <w:gridSpan w:val="7"/>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5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10.10</w:t>
            </w:r>
          </w:p>
        </w:tc>
        <w:tc>
          <w:tcPr>
            <w:tcW w:w="380" w:type="dxa"/>
            <w:vAlign w:val="bottom"/>
          </w:tcPr>
          <w:p>
            <w:pPr>
              <w:spacing w:after="0"/>
              <w:rPr>
                <w:sz w:val="17"/>
                <w:szCs w:val="17"/>
                <w:color w:val="auto"/>
              </w:rPr>
            </w:pPr>
          </w:p>
        </w:tc>
        <w:tc>
          <w:tcPr>
            <w:tcW w:w="5880" w:type="dxa"/>
            <w:vAlign w:val="bottom"/>
            <w:gridSpan w:val="23"/>
          </w:tcPr>
          <w:p>
            <w:pPr>
              <w:spacing w:after="0" w:line="203" w:lineRule="exact"/>
              <w:rPr>
                <w:rFonts w:ascii="Arial" w:cs="Arial" w:eastAsia="Arial" w:hAnsi="Arial"/>
                <w:sz w:val="20"/>
                <w:szCs w:val="20"/>
                <w:color w:val="0000FF"/>
              </w:rPr>
            </w:pPr>
            <w:hyperlink r:id="rId96">
              <w:r>
                <w:rPr>
                  <w:rFonts w:ascii="Arial" w:cs="Arial" w:eastAsia="Arial" w:hAnsi="Arial"/>
                  <w:sz w:val="20"/>
                  <w:szCs w:val="20"/>
                  <w:color w:val="0000FF"/>
                </w:rPr>
                <w:t>Employment Offer Letter, dated December 19, 2016, between</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10.9</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20" w:type="dxa"/>
            <w:vAlign w:val="bottom"/>
            <w:tcBorders>
              <w:top w:val="single" w:sz="8" w:color="0000FF"/>
            </w:tcBorders>
            <w:gridSpan w:val="15"/>
          </w:tcPr>
          <w:p>
            <w:pPr>
              <w:spacing w:after="0" w:line="169" w:lineRule="exact"/>
              <w:rPr>
                <w:rFonts w:ascii="Arial" w:cs="Arial" w:eastAsia="Arial" w:hAnsi="Arial"/>
                <w:sz w:val="19"/>
                <w:szCs w:val="19"/>
                <w:color w:val="0000FF"/>
              </w:rPr>
            </w:pPr>
            <w:hyperlink r:id="rId96">
              <w:r>
                <w:rPr>
                  <w:rFonts w:ascii="Arial" w:cs="Arial" w:eastAsia="Arial" w:hAnsi="Arial"/>
                  <w:sz w:val="19"/>
                  <w:szCs w:val="19"/>
                  <w:color w:val="0000FF"/>
                </w:rPr>
                <w:t>Array Technologies, Inc. and Jeff Krantz</w:t>
              </w:r>
            </w:hyperlink>
          </w:p>
        </w:tc>
        <w:tc>
          <w:tcPr>
            <w:tcW w:w="46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10.11</w:t>
            </w:r>
          </w:p>
        </w:tc>
        <w:tc>
          <w:tcPr>
            <w:tcW w:w="380" w:type="dxa"/>
            <w:vAlign w:val="bottom"/>
            <w:shd w:val="clear" w:color="auto" w:fill="CCEEFF"/>
          </w:tcPr>
          <w:p>
            <w:pPr>
              <w:spacing w:after="0"/>
              <w:rPr>
                <w:sz w:val="17"/>
                <w:szCs w:val="17"/>
                <w:color w:val="auto"/>
              </w:rPr>
            </w:pPr>
          </w:p>
        </w:tc>
        <w:tc>
          <w:tcPr>
            <w:tcW w:w="5880" w:type="dxa"/>
            <w:vAlign w:val="bottom"/>
            <w:gridSpan w:val="23"/>
            <w:shd w:val="clear" w:color="auto" w:fill="CCEEFF"/>
          </w:tcPr>
          <w:p>
            <w:pPr>
              <w:spacing w:after="0" w:line="203" w:lineRule="exact"/>
              <w:rPr>
                <w:rFonts w:ascii="Arial" w:cs="Arial" w:eastAsia="Arial" w:hAnsi="Arial"/>
                <w:sz w:val="20"/>
                <w:szCs w:val="20"/>
                <w:color w:val="0000FF"/>
              </w:rPr>
            </w:pPr>
            <w:hyperlink r:id="rId97">
              <w:r>
                <w:rPr>
                  <w:rFonts w:ascii="Arial" w:cs="Arial" w:eastAsia="Arial" w:hAnsi="Arial"/>
                  <w:sz w:val="20"/>
                  <w:szCs w:val="20"/>
                  <w:color w:val="0000FF"/>
                </w:rPr>
                <w:t>Amendment to Employment Offer Letter, dated May 23, 2019,</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10.10</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0000FF"/>
            </w:tcBorders>
            <w:gridSpan w:val="14"/>
            <w:shd w:val="clear" w:color="auto" w:fill="CCEEFF"/>
          </w:tcPr>
          <w:p>
            <w:pPr>
              <w:spacing w:after="0" w:line="169" w:lineRule="exact"/>
              <w:rPr>
                <w:rFonts w:ascii="Arial" w:cs="Arial" w:eastAsia="Arial" w:hAnsi="Arial"/>
                <w:sz w:val="19"/>
                <w:szCs w:val="19"/>
                <w:color w:val="0000FF"/>
              </w:rPr>
            </w:pPr>
            <w:hyperlink r:id="rId97">
              <w:r>
                <w:rPr>
                  <w:rFonts w:ascii="Arial" w:cs="Arial" w:eastAsia="Arial" w:hAnsi="Arial"/>
                  <w:sz w:val="19"/>
                  <w:szCs w:val="19"/>
                  <w:color w:val="0000FF"/>
                </w:rPr>
                <w:t>between Array Technologies, Inc. and Jeff Krantz</w:t>
              </w:r>
            </w:hyperlink>
          </w:p>
        </w:tc>
        <w:tc>
          <w:tcPr>
            <w:tcW w:w="480" w:type="dxa"/>
            <w:vAlign w:val="bottom"/>
            <w:tcBorders>
              <w:top w:val="single" w:sz="8" w:color="CCEEFF"/>
            </w:tcBorders>
            <w:gridSpan w:val="9"/>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5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56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47"/>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10.12</w:t>
            </w:r>
          </w:p>
        </w:tc>
        <w:tc>
          <w:tcPr>
            <w:tcW w:w="380" w:type="dxa"/>
            <w:vAlign w:val="bottom"/>
          </w:tcPr>
          <w:p>
            <w:pPr>
              <w:spacing w:after="0"/>
              <w:rPr>
                <w:sz w:val="21"/>
                <w:szCs w:val="21"/>
                <w:color w:val="auto"/>
              </w:rPr>
            </w:pPr>
          </w:p>
        </w:tc>
        <w:tc>
          <w:tcPr>
            <w:tcW w:w="5880" w:type="dxa"/>
            <w:vAlign w:val="bottom"/>
            <w:gridSpan w:val="23"/>
          </w:tcPr>
          <w:p>
            <w:pPr>
              <w:spacing w:after="0"/>
              <w:rPr>
                <w:rFonts w:ascii="Arial" w:cs="Arial" w:eastAsia="Arial" w:hAnsi="Arial"/>
                <w:sz w:val="20"/>
                <w:szCs w:val="20"/>
                <w:u w:val="single" w:color="auto"/>
                <w:color w:val="0000FF"/>
              </w:rPr>
            </w:pPr>
            <w:hyperlink r:id="rId98">
              <w:r>
                <w:rPr>
                  <w:rFonts w:ascii="Arial" w:cs="Arial" w:eastAsia="Arial" w:hAnsi="Arial"/>
                  <w:sz w:val="20"/>
                  <w:szCs w:val="20"/>
                  <w:u w:val="single" w:color="auto"/>
                  <w:color w:val="0000FF"/>
                </w:rPr>
                <w:t>Form of Director and Officer Indemnification Agreement</w:t>
              </w:r>
            </w:hyperlink>
          </w:p>
        </w:tc>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10.11</w:t>
            </w:r>
          </w:p>
        </w:tc>
      </w:tr>
      <w:tr>
        <w:trPr>
          <w:trHeight w:val="239"/>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6"/>
              </w:rPr>
              <w:t>10.13*</w:t>
            </w:r>
          </w:p>
        </w:tc>
        <w:tc>
          <w:tcPr>
            <w:tcW w:w="380" w:type="dxa"/>
            <w:vAlign w:val="bottom"/>
            <w:shd w:val="clear" w:color="auto" w:fill="CCEEFF"/>
          </w:tcPr>
          <w:p>
            <w:pPr>
              <w:spacing w:after="0"/>
              <w:rPr>
                <w:sz w:val="17"/>
                <w:szCs w:val="17"/>
                <w:color w:val="auto"/>
              </w:rPr>
            </w:pPr>
          </w:p>
        </w:tc>
        <w:tc>
          <w:tcPr>
            <w:tcW w:w="5880" w:type="dxa"/>
            <w:vAlign w:val="bottom"/>
            <w:gridSpan w:val="23"/>
            <w:shd w:val="clear" w:color="auto" w:fill="CCEEFF"/>
          </w:tcPr>
          <w:p>
            <w:pPr>
              <w:spacing w:after="0" w:line="203" w:lineRule="exact"/>
              <w:rPr>
                <w:rFonts w:ascii="Arial" w:cs="Arial" w:eastAsia="Arial" w:hAnsi="Arial"/>
                <w:sz w:val="20"/>
                <w:szCs w:val="20"/>
                <w:color w:val="0000FF"/>
              </w:rPr>
            </w:pPr>
            <w:r>
              <w:rPr>
                <w:rFonts w:ascii="Arial" w:cs="Arial" w:eastAsia="Arial" w:hAnsi="Arial"/>
                <w:sz w:val="20"/>
                <w:szCs w:val="20"/>
                <w:u w:val="single" w:color="auto"/>
                <w:color w:val="0000FF"/>
              </w:rPr>
              <w:t xml:space="preserve">Employment </w:t>
            </w:r>
            <w:hyperlink w:anchor="page107">
              <w:r>
                <w:rPr>
                  <w:rFonts w:ascii="Arial" w:cs="Arial" w:eastAsia="Arial" w:hAnsi="Arial"/>
                  <w:sz w:val="20"/>
                  <w:szCs w:val="20"/>
                  <w:u w:val="single" w:color="auto"/>
                  <w:color w:val="0000FF"/>
                </w:rPr>
                <w:t>Agreement Terms</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6"/>
              </w:rPr>
              <w:t>10.14*</w:t>
            </w:r>
          </w:p>
        </w:tc>
        <w:tc>
          <w:tcPr>
            <w:tcW w:w="380" w:type="dxa"/>
            <w:vAlign w:val="bottom"/>
          </w:tcPr>
          <w:p>
            <w:pPr>
              <w:spacing w:after="0"/>
              <w:rPr>
                <w:sz w:val="17"/>
                <w:szCs w:val="17"/>
                <w:color w:val="auto"/>
              </w:rPr>
            </w:pPr>
          </w:p>
        </w:tc>
        <w:tc>
          <w:tcPr>
            <w:tcW w:w="5880" w:type="dxa"/>
            <w:vAlign w:val="bottom"/>
            <w:gridSpan w:val="23"/>
          </w:tcPr>
          <w:p>
            <w:pPr>
              <w:spacing w:after="0" w:line="203" w:lineRule="exact"/>
              <w:rPr>
                <w:rFonts w:ascii="Arial" w:cs="Arial" w:eastAsia="Arial" w:hAnsi="Arial"/>
                <w:sz w:val="20"/>
                <w:szCs w:val="20"/>
                <w:color w:val="0000FF"/>
              </w:rPr>
            </w:pPr>
            <w:hyperlink w:anchor="page108">
              <w:r>
                <w:rPr>
                  <w:rFonts w:ascii="Arial" w:cs="Arial" w:eastAsia="Arial" w:hAnsi="Arial"/>
                  <w:sz w:val="20"/>
                  <w:szCs w:val="20"/>
                  <w:color w:val="0000FF"/>
                </w:rPr>
                <w:t xml:space="preserve">Amendment 1 </w:t>
              </w:r>
              <w:r>
                <w:rPr>
                  <w:rFonts w:ascii="Arial" w:cs="Arial" w:eastAsia="Arial" w:hAnsi="Arial"/>
                  <w:sz w:val="20"/>
                  <w:szCs w:val="20"/>
                  <w:u w:val="single" w:color="auto"/>
                  <w:color w:val="0000FF"/>
                </w:rPr>
                <w:t>to Credit Agreement</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10.15</w:t>
            </w:r>
          </w:p>
        </w:tc>
        <w:tc>
          <w:tcPr>
            <w:tcW w:w="380" w:type="dxa"/>
            <w:vAlign w:val="bottom"/>
            <w:shd w:val="clear" w:color="auto" w:fill="CCEEFF"/>
          </w:tcPr>
          <w:p>
            <w:pPr>
              <w:spacing w:after="0"/>
              <w:rPr>
                <w:sz w:val="21"/>
                <w:szCs w:val="21"/>
                <w:color w:val="auto"/>
              </w:rPr>
            </w:pPr>
          </w:p>
        </w:tc>
        <w:tc>
          <w:tcPr>
            <w:tcW w:w="5880" w:type="dxa"/>
            <w:vAlign w:val="bottom"/>
            <w:gridSpan w:val="23"/>
            <w:shd w:val="clear" w:color="auto" w:fill="CCEEFF"/>
          </w:tcPr>
          <w:p>
            <w:pPr>
              <w:spacing w:after="0"/>
              <w:rPr>
                <w:rFonts w:ascii="Arial" w:cs="Arial" w:eastAsia="Arial" w:hAnsi="Arial"/>
                <w:sz w:val="20"/>
                <w:szCs w:val="20"/>
                <w:u w:val="single" w:color="auto"/>
                <w:color w:val="0000FF"/>
              </w:rPr>
            </w:pPr>
            <w:hyperlink r:id="rId99">
              <w:r>
                <w:rPr>
                  <w:rFonts w:ascii="Arial" w:cs="Arial" w:eastAsia="Arial" w:hAnsi="Arial"/>
                  <w:sz w:val="20"/>
                  <w:szCs w:val="20"/>
                  <w:u w:val="single" w:color="auto"/>
                  <w:color w:val="0000FF"/>
                </w:rPr>
                <w:t>Amendment 2 to Credit Agreement</w:t>
              </w:r>
            </w:hyperlink>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3/2/2021</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10.1</w:t>
            </w:r>
          </w:p>
        </w:tc>
      </w:tr>
      <w:tr>
        <w:trPr>
          <w:trHeight w:val="247"/>
        </w:trPr>
        <w:tc>
          <w:tcPr>
            <w:tcW w:w="1540" w:type="dxa"/>
            <w:vAlign w:val="bottom"/>
          </w:tcPr>
          <w:p>
            <w:pPr>
              <w:jc w:val="center"/>
              <w:spacing w:after="0"/>
              <w:rPr>
                <w:sz w:val="20"/>
                <w:szCs w:val="20"/>
                <w:color w:val="auto"/>
              </w:rPr>
            </w:pPr>
            <w:r>
              <w:rPr>
                <w:rFonts w:ascii="Arial" w:cs="Arial" w:eastAsia="Arial" w:hAnsi="Arial"/>
                <w:sz w:val="20"/>
                <w:szCs w:val="20"/>
                <w:color w:val="auto"/>
                <w:w w:val="98"/>
              </w:rPr>
              <w:t>21.1*</w:t>
            </w:r>
          </w:p>
        </w:tc>
        <w:tc>
          <w:tcPr>
            <w:tcW w:w="380" w:type="dxa"/>
            <w:vAlign w:val="bottom"/>
          </w:tcPr>
          <w:p>
            <w:pPr>
              <w:spacing w:after="0"/>
              <w:rPr>
                <w:sz w:val="21"/>
                <w:szCs w:val="21"/>
                <w:color w:val="auto"/>
              </w:rPr>
            </w:pPr>
          </w:p>
        </w:tc>
        <w:tc>
          <w:tcPr>
            <w:tcW w:w="5880" w:type="dxa"/>
            <w:vAlign w:val="bottom"/>
            <w:gridSpan w:val="23"/>
          </w:tcPr>
          <w:p>
            <w:pPr>
              <w:spacing w:after="0"/>
              <w:rPr>
                <w:rFonts w:ascii="Arial" w:cs="Arial" w:eastAsia="Arial" w:hAnsi="Arial"/>
                <w:sz w:val="20"/>
                <w:szCs w:val="20"/>
                <w:u w:val="single" w:color="auto"/>
                <w:color w:val="0000FF"/>
              </w:rPr>
            </w:pPr>
            <w:hyperlink w:anchor="page552">
              <w:r>
                <w:rPr>
                  <w:rFonts w:ascii="Arial" w:cs="Arial" w:eastAsia="Arial" w:hAnsi="Arial"/>
                  <w:sz w:val="20"/>
                  <w:szCs w:val="20"/>
                  <w:u w:val="single" w:color="auto"/>
                  <w:color w:val="0000FF"/>
                </w:rPr>
                <w:t>List of Subsidiaries of the Registrant</w:t>
              </w:r>
            </w:hyperlink>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9"/>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23.1*</w:t>
            </w:r>
          </w:p>
        </w:tc>
        <w:tc>
          <w:tcPr>
            <w:tcW w:w="380" w:type="dxa"/>
            <w:vAlign w:val="bottom"/>
            <w:shd w:val="clear" w:color="auto" w:fill="CCEEFF"/>
          </w:tcPr>
          <w:p>
            <w:pPr>
              <w:spacing w:after="0"/>
              <w:rPr>
                <w:sz w:val="21"/>
                <w:szCs w:val="21"/>
                <w:color w:val="auto"/>
              </w:rPr>
            </w:pPr>
          </w:p>
        </w:tc>
        <w:tc>
          <w:tcPr>
            <w:tcW w:w="5880" w:type="dxa"/>
            <w:vAlign w:val="bottom"/>
            <w:gridSpan w:val="23"/>
            <w:shd w:val="clear" w:color="auto" w:fill="CCEEFF"/>
          </w:tcPr>
          <w:p>
            <w:pPr>
              <w:spacing w:after="0"/>
              <w:rPr>
                <w:rFonts w:ascii="Arial" w:cs="Arial" w:eastAsia="Arial" w:hAnsi="Arial"/>
                <w:sz w:val="20"/>
                <w:szCs w:val="20"/>
                <w:u w:val="single" w:color="auto"/>
                <w:color w:val="0000FF"/>
              </w:rPr>
            </w:pPr>
            <w:hyperlink w:anchor="page553">
              <w:r>
                <w:rPr>
                  <w:rFonts w:ascii="Arial" w:cs="Arial" w:eastAsia="Arial" w:hAnsi="Arial"/>
                  <w:sz w:val="20"/>
                  <w:szCs w:val="20"/>
                  <w:u w:val="single" w:color="auto"/>
                  <w:color w:val="0000FF"/>
                </w:rPr>
                <w:t>Consent of Independent Registered Public Accounting Firm</w:t>
              </w:r>
            </w:hyperlink>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Pr>
          <w:p>
            <w:pPr>
              <w:spacing w:after="0"/>
              <w:rPr>
                <w:sz w:val="22"/>
                <w:szCs w:val="22"/>
                <w:color w:val="auto"/>
              </w:rPr>
            </w:pPr>
          </w:p>
        </w:tc>
        <w:tc>
          <w:tcPr>
            <w:tcW w:w="5800" w:type="dxa"/>
            <w:vAlign w:val="bottom"/>
            <w:tcBorders>
              <w:bottom w:val="single" w:sz="8" w:color="auto"/>
            </w:tcBorders>
            <w:gridSpan w:val="3"/>
          </w:tcPr>
          <w:p>
            <w:pPr>
              <w:ind w:left="172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Form</w:t>
            </w:r>
          </w:p>
        </w:tc>
        <w:tc>
          <w:tcPr>
            <w:tcW w:w="80" w:type="dxa"/>
            <w:vAlign w:val="bottom"/>
          </w:tcPr>
          <w:p>
            <w:pPr>
              <w:spacing w:after="0"/>
              <w:rPr>
                <w:sz w:val="22"/>
                <w:szCs w:val="22"/>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Pr>
          <w:p>
            <w:pPr>
              <w:spacing w:after="0"/>
              <w:rPr>
                <w:sz w:val="22"/>
                <w:szCs w:val="22"/>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Pr>
          <w:p>
            <w:pPr>
              <w:jc w:val="center"/>
              <w:spacing w:after="0" w:line="196" w:lineRule="exact"/>
              <w:rPr>
                <w:sz w:val="20"/>
                <w:szCs w:val="20"/>
                <w:color w:val="auto"/>
              </w:rPr>
            </w:pPr>
            <w:r>
              <w:rPr>
                <w:rFonts w:ascii="Arial" w:cs="Arial" w:eastAsia="Arial" w:hAnsi="Arial"/>
                <w:sz w:val="20"/>
                <w:szCs w:val="20"/>
                <w:color w:val="auto"/>
                <w:w w:val="98"/>
              </w:rPr>
              <w:t>31.1*</w:t>
            </w:r>
          </w:p>
        </w:tc>
        <w:tc>
          <w:tcPr>
            <w:tcW w:w="380" w:type="dxa"/>
            <w:vAlign w:val="bottom"/>
          </w:tcPr>
          <w:p>
            <w:pPr>
              <w:spacing w:after="0"/>
              <w:rPr>
                <w:sz w:val="17"/>
                <w:szCs w:val="17"/>
                <w:color w:val="auto"/>
              </w:rPr>
            </w:pPr>
          </w:p>
        </w:tc>
        <w:tc>
          <w:tcPr>
            <w:tcW w:w="5880" w:type="dxa"/>
            <w:vAlign w:val="bottom"/>
            <w:gridSpan w:val="4"/>
          </w:tcPr>
          <w:p>
            <w:pPr>
              <w:spacing w:after="0" w:line="196" w:lineRule="exact"/>
              <w:rPr>
                <w:rFonts w:ascii="Arial" w:cs="Arial" w:eastAsia="Arial" w:hAnsi="Arial"/>
                <w:sz w:val="20"/>
                <w:szCs w:val="20"/>
                <w:color w:val="0000FF"/>
              </w:rPr>
            </w:pPr>
            <w:hyperlink w:anchor="page554">
              <w:r>
                <w:rPr>
                  <w:rFonts w:ascii="Arial" w:cs="Arial" w:eastAsia="Arial" w:hAnsi="Arial"/>
                  <w:sz w:val="20"/>
                  <w:szCs w:val="20"/>
                  <w:color w:val="0000FF"/>
                </w:rPr>
                <w:t>Certification of the Chief Executive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tcBorders>
              <w:top w:val="single" w:sz="8" w:color="0000FF"/>
            </w:tcBorders>
            <w:gridSpan w:val="2"/>
          </w:tcPr>
          <w:p>
            <w:pPr>
              <w:spacing w:after="0"/>
              <w:rPr>
                <w:rFonts w:ascii="Arial" w:cs="Arial" w:eastAsia="Arial" w:hAnsi="Arial"/>
                <w:sz w:val="20"/>
                <w:szCs w:val="20"/>
                <w:u w:val="single" w:color="auto"/>
                <w:color w:val="0000FF"/>
              </w:rPr>
            </w:pPr>
            <w:hyperlink w:anchor="page554">
              <w:r>
                <w:rPr>
                  <w:rFonts w:ascii="Arial" w:cs="Arial" w:eastAsia="Arial" w:hAnsi="Arial"/>
                  <w:sz w:val="20"/>
                  <w:szCs w:val="20"/>
                  <w:u w:val="single" w:color="auto"/>
                  <w:color w:val="0000FF"/>
                </w:rPr>
                <w:t>302 of the Sarbanes- Oxley Act of 2002 (18 U.S.C. 1350)</w:t>
              </w:r>
            </w:hyperlink>
          </w:p>
        </w:tc>
        <w:tc>
          <w:tcPr>
            <w:tcW w:w="1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380" w:type="dxa"/>
            <w:vAlign w:val="bottom"/>
            <w:shd w:val="clear" w:color="auto" w:fill="CCEEFF"/>
          </w:tcPr>
          <w:p>
            <w:pPr>
              <w:spacing w:after="0"/>
              <w:rPr>
                <w:sz w:val="17"/>
                <w:szCs w:val="17"/>
                <w:color w:val="auto"/>
              </w:rPr>
            </w:pPr>
          </w:p>
        </w:tc>
        <w:tc>
          <w:tcPr>
            <w:tcW w:w="5880" w:type="dxa"/>
            <w:vAlign w:val="bottom"/>
            <w:gridSpan w:val="4"/>
            <w:shd w:val="clear" w:color="auto" w:fill="CCEEFF"/>
          </w:tcPr>
          <w:p>
            <w:pPr>
              <w:spacing w:after="0" w:line="203" w:lineRule="exact"/>
              <w:rPr>
                <w:rFonts w:ascii="Arial" w:cs="Arial" w:eastAsia="Arial" w:hAnsi="Arial"/>
                <w:sz w:val="20"/>
                <w:szCs w:val="20"/>
                <w:color w:val="0000FF"/>
              </w:rPr>
            </w:pPr>
            <w:hyperlink w:anchor="page555">
              <w:r>
                <w:rPr>
                  <w:rFonts w:ascii="Arial" w:cs="Arial" w:eastAsia="Arial" w:hAnsi="Arial"/>
                  <w:sz w:val="20"/>
                  <w:szCs w:val="20"/>
                  <w:color w:val="0000FF"/>
                </w:rPr>
                <w:t>Certification of the Chief Financial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1"/>
        </w:trPr>
        <w:tc>
          <w:tcPr>
            <w:tcW w:w="15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5660" w:type="dxa"/>
            <w:vAlign w:val="bottom"/>
            <w:tcBorders>
              <w:top w:val="single" w:sz="8" w:color="0000FF"/>
            </w:tcBorders>
            <w:shd w:val="clear" w:color="auto" w:fill="CCEEFF"/>
          </w:tcPr>
          <w:p>
            <w:pPr>
              <w:spacing w:after="0"/>
              <w:rPr>
                <w:rFonts w:ascii="Arial" w:cs="Arial" w:eastAsia="Arial" w:hAnsi="Arial"/>
                <w:sz w:val="20"/>
                <w:szCs w:val="20"/>
                <w:u w:val="single" w:color="auto"/>
                <w:color w:val="0000FF"/>
              </w:rPr>
            </w:pPr>
            <w:hyperlink w:anchor="page555">
              <w:r>
                <w:rPr>
                  <w:rFonts w:ascii="Arial" w:cs="Arial" w:eastAsia="Arial" w:hAnsi="Arial"/>
                  <w:sz w:val="20"/>
                  <w:szCs w:val="20"/>
                  <w:u w:val="single" w:color="auto"/>
                  <w:color w:val="0000FF"/>
                </w:rPr>
                <w:t>302 of the Sarbanes- Oxley Act of 2002 (18 U.S.C. 1350)</w:t>
              </w:r>
            </w:hyperlink>
          </w:p>
        </w:tc>
        <w:tc>
          <w:tcPr>
            <w:tcW w:w="220" w:type="dxa"/>
            <w:vAlign w:val="bottom"/>
            <w:tcBorders>
              <w:top w:val="single" w:sz="8" w:color="CCEEFF"/>
            </w:tcBorders>
            <w:gridSpan w:val="3"/>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r>
      <w:tr>
        <w:trPr>
          <w:trHeight w:val="222"/>
        </w:trPr>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380" w:type="dxa"/>
            <w:vAlign w:val="bottom"/>
          </w:tcPr>
          <w:p>
            <w:pPr>
              <w:spacing w:after="0"/>
              <w:rPr>
                <w:sz w:val="17"/>
                <w:szCs w:val="17"/>
                <w:color w:val="auto"/>
              </w:rPr>
            </w:pPr>
          </w:p>
        </w:tc>
        <w:tc>
          <w:tcPr>
            <w:tcW w:w="5880" w:type="dxa"/>
            <w:vAlign w:val="bottom"/>
            <w:gridSpan w:val="4"/>
          </w:tcPr>
          <w:p>
            <w:pPr>
              <w:spacing w:after="0" w:line="203" w:lineRule="exact"/>
              <w:rPr>
                <w:rFonts w:ascii="Arial" w:cs="Arial" w:eastAsia="Arial" w:hAnsi="Arial"/>
                <w:sz w:val="20"/>
                <w:szCs w:val="20"/>
                <w:color w:val="0000FF"/>
              </w:rPr>
            </w:pPr>
            <w:hyperlink w:anchor="page556">
              <w:r>
                <w:rPr>
                  <w:rFonts w:ascii="Arial" w:cs="Arial" w:eastAsia="Arial" w:hAnsi="Arial"/>
                  <w:sz w:val="20"/>
                  <w:szCs w:val="20"/>
                  <w:color w:val="0000FF"/>
                </w:rPr>
                <w:t>Certification of the Chief Executive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tcBorders>
              <w:top w:val="single" w:sz="8" w:color="0000FF"/>
            </w:tcBorders>
            <w:gridSpan w:val="2"/>
          </w:tcPr>
          <w:p>
            <w:pPr>
              <w:spacing w:after="0"/>
              <w:rPr>
                <w:rFonts w:ascii="Arial" w:cs="Arial" w:eastAsia="Arial" w:hAnsi="Arial"/>
                <w:sz w:val="20"/>
                <w:szCs w:val="20"/>
                <w:u w:val="single" w:color="auto"/>
                <w:color w:val="0000FF"/>
              </w:rPr>
            </w:pPr>
            <w:hyperlink w:anchor="page556">
              <w:r>
                <w:rPr>
                  <w:rFonts w:ascii="Arial" w:cs="Arial" w:eastAsia="Arial" w:hAnsi="Arial"/>
                  <w:sz w:val="20"/>
                  <w:szCs w:val="20"/>
                  <w:u w:val="single" w:color="auto"/>
                  <w:color w:val="0000FF"/>
                </w:rPr>
                <w:t>906 of the Sarbanes-Oxley Act of 2002 (18 U.S.C. 1350)</w:t>
              </w:r>
            </w:hyperlink>
          </w:p>
        </w:tc>
        <w:tc>
          <w:tcPr>
            <w:tcW w:w="1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380" w:type="dxa"/>
            <w:vAlign w:val="bottom"/>
            <w:shd w:val="clear" w:color="auto" w:fill="CCEEFF"/>
          </w:tcPr>
          <w:p>
            <w:pPr>
              <w:spacing w:after="0"/>
              <w:rPr>
                <w:sz w:val="17"/>
                <w:szCs w:val="17"/>
                <w:color w:val="auto"/>
              </w:rPr>
            </w:pPr>
          </w:p>
        </w:tc>
        <w:tc>
          <w:tcPr>
            <w:tcW w:w="5880" w:type="dxa"/>
            <w:vAlign w:val="bottom"/>
            <w:gridSpan w:val="4"/>
            <w:shd w:val="clear" w:color="auto" w:fill="CCEEFF"/>
          </w:tcPr>
          <w:p>
            <w:pPr>
              <w:spacing w:after="0" w:line="203" w:lineRule="exact"/>
              <w:rPr>
                <w:rFonts w:ascii="Arial" w:cs="Arial" w:eastAsia="Arial" w:hAnsi="Arial"/>
                <w:sz w:val="20"/>
                <w:szCs w:val="20"/>
                <w:color w:val="0000FF"/>
              </w:rPr>
            </w:pPr>
            <w:hyperlink w:anchor="page557">
              <w:r>
                <w:rPr>
                  <w:rFonts w:ascii="Arial" w:cs="Arial" w:eastAsia="Arial" w:hAnsi="Arial"/>
                  <w:sz w:val="20"/>
                  <w:szCs w:val="20"/>
                  <w:color w:val="0000FF"/>
                </w:rPr>
                <w:t>Certification of the Chief Financial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1"/>
        </w:trPr>
        <w:tc>
          <w:tcPr>
            <w:tcW w:w="15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5660" w:type="dxa"/>
            <w:vAlign w:val="bottom"/>
            <w:tcBorders>
              <w:top w:val="single" w:sz="8" w:color="0000FF"/>
            </w:tcBorders>
            <w:shd w:val="clear" w:color="auto" w:fill="CCEEFF"/>
          </w:tcPr>
          <w:p>
            <w:pPr>
              <w:spacing w:after="0"/>
              <w:rPr>
                <w:rFonts w:ascii="Arial" w:cs="Arial" w:eastAsia="Arial" w:hAnsi="Arial"/>
                <w:sz w:val="20"/>
                <w:szCs w:val="20"/>
                <w:u w:val="single" w:color="auto"/>
                <w:color w:val="0000FF"/>
              </w:rPr>
            </w:pPr>
            <w:hyperlink w:anchor="page557">
              <w:r>
                <w:rPr>
                  <w:rFonts w:ascii="Arial" w:cs="Arial" w:eastAsia="Arial" w:hAnsi="Arial"/>
                  <w:sz w:val="20"/>
                  <w:szCs w:val="20"/>
                  <w:u w:val="single" w:color="auto"/>
                  <w:color w:val="0000FF"/>
                </w:rPr>
                <w:t>906 of the Sarbanes-Oxley Act of 2002 (18 U.S.C. 1350)</w:t>
              </w:r>
            </w:hyperlink>
          </w:p>
        </w:tc>
        <w:tc>
          <w:tcPr>
            <w:tcW w:w="220" w:type="dxa"/>
            <w:vAlign w:val="bottom"/>
            <w:tcBorders>
              <w:top w:val="single" w:sz="8" w:color="CCEEFF"/>
            </w:tcBorders>
            <w:gridSpan w:val="3"/>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r>
      <w:tr>
        <w:trPr>
          <w:trHeight w:val="222"/>
        </w:trPr>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101*</w:t>
            </w:r>
          </w:p>
        </w:tc>
        <w:tc>
          <w:tcPr>
            <w:tcW w:w="380" w:type="dxa"/>
            <w:vAlign w:val="bottom"/>
          </w:tcPr>
          <w:p>
            <w:pPr>
              <w:spacing w:after="0"/>
              <w:rPr>
                <w:sz w:val="21"/>
                <w:szCs w:val="21"/>
                <w:color w:val="auto"/>
              </w:rPr>
            </w:pPr>
          </w:p>
        </w:tc>
        <w:tc>
          <w:tcPr>
            <w:tcW w:w="5880" w:type="dxa"/>
            <w:vAlign w:val="bottom"/>
            <w:gridSpan w:val="4"/>
          </w:tcPr>
          <w:p>
            <w:pPr>
              <w:spacing w:after="0"/>
              <w:rPr>
                <w:sz w:val="20"/>
                <w:szCs w:val="20"/>
                <w:color w:val="auto"/>
              </w:rPr>
            </w:pPr>
            <w:r>
              <w:rPr>
                <w:rFonts w:ascii="Arial" w:cs="Arial" w:eastAsia="Arial" w:hAnsi="Arial"/>
                <w:sz w:val="20"/>
                <w:szCs w:val="20"/>
                <w:color w:val="auto"/>
              </w:rPr>
              <w:t>Interactive Data Files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104*</w:t>
            </w:r>
          </w:p>
        </w:tc>
        <w:tc>
          <w:tcPr>
            <w:tcW w:w="380" w:type="dxa"/>
            <w:vAlign w:val="bottom"/>
            <w:shd w:val="clear" w:color="auto" w:fill="CCEEFF"/>
          </w:tcPr>
          <w:p>
            <w:pPr>
              <w:spacing w:after="0"/>
              <w:rPr>
                <w:sz w:val="21"/>
                <w:szCs w:val="21"/>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Cover Page Interactive Data Files</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 Filed herewith</w:t>
      </w:r>
    </w:p>
    <w:p>
      <w:pPr>
        <w:spacing w:after="0"/>
        <w:rPr>
          <w:sz w:val="20"/>
          <w:szCs w:val="20"/>
          <w:color w:val="auto"/>
        </w:rPr>
      </w:pPr>
      <w:r>
        <w:rPr>
          <w:rFonts w:ascii="Arial" w:cs="Arial" w:eastAsia="Arial" w:hAnsi="Arial"/>
          <w:sz w:val="20"/>
          <w:szCs w:val="20"/>
          <w:color w:val="auto"/>
        </w:rPr>
        <w:t>** Furnished herewith</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6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 on March 9, 2021.</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Array Technologies, Inc.</w:t>
      </w:r>
    </w:p>
    <w:p>
      <w:pPr>
        <w:spacing w:after="0" w:line="32" w:lineRule="exact"/>
        <w:rPr>
          <w:sz w:val="20"/>
          <w:szCs w:val="20"/>
          <w:color w:val="auto"/>
        </w:rPr>
      </w:pPr>
    </w:p>
    <w:tbl>
      <w:tblPr>
        <w:tblLayout w:type="fixed"/>
        <w:tblInd w:w="392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Jim Fusaro</w:t>
            </w:r>
          </w:p>
        </w:tc>
      </w:tr>
      <w:tr>
        <w:trPr>
          <w:trHeight w:val="222"/>
        </w:trPr>
        <w:tc>
          <w:tcPr>
            <w:tcW w:w="540" w:type="dxa"/>
            <w:vAlign w:val="bottom"/>
          </w:tcPr>
          <w:p>
            <w:pPr>
              <w:spacing w:after="0"/>
              <w:rPr>
                <w:sz w:val="19"/>
                <w:szCs w:val="19"/>
                <w:color w:val="auto"/>
              </w:rPr>
            </w:pPr>
          </w:p>
        </w:tc>
        <w:tc>
          <w:tcPr>
            <w:tcW w:w="340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99"/>
              </w:rPr>
              <w:t>Jim Fusaro</w:t>
            </w:r>
          </w:p>
        </w:tc>
      </w:tr>
      <w:tr>
        <w:trPr>
          <w:trHeight w:val="243"/>
        </w:trPr>
        <w:tc>
          <w:tcPr>
            <w:tcW w:w="54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Arial" w:cs="Arial" w:eastAsia="Arial" w:hAnsi="Arial"/>
                <w:sz w:val="20"/>
                <w:szCs w:val="20"/>
                <w:b w:val="1"/>
                <w:bCs w:val="1"/>
                <w:color w:val="auto"/>
                <w:w w:val="98"/>
              </w:rPr>
              <w:t>Chief Executive Officer</w:t>
            </w:r>
          </w:p>
        </w:tc>
      </w:tr>
      <w:tr>
        <w:trPr>
          <w:trHeight w:val="261"/>
        </w:trPr>
        <w:tc>
          <w:tcPr>
            <w:tcW w:w="540" w:type="dxa"/>
            <w:vAlign w:val="bottom"/>
          </w:tcPr>
          <w:p>
            <w:pPr>
              <w:spacing w:after="0"/>
              <w:rPr>
                <w:sz w:val="22"/>
                <w:szCs w:val="22"/>
                <w:color w:val="auto"/>
              </w:rPr>
            </w:pPr>
          </w:p>
        </w:tc>
        <w:tc>
          <w:tcPr>
            <w:tcW w:w="34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(Principal Executive Officer)</w:t>
            </w:r>
          </w:p>
        </w:tc>
      </w:tr>
    </w:tbl>
    <w:p>
      <w:pPr>
        <w:spacing w:after="0" w:line="343" w:lineRule="exact"/>
        <w:rPr>
          <w:sz w:val="20"/>
          <w:szCs w:val="20"/>
          <w:color w:val="auto"/>
        </w:rPr>
      </w:pPr>
    </w:p>
    <w:p>
      <w:pPr>
        <w:ind w:right="380"/>
        <w:spacing w:after="0" w:line="26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capacity and on the dates indicated.</w:t>
      </w:r>
    </w:p>
    <w:p>
      <w:pPr>
        <w:spacing w:after="0" w:line="232" w:lineRule="exact"/>
        <w:rPr>
          <w:sz w:val="20"/>
          <w:szCs w:val="20"/>
          <w:color w:val="auto"/>
        </w:rPr>
      </w:pPr>
    </w:p>
    <w:p>
      <w:pPr>
        <w:ind w:left="1460"/>
        <w:spacing w:after="0"/>
        <w:tabs>
          <w:tab w:leader="none" w:pos="6020" w:val="left"/>
          <w:tab w:leader="none" w:pos="970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Title</w:t>
      </w:r>
      <w:r>
        <w:rPr>
          <w:sz w:val="20"/>
          <w:szCs w:val="20"/>
          <w:color w:val="auto"/>
        </w:rPr>
        <w:tab/>
      </w: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41" w:right="67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Jim Fusaro</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Chief Executive Officer</w:t>
            </w:r>
          </w:p>
        </w:tc>
      </w:tr>
      <w:tr>
        <w:trPr>
          <w:trHeight w:val="241"/>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Jim Fusaro</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8"/>
              </w:rPr>
              <w:t>(Principal Executive Officer)</w:t>
            </w:r>
          </w:p>
        </w:tc>
      </w:tr>
      <w:tr>
        <w:trPr>
          <w:trHeight w:val="50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Nipul Patel</w:t>
            </w:r>
          </w:p>
        </w:tc>
        <w:tc>
          <w:tcPr>
            <w:tcW w:w="4300" w:type="dxa"/>
            <w:vAlign w:val="bottom"/>
          </w:tcPr>
          <w:p>
            <w:pPr>
              <w:jc w:val="center"/>
              <w:ind w:left="381"/>
              <w:spacing w:after="0"/>
              <w:rPr>
                <w:sz w:val="20"/>
                <w:szCs w:val="20"/>
                <w:color w:val="auto"/>
              </w:rPr>
            </w:pPr>
            <w:r>
              <w:rPr>
                <w:rFonts w:ascii="Arial" w:cs="Arial" w:eastAsia="Arial" w:hAnsi="Arial"/>
                <w:sz w:val="20"/>
                <w:szCs w:val="20"/>
                <w:color w:val="auto"/>
                <w:w w:val="98"/>
              </w:rPr>
              <w:t>Chief Financial Officer</w:t>
            </w:r>
          </w:p>
        </w:tc>
      </w:tr>
      <w:tr>
        <w:trPr>
          <w:trHeight w:val="241"/>
        </w:trPr>
        <w:tc>
          <w:tcPr>
            <w:tcW w:w="3840" w:type="dxa"/>
            <w:vAlign w:val="bottom"/>
          </w:tcPr>
          <w:p>
            <w:pPr>
              <w:jc w:val="center"/>
              <w:spacing w:after="0"/>
              <w:rPr>
                <w:sz w:val="20"/>
                <w:szCs w:val="20"/>
                <w:color w:val="auto"/>
              </w:rPr>
            </w:pPr>
            <w:r>
              <w:rPr>
                <w:rFonts w:ascii="Arial" w:cs="Arial" w:eastAsia="Arial" w:hAnsi="Arial"/>
                <w:sz w:val="20"/>
                <w:szCs w:val="20"/>
                <w:color w:val="auto"/>
                <w:w w:val="99"/>
              </w:rPr>
              <w:t>Nipul Patel</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9"/>
              </w:rPr>
              <w:t>(Principal Financial and Accounting Officer)</w:t>
            </w:r>
          </w:p>
        </w:tc>
      </w:tr>
      <w:tr>
        <w:trPr>
          <w:trHeight w:val="53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Brad Forth</w:t>
            </w:r>
          </w:p>
        </w:tc>
        <w:tc>
          <w:tcPr>
            <w:tcW w:w="4300" w:type="dxa"/>
            <w:vAlign w:val="bottom"/>
          </w:tcPr>
          <w:p>
            <w:pPr>
              <w:jc w:val="center"/>
              <w:ind w:left="461"/>
              <w:spacing w:after="0"/>
              <w:rPr>
                <w:sz w:val="20"/>
                <w:szCs w:val="20"/>
                <w:color w:val="auto"/>
              </w:rPr>
            </w:pPr>
            <w:r>
              <w:rPr>
                <w:rFonts w:ascii="Arial" w:cs="Arial" w:eastAsia="Arial" w:hAnsi="Arial"/>
                <w:sz w:val="20"/>
                <w:szCs w:val="20"/>
                <w:color w:val="auto"/>
                <w:w w:val="99"/>
              </w:rPr>
              <w:t>Chairman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Brad Forth</w:t>
            </w:r>
          </w:p>
        </w:tc>
        <w:tc>
          <w:tcPr>
            <w:tcW w:w="4300" w:type="dxa"/>
            <w:vAlign w:val="bottom"/>
          </w:tcPr>
          <w:p>
            <w:pPr>
              <w:spacing w:after="0"/>
              <w:rPr>
                <w:sz w:val="20"/>
                <w:szCs w:val="20"/>
                <w:color w:val="auto"/>
              </w:rPr>
            </w:pPr>
          </w:p>
        </w:tc>
      </w:tr>
      <w:tr>
        <w:trPr>
          <w:trHeight w:val="53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Troy Alstead</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Troy Alstead</w:t>
            </w:r>
          </w:p>
        </w:tc>
        <w:tc>
          <w:tcPr>
            <w:tcW w:w="4300" w:type="dxa"/>
            <w:vAlign w:val="bottom"/>
          </w:tcPr>
          <w:p>
            <w:pPr>
              <w:spacing w:after="0"/>
              <w:rPr>
                <w:sz w:val="20"/>
                <w:szCs w:val="20"/>
                <w:color w:val="auto"/>
              </w:rPr>
            </w:pPr>
          </w:p>
        </w:tc>
      </w:tr>
      <w:tr>
        <w:trPr>
          <w:trHeight w:val="53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Orlando D. Ashford</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9"/>
              </w:rPr>
              <w:t>Orlando D. Ashford</w:t>
            </w:r>
          </w:p>
        </w:tc>
        <w:tc>
          <w:tcPr>
            <w:tcW w:w="4300" w:type="dxa"/>
            <w:vAlign w:val="bottom"/>
          </w:tcPr>
          <w:p>
            <w:pPr>
              <w:spacing w:after="0"/>
              <w:rPr>
                <w:sz w:val="20"/>
                <w:szCs w:val="20"/>
                <w:color w:val="auto"/>
              </w:rPr>
            </w:pPr>
          </w:p>
        </w:tc>
      </w:tr>
      <w:tr>
        <w:trPr>
          <w:trHeight w:val="50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Frank Cannova</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Member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9"/>
              </w:rPr>
              <w:t>Frank Cannova</w:t>
            </w:r>
          </w:p>
        </w:tc>
        <w:tc>
          <w:tcPr>
            <w:tcW w:w="4300" w:type="dxa"/>
            <w:vAlign w:val="bottom"/>
          </w:tcPr>
          <w:p>
            <w:pPr>
              <w:spacing w:after="0"/>
              <w:rPr>
                <w:sz w:val="20"/>
                <w:szCs w:val="20"/>
                <w:color w:val="auto"/>
              </w:rPr>
            </w:pPr>
          </w:p>
        </w:tc>
      </w:tr>
      <w:tr>
        <w:trPr>
          <w:trHeight w:val="5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Ron P. Corio</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6"/>
              </w:rPr>
              <w:t>Ron P. Corio</w:t>
            </w:r>
          </w:p>
        </w:tc>
        <w:tc>
          <w:tcPr>
            <w:tcW w:w="4300" w:type="dxa"/>
            <w:vAlign w:val="bottom"/>
          </w:tcPr>
          <w:p>
            <w:pPr>
              <w:spacing w:after="0"/>
              <w:rPr>
                <w:sz w:val="21"/>
                <w:szCs w:val="21"/>
                <w:color w:val="auto"/>
              </w:rPr>
            </w:pPr>
          </w:p>
        </w:tc>
      </w:tr>
      <w:tr>
        <w:trPr>
          <w:trHeight w:val="53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Peter Jonna</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8"/>
              </w:rPr>
              <w:t>Peter Jonna</w:t>
            </w:r>
          </w:p>
        </w:tc>
        <w:tc>
          <w:tcPr>
            <w:tcW w:w="4300" w:type="dxa"/>
            <w:vAlign w:val="bottom"/>
          </w:tcPr>
          <w:p>
            <w:pPr>
              <w:spacing w:after="0"/>
              <w:rPr>
                <w:sz w:val="20"/>
                <w:szCs w:val="20"/>
                <w:color w:val="auto"/>
              </w:rPr>
            </w:pPr>
          </w:p>
        </w:tc>
      </w:tr>
      <w:tr>
        <w:trPr>
          <w:trHeight w:val="53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Jason Lee</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0"/>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Jason Lee</w:t>
            </w:r>
          </w:p>
        </w:tc>
        <w:tc>
          <w:tcPr>
            <w:tcW w:w="4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9, 2021</w:t>
      </w:r>
    </w:p>
    <w:p>
      <w:pPr>
        <w:spacing w:after="0" w:line="475" w:lineRule="exact"/>
        <w:rPr>
          <w:sz w:val="20"/>
          <w:szCs w:val="20"/>
          <w:color w:val="auto"/>
        </w:rPr>
      </w:pPr>
    </w:p>
    <w:p>
      <w:pPr>
        <w:sectPr>
          <w:pgSz w:w="11900" w:h="16838" w:orient="portrait"/>
          <w:cols w:equalWidth="0" w:num="2">
            <w:col w:w="8580" w:space="720"/>
            <w:col w:w="1600"/>
          </w:cols>
          <w:pgMar w:left="320" w:top="141"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41" w:right="67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INDEX TO FINANCIAL STATEMENTS</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gridSpan w:val="4"/>
          </w:tcPr>
          <w:p>
            <w:pPr>
              <w:spacing w:after="0"/>
              <w:rPr>
                <w:sz w:val="20"/>
                <w:szCs w:val="20"/>
                <w:color w:val="auto"/>
              </w:rPr>
            </w:pPr>
            <w:r>
              <w:rPr>
                <w:rFonts w:ascii="Arial" w:cs="Arial" w:eastAsia="Arial" w:hAnsi="Arial"/>
                <w:sz w:val="20"/>
                <w:szCs w:val="20"/>
                <w:color w:val="0000FF"/>
              </w:rPr>
              <w:t>Report of Independent Registered Public Accounting Firm</w:t>
            </w:r>
          </w:p>
        </w:tc>
        <w:tc>
          <w:tcPr>
            <w:tcW w:w="300" w:type="dxa"/>
            <w:vAlign w:val="bottom"/>
          </w:tcPr>
          <w:p>
            <w:pPr>
              <w:spacing w:after="0"/>
              <w:rPr>
                <w:rFonts w:ascii="Arial" w:cs="Arial" w:eastAsia="Arial" w:hAnsi="Arial"/>
                <w:sz w:val="20"/>
                <w:szCs w:val="20"/>
                <w:u w:val="single" w:color="auto"/>
                <w:color w:val="0000FF"/>
                <w:w w:val="93"/>
              </w:rPr>
            </w:pPr>
            <w:hyperlink w:anchor="page69">
              <w:r>
                <w:rPr>
                  <w:rFonts w:ascii="Arial" w:cs="Arial" w:eastAsia="Arial" w:hAnsi="Arial"/>
                  <w:sz w:val="20"/>
                  <w:szCs w:val="20"/>
                  <w:u w:val="single" w:color="auto"/>
                  <w:color w:val="0000FF"/>
                  <w:w w:val="93"/>
                </w:rPr>
                <w:t>F-1</w:t>
              </w:r>
            </w:hyperlink>
          </w:p>
        </w:tc>
      </w:tr>
      <w:tr>
        <w:trPr>
          <w:trHeight w:val="250"/>
        </w:trPr>
        <w:tc>
          <w:tcPr>
            <w:tcW w:w="5060" w:type="dxa"/>
            <w:vAlign w:val="bottom"/>
            <w:tcBorders>
              <w:top w:val="single" w:sz="8" w:color="0000FF"/>
            </w:tcBorders>
            <w:gridSpan w:val="2"/>
          </w:tcPr>
          <w:p>
            <w:pPr>
              <w:spacing w:after="0"/>
              <w:rPr>
                <w:rFonts w:ascii="Arial" w:cs="Arial" w:eastAsia="Arial" w:hAnsi="Arial"/>
                <w:sz w:val="20"/>
                <w:szCs w:val="20"/>
                <w:u w:val="single" w:color="auto"/>
                <w:color w:val="0000FF"/>
              </w:rPr>
            </w:pPr>
            <w:hyperlink w:anchor="page70">
              <w:r>
                <w:rPr>
                  <w:rFonts w:ascii="Arial" w:cs="Arial" w:eastAsia="Arial" w:hAnsi="Arial"/>
                  <w:sz w:val="20"/>
                  <w:szCs w:val="20"/>
                  <w:u w:val="single" w:color="auto"/>
                  <w:color w:val="0000FF"/>
                </w:rPr>
                <w:t>Consolidated Balance Sheets</w:t>
              </w:r>
            </w:hyperlink>
          </w:p>
        </w:tc>
        <w:tc>
          <w:tcPr>
            <w:tcW w:w="5200" w:type="dxa"/>
            <w:vAlign w:val="bottom"/>
            <w:gridSpan w:val="2"/>
          </w:tcPr>
          <w:p>
            <w:pPr>
              <w:spacing w:after="0"/>
              <w:rPr>
                <w:sz w:val="21"/>
                <w:szCs w:val="21"/>
                <w:color w:val="auto"/>
              </w:rPr>
            </w:pPr>
          </w:p>
        </w:tc>
        <w:tc>
          <w:tcPr>
            <w:tcW w:w="300" w:type="dxa"/>
            <w:vAlign w:val="bottom"/>
            <w:tcBorders>
              <w:bottom w:val="single" w:sz="8" w:color="0000FF"/>
            </w:tcBorders>
          </w:tcPr>
          <w:p>
            <w:pPr>
              <w:spacing w:after="0"/>
              <w:rPr>
                <w:rFonts w:ascii="Arial" w:cs="Arial" w:eastAsia="Arial" w:hAnsi="Arial"/>
                <w:sz w:val="20"/>
                <w:szCs w:val="20"/>
                <w:color w:val="0000FF"/>
                <w:w w:val="93"/>
              </w:rPr>
            </w:pPr>
            <w:hyperlink w:anchor="page70">
              <w:r>
                <w:rPr>
                  <w:rFonts w:ascii="Arial" w:cs="Arial" w:eastAsia="Arial" w:hAnsi="Arial"/>
                  <w:sz w:val="20"/>
                  <w:szCs w:val="20"/>
                  <w:color w:val="0000FF"/>
                  <w:w w:val="93"/>
                </w:rPr>
                <w:t>F-3</w:t>
              </w:r>
            </w:hyperlink>
          </w:p>
        </w:tc>
      </w:tr>
      <w:tr>
        <w:trPr>
          <w:trHeight w:val="250"/>
        </w:trPr>
        <w:tc>
          <w:tcPr>
            <w:tcW w:w="10260" w:type="dxa"/>
            <w:vAlign w:val="bottom"/>
            <w:gridSpan w:val="4"/>
          </w:tcPr>
          <w:p>
            <w:pPr>
              <w:spacing w:after="0"/>
              <w:rPr>
                <w:rFonts w:ascii="Arial" w:cs="Arial" w:eastAsia="Arial" w:hAnsi="Arial"/>
                <w:sz w:val="20"/>
                <w:szCs w:val="20"/>
                <w:u w:val="single" w:color="auto"/>
                <w:color w:val="0000FF"/>
              </w:rPr>
            </w:pPr>
            <w:hyperlink w:anchor="page72">
              <w:r>
                <w:rPr>
                  <w:rFonts w:ascii="Arial" w:cs="Arial" w:eastAsia="Arial" w:hAnsi="Arial"/>
                  <w:sz w:val="20"/>
                  <w:szCs w:val="20"/>
                  <w:u w:val="single" w:color="auto"/>
                  <w:color w:val="0000FF"/>
                </w:rPr>
                <w:t>Consolidated Statements of Operations</w:t>
              </w:r>
            </w:hyperlink>
          </w:p>
        </w:tc>
        <w:tc>
          <w:tcPr>
            <w:tcW w:w="300" w:type="dxa"/>
            <w:vAlign w:val="bottom"/>
            <w:tcBorders>
              <w:bottom w:val="single" w:sz="8" w:color="0000FF"/>
            </w:tcBorders>
          </w:tcPr>
          <w:p>
            <w:pPr>
              <w:spacing w:after="0"/>
              <w:rPr>
                <w:rFonts w:ascii="Arial" w:cs="Arial" w:eastAsia="Arial" w:hAnsi="Arial"/>
                <w:sz w:val="20"/>
                <w:szCs w:val="20"/>
                <w:color w:val="0000FF"/>
                <w:w w:val="93"/>
              </w:rPr>
            </w:pPr>
            <w:hyperlink w:anchor="page72">
              <w:r>
                <w:rPr>
                  <w:rFonts w:ascii="Arial" w:cs="Arial" w:eastAsia="Arial" w:hAnsi="Arial"/>
                  <w:sz w:val="20"/>
                  <w:szCs w:val="20"/>
                  <w:color w:val="0000FF"/>
                  <w:w w:val="93"/>
                </w:rPr>
                <w:t>F-5</w:t>
              </w:r>
            </w:hyperlink>
          </w:p>
        </w:tc>
      </w:tr>
      <w:tr>
        <w:trPr>
          <w:trHeight w:val="250"/>
        </w:trPr>
        <w:tc>
          <w:tcPr>
            <w:tcW w:w="10260" w:type="dxa"/>
            <w:vAlign w:val="bottom"/>
            <w:gridSpan w:val="4"/>
          </w:tcPr>
          <w:p>
            <w:pPr>
              <w:spacing w:after="0"/>
              <w:rPr>
                <w:rFonts w:ascii="Arial" w:cs="Arial" w:eastAsia="Arial" w:hAnsi="Arial"/>
                <w:sz w:val="20"/>
                <w:szCs w:val="20"/>
                <w:color w:val="0000FF"/>
              </w:rPr>
            </w:pPr>
            <w:hyperlink w:anchor="page73">
              <w:r>
                <w:rPr>
                  <w:rFonts w:ascii="Arial" w:cs="Arial" w:eastAsia="Arial" w:hAnsi="Arial"/>
                  <w:sz w:val="20"/>
                  <w:szCs w:val="20"/>
                  <w:u w:val="single" w:color="auto"/>
                  <w:color w:val="0000FF"/>
                </w:rPr>
                <w:t>Consolidated Statements of Changes in Member’s</w:t>
              </w:r>
              <w:r>
                <w:rPr>
                  <w:rFonts w:ascii="Arial" w:cs="Arial" w:eastAsia="Arial" w:hAnsi="Arial"/>
                  <w:sz w:val="20"/>
                  <w:szCs w:val="20"/>
                  <w:color w:val="0000FF"/>
                </w:rPr>
                <w:t xml:space="preserve"> Equity</w:t>
              </w:r>
            </w:hyperlink>
            <w:r>
              <w:rPr>
                <w:rFonts w:ascii="Arial" w:cs="Arial" w:eastAsia="Arial" w:hAnsi="Arial"/>
                <w:sz w:val="20"/>
                <w:szCs w:val="20"/>
                <w:color w:val="0000FF"/>
              </w:rPr>
              <w:t>/Stockholders’ Deficit</w:t>
            </w:r>
          </w:p>
        </w:tc>
        <w:tc>
          <w:tcPr>
            <w:tcW w:w="300" w:type="dxa"/>
            <w:vAlign w:val="bottom"/>
          </w:tcPr>
          <w:p>
            <w:pPr>
              <w:spacing w:after="0"/>
              <w:rPr>
                <w:rFonts w:ascii="Arial" w:cs="Arial" w:eastAsia="Arial" w:hAnsi="Arial"/>
                <w:sz w:val="20"/>
                <w:szCs w:val="20"/>
                <w:color w:val="0000FF"/>
                <w:w w:val="93"/>
              </w:rPr>
            </w:pPr>
            <w:hyperlink w:anchor="page73">
              <w:r>
                <w:rPr>
                  <w:rFonts w:ascii="Arial" w:cs="Arial" w:eastAsia="Arial" w:hAnsi="Arial"/>
                  <w:sz w:val="20"/>
                  <w:szCs w:val="20"/>
                  <w:color w:val="0000FF"/>
                  <w:w w:val="93"/>
                </w:rPr>
                <w:t>F-6</w:t>
              </w:r>
            </w:hyperlink>
          </w:p>
        </w:tc>
      </w:tr>
      <w:tr>
        <w:trPr>
          <w:trHeight w:val="250"/>
        </w:trPr>
        <w:tc>
          <w:tcPr>
            <w:tcW w:w="5020" w:type="dxa"/>
            <w:vAlign w:val="bottom"/>
          </w:tcPr>
          <w:p>
            <w:pPr>
              <w:spacing w:after="0"/>
              <w:rPr>
                <w:rFonts w:ascii="Arial" w:cs="Arial" w:eastAsia="Arial" w:hAnsi="Arial"/>
                <w:sz w:val="20"/>
                <w:szCs w:val="20"/>
                <w:u w:val="single" w:color="auto"/>
                <w:color w:val="0000FF"/>
              </w:rPr>
            </w:pPr>
            <w:hyperlink w:anchor="page74">
              <w:r>
                <w:rPr>
                  <w:rFonts w:ascii="Arial" w:cs="Arial" w:eastAsia="Arial" w:hAnsi="Arial"/>
                  <w:sz w:val="20"/>
                  <w:szCs w:val="20"/>
                  <w:u w:val="single" w:color="auto"/>
                  <w:color w:val="0000FF"/>
                </w:rPr>
                <w:t>Consolidated Statements of Cash Flows</w:t>
              </w:r>
            </w:hyperlink>
          </w:p>
        </w:tc>
        <w:tc>
          <w:tcPr>
            <w:tcW w:w="1860" w:type="dxa"/>
            <w:vAlign w:val="bottom"/>
            <w:tcBorders>
              <w:top w:val="single" w:sz="8" w:color="0000FF"/>
            </w:tcBorders>
            <w:gridSpan w:val="2"/>
          </w:tcPr>
          <w:p>
            <w:pPr>
              <w:spacing w:after="0"/>
              <w:rPr>
                <w:sz w:val="21"/>
                <w:szCs w:val="21"/>
                <w:color w:val="auto"/>
              </w:rPr>
            </w:pPr>
          </w:p>
        </w:tc>
        <w:tc>
          <w:tcPr>
            <w:tcW w:w="3380" w:type="dxa"/>
            <w:vAlign w:val="bottom"/>
          </w:tcPr>
          <w:p>
            <w:pPr>
              <w:spacing w:after="0"/>
              <w:rPr>
                <w:sz w:val="21"/>
                <w:szCs w:val="21"/>
                <w:color w:val="auto"/>
              </w:rPr>
            </w:pPr>
          </w:p>
        </w:tc>
        <w:tc>
          <w:tcPr>
            <w:tcW w:w="300" w:type="dxa"/>
            <w:vAlign w:val="bottom"/>
            <w:tcBorders>
              <w:top w:val="single" w:sz="8" w:color="0000FF"/>
              <w:bottom w:val="single" w:sz="8" w:color="0000FF"/>
            </w:tcBorders>
          </w:tcPr>
          <w:p>
            <w:pPr>
              <w:spacing w:after="0"/>
              <w:rPr>
                <w:rFonts w:ascii="Arial" w:cs="Arial" w:eastAsia="Arial" w:hAnsi="Arial"/>
                <w:sz w:val="20"/>
                <w:szCs w:val="20"/>
                <w:color w:val="0000FF"/>
                <w:w w:val="93"/>
              </w:rPr>
            </w:pPr>
            <w:hyperlink w:anchor="page74">
              <w:r>
                <w:rPr>
                  <w:rFonts w:ascii="Arial" w:cs="Arial" w:eastAsia="Arial" w:hAnsi="Arial"/>
                  <w:sz w:val="20"/>
                  <w:szCs w:val="20"/>
                  <w:color w:val="0000FF"/>
                  <w:w w:val="93"/>
                </w:rPr>
                <w:t>F-7</w:t>
              </w:r>
            </w:hyperlink>
          </w:p>
        </w:tc>
      </w:tr>
      <w:tr>
        <w:trPr>
          <w:trHeight w:val="250"/>
        </w:trPr>
        <w:tc>
          <w:tcPr>
            <w:tcW w:w="10260" w:type="dxa"/>
            <w:vAlign w:val="bottom"/>
            <w:gridSpan w:val="4"/>
          </w:tcPr>
          <w:p>
            <w:pPr>
              <w:spacing w:after="0"/>
              <w:rPr>
                <w:rFonts w:ascii="Arial" w:cs="Arial" w:eastAsia="Arial" w:hAnsi="Arial"/>
                <w:sz w:val="20"/>
                <w:szCs w:val="20"/>
                <w:u w:val="single" w:color="auto"/>
                <w:color w:val="0000FF"/>
              </w:rPr>
            </w:pPr>
            <w:hyperlink w:anchor="page76">
              <w:r>
                <w:rPr>
                  <w:rFonts w:ascii="Arial" w:cs="Arial" w:eastAsia="Arial" w:hAnsi="Arial"/>
                  <w:sz w:val="20"/>
                  <w:szCs w:val="20"/>
                  <w:u w:val="single" w:color="auto"/>
                  <w:color w:val="0000FF"/>
                </w:rPr>
                <w:t>Notes to Consolidated Financial Statements</w:t>
              </w:r>
            </w:hyperlink>
          </w:p>
        </w:tc>
        <w:tc>
          <w:tcPr>
            <w:tcW w:w="300" w:type="dxa"/>
            <w:vAlign w:val="bottom"/>
            <w:tcBorders>
              <w:bottom w:val="single" w:sz="8" w:color="0000FF"/>
            </w:tcBorders>
          </w:tcPr>
          <w:p>
            <w:pPr>
              <w:spacing w:after="0"/>
              <w:rPr>
                <w:rFonts w:ascii="Arial" w:cs="Arial" w:eastAsia="Arial" w:hAnsi="Arial"/>
                <w:sz w:val="20"/>
                <w:szCs w:val="20"/>
                <w:color w:val="0000FF"/>
                <w:w w:val="93"/>
              </w:rPr>
            </w:pPr>
            <w:hyperlink w:anchor="page76">
              <w:r>
                <w:rPr>
                  <w:rFonts w:ascii="Arial" w:cs="Arial" w:eastAsia="Arial" w:hAnsi="Arial"/>
                  <w:sz w:val="20"/>
                  <w:szCs w:val="20"/>
                  <w:color w:val="0000FF"/>
                  <w:w w:val="93"/>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41" w:right="1019" w:bottom="1440" w:gutter="0" w:footer="0" w:header="0"/>
        </w:sectPr>
      </w:pPr>
    </w:p>
    <w:bookmarkStart w:id="69" w:name="page70"/>
    <w:bookmarkEnd w:id="69"/>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Array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Array Technologies, Inc. and Subsidiaries (the “Company”) as of December 31, 2020 and 2019, the related consolidated statements of operations, changes in member’s equity/stockholders’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14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68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8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Assets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310,262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44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50,995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receivable, net</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118,694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96,251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118,459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148,024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receivables</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13,524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8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Total Current Assets</w:t>
            </w: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375,175</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619,684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9,774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10,660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198,260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223,510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3,088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820" w:type="dxa"/>
            <w:vAlign w:val="bottom"/>
          </w:tcPr>
          <w:p>
            <w:pPr>
              <w:ind w:left="440"/>
              <w:spacing w:after="0"/>
              <w:rPr>
                <w:sz w:val="20"/>
                <w:szCs w:val="20"/>
                <w:color w:val="auto"/>
              </w:rPr>
            </w:pPr>
            <w:r>
              <w:rPr>
                <w:rFonts w:ascii="Arial" w:cs="Arial" w:eastAsia="Arial" w:hAnsi="Arial"/>
                <w:sz w:val="20"/>
                <w:szCs w:val="20"/>
                <w:b w:val="1"/>
                <w:bCs w:val="1"/>
                <w:color w:val="auto"/>
              </w:rPr>
              <w:t>Total Assets</w:t>
            </w: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656,024</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923,581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6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 and Member’s Equity/Stockholders’ Deficit</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82,755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129,584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2,232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5,922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3,049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2,592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149,821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328,781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8,955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Current portion of long-term debt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4,313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55,949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related party loans</w:t>
            </w:r>
          </w:p>
        </w:tc>
        <w:tc>
          <w:tcPr>
            <w:tcW w:w="4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41,800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20"/>
                <w:szCs w:val="20"/>
                <w:color w:val="auto"/>
              </w:rPr>
              <w:t>Total Current Liabilities</w:t>
            </w:r>
          </w:p>
        </w:tc>
        <w:tc>
          <w:tcPr>
            <w:tcW w:w="4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289,103</w:t>
            </w:r>
          </w:p>
        </w:tc>
        <w:tc>
          <w:tcPr>
            <w:tcW w:w="10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590,620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8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13,114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15,853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11,957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Long-term debt, net of current portion, debt discount and issuance costs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423,970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Total Long-Term Liabilities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447,820</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27,810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820" w:type="dxa"/>
            <w:vAlign w:val="bottom"/>
          </w:tcPr>
          <w:p>
            <w:pPr>
              <w:ind w:left="440"/>
              <w:spacing w:after="0"/>
              <w:rPr>
                <w:sz w:val="20"/>
                <w:szCs w:val="20"/>
                <w:color w:val="auto"/>
              </w:rPr>
            </w:pPr>
            <w:r>
              <w:rPr>
                <w:rFonts w:ascii="Arial" w:cs="Arial" w:eastAsia="Arial" w:hAnsi="Arial"/>
                <w:sz w:val="20"/>
                <w:szCs w:val="20"/>
                <w:color w:val="auto"/>
              </w:rPr>
              <w:t>Total Liabilities</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736,923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618,430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13)</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Member’s equity</w:t>
            </w:r>
          </w:p>
        </w:tc>
        <w:tc>
          <w:tcPr>
            <w:tcW w:w="44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305,151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Deficit</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6820" w:type="dxa"/>
            <w:vAlign w:val="bottom"/>
          </w:tcPr>
          <w:p>
            <w:pPr>
              <w:ind w:left="240"/>
              <w:spacing w:after="0" w:line="199" w:lineRule="exact"/>
              <w:rPr>
                <w:sz w:val="20"/>
                <w:szCs w:val="20"/>
                <w:color w:val="auto"/>
              </w:rPr>
            </w:pPr>
            <w:r>
              <w:rPr>
                <w:rFonts w:ascii="Arial" w:cs="Arial" w:eastAsia="Arial" w:hAnsi="Arial"/>
                <w:sz w:val="20"/>
                <w:szCs w:val="20"/>
                <w:color w:val="auto"/>
              </w:rPr>
              <w:t>Preferred stock of $0.001 par value - authorized 5,000,000 shares as of</w:t>
            </w:r>
          </w:p>
        </w:tc>
        <w:tc>
          <w:tcPr>
            <w:tcW w:w="440" w:type="dxa"/>
            <w:vAlign w:val="bottom"/>
          </w:tcPr>
          <w:p>
            <w:pPr>
              <w:spacing w:after="0"/>
              <w:rPr>
                <w:sz w:val="17"/>
                <w:szCs w:val="17"/>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17"/>
                <w:szCs w:val="17"/>
                <w:color w:val="auto"/>
              </w:rPr>
            </w:pPr>
          </w:p>
        </w:tc>
        <w:tc>
          <w:tcPr>
            <w:tcW w:w="1500" w:type="dxa"/>
            <w:vAlign w:val="bottom"/>
            <w:gridSpan w:val="2"/>
            <w:vMerge w:val="restart"/>
          </w:tcPr>
          <w:p>
            <w:pPr>
              <w:jc w:val="right"/>
              <w:ind w:right="4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Arial" w:cs="Arial" w:eastAsia="Arial" w:hAnsi="Arial"/>
                <w:sz w:val="20"/>
                <w:szCs w:val="20"/>
                <w:color w:val="auto"/>
              </w:rPr>
              <w:t>December 31, 2020; none issued as of December 31, 2020</w:t>
            </w:r>
          </w:p>
        </w:tc>
        <w:tc>
          <w:tcPr>
            <w:tcW w:w="44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360" w:type="dxa"/>
            <w:vAlign w:val="bottom"/>
          </w:tcPr>
          <w:p>
            <w:pPr>
              <w:spacing w:after="0"/>
              <w:rPr>
                <w:sz w:val="24"/>
                <w:szCs w:val="24"/>
                <w:color w:val="auto"/>
              </w:rPr>
            </w:pPr>
          </w:p>
        </w:tc>
        <w:tc>
          <w:tcPr>
            <w:tcW w:w="6820" w:type="dxa"/>
            <w:vAlign w:val="bottom"/>
          </w:tcPr>
          <w:p>
            <w:pPr>
              <w:ind w:left="5120"/>
              <w:spacing w:after="0"/>
              <w:rPr>
                <w:sz w:val="20"/>
                <w:szCs w:val="20"/>
                <w:color w:val="auto"/>
              </w:rPr>
            </w:pPr>
            <w:r>
              <w:rPr>
                <w:rFonts w:ascii="Arial" w:cs="Arial" w:eastAsia="Arial" w:hAnsi="Arial"/>
                <w:sz w:val="20"/>
                <w:szCs w:val="20"/>
                <w:color w:val="auto"/>
              </w:rPr>
              <w:t>F-3</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6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60" w:type="dxa"/>
        <w:tblCellMar>
          <w:top w:w="0" w:type="dxa"/>
          <w:left w:w="0" w:type="dxa"/>
          <w:bottom w:w="0" w:type="dxa"/>
          <w:right w:w="0" w:type="dxa"/>
        </w:tblCellMar>
      </w:tblPr>
      <w:tr>
        <w:trPr>
          <w:trHeight w:val="266"/>
        </w:trPr>
        <w:tc>
          <w:tcPr>
            <w:tcW w:w="68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ind w:left="240"/>
              <w:spacing w:after="0" w:line="179" w:lineRule="exact"/>
              <w:rPr>
                <w:sz w:val="20"/>
                <w:szCs w:val="20"/>
                <w:color w:val="auto"/>
              </w:rPr>
            </w:pPr>
            <w:r>
              <w:rPr>
                <w:rFonts w:ascii="Arial" w:cs="Arial" w:eastAsia="Arial" w:hAnsi="Arial"/>
                <w:sz w:val="20"/>
                <w:szCs w:val="20"/>
                <w:color w:val="auto"/>
              </w:rPr>
              <w:t>Common stock of $0.001 par value - authorized 1,000,000,000 shares as</w:t>
            </w:r>
          </w:p>
        </w:tc>
        <w:tc>
          <w:tcPr>
            <w:tcW w:w="4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of December 31, 2020; issued: 126,994,467 as of December 31, 2020</w:t>
            </w:r>
          </w:p>
        </w:tc>
        <w:tc>
          <w:tcPr>
            <w:tcW w:w="44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140,473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member’s equity/stockholders’ deficit</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(80,899)</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305,151</w:t>
            </w:r>
          </w:p>
        </w:tc>
        <w:tc>
          <w:tcPr>
            <w:tcW w:w="0" w:type="dxa"/>
            <w:vAlign w:val="bottom"/>
          </w:tcPr>
          <w:p>
            <w:pPr>
              <w:spacing w:after="0"/>
              <w:rPr>
                <w:sz w:val="1"/>
                <w:szCs w:val="1"/>
                <w:color w:val="auto"/>
              </w:rPr>
            </w:pPr>
          </w:p>
        </w:tc>
      </w:tr>
      <w:tr>
        <w:trPr>
          <w:trHeight w:val="26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Total Liabilities and Member’s Equity/Stockholders’ Deficit</w:t>
            </w:r>
          </w:p>
        </w:tc>
        <w:tc>
          <w:tcPr>
            <w:tcW w:w="4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656,024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923,581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41" w:right="69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6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b w:val="1"/>
                <w:bCs w:val="1"/>
                <w:color w:val="auto"/>
                <w:w w:val="98"/>
              </w:rPr>
              <w:t>Year Ended December 31,</w:t>
            </w: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647,899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290,783</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Revenues</w:t>
            </w:r>
          </w:p>
        </w:tc>
        <w:tc>
          <w:tcPr>
            <w:tcW w:w="1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669,861</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497,138</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279,228</w:t>
            </w: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202,801</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150,761</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11,555</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55,634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41,212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46,878</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(825)</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25,500</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26,708</w:t>
            </w: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107,589</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67,352</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72,761</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95,212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83,409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(61,206)</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Expense</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(2,305)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(447)</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(15,129)</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(18,797)</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(19,043)</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1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(17,434)</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(19,490)</w:t>
            </w:r>
          </w:p>
        </w:tc>
        <w:tc>
          <w:tcPr>
            <w:tcW w:w="0" w:type="dxa"/>
            <w:vAlign w:val="bottom"/>
          </w:tcPr>
          <w:p>
            <w:pPr>
              <w:spacing w:after="0"/>
              <w:rPr>
                <w:sz w:val="1"/>
                <w:szCs w:val="1"/>
                <w:color w:val="auto"/>
              </w:rPr>
            </w:pPr>
          </w:p>
        </w:tc>
      </w:tr>
      <w:tr>
        <w:trPr>
          <w:trHeight w:val="169"/>
        </w:trPr>
        <w:tc>
          <w:tcPr>
            <w:tcW w:w="416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Income (Loss) Before Income Tax Expense</w:t>
            </w:r>
          </w:p>
        </w:tc>
        <w:tc>
          <w:tcPr>
            <w:tcW w:w="1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77,778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64,579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(80,696)</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(Benefit)</w:t>
            </w:r>
          </w:p>
        </w:tc>
        <w:tc>
          <w:tcPr>
            <w:tcW w:w="14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1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24,834</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(19,932)</w:t>
            </w: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Income (loss)</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39,745</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Earnings (loss) per share</w:t>
            </w:r>
          </w:p>
        </w:tc>
        <w:tc>
          <w:tcPr>
            <w:tcW w:w="1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Arial" w:cs="Arial" w:eastAsia="Arial" w:hAnsi="Arial"/>
                <w:sz w:val="20"/>
                <w:szCs w:val="20"/>
                <w:color w:val="auto"/>
              </w:rPr>
              <w:t>Basic</w:t>
            </w:r>
          </w:p>
        </w:tc>
        <w:tc>
          <w:tcPr>
            <w:tcW w:w="1440" w:type="dxa"/>
            <w:vAlign w:val="bottom"/>
          </w:tcPr>
          <w:p>
            <w:pPr>
              <w:jc w:val="right"/>
              <w:ind w:right="120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0.49</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0.33</w:t>
            </w:r>
          </w:p>
        </w:tc>
        <w:tc>
          <w:tcPr>
            <w:tcW w:w="80" w:type="dxa"/>
            <w:vAlign w:val="bottom"/>
          </w:tcPr>
          <w:p>
            <w:pPr>
              <w:spacing w:after="0"/>
              <w:rPr>
                <w:sz w:val="21"/>
                <w:szCs w:val="21"/>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0.49</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0.33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Weighted average number of shares</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4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121,467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119,994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1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121,514</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rPr>
              <w:t>119,994</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b w:val="1"/>
          <w:bCs w:val="1"/>
          <w:color w:val="auto"/>
        </w:rPr>
        <w:t xml:space="preserve">Array Technologies, Inc. and Subsidiaries Consolidated Statements of Changes in Member’s Equity/Stockholders’ Deficit </w:t>
      </w: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4"/>
            <w:vMerge w:val="restart"/>
          </w:tcPr>
          <w:p>
            <w:pPr>
              <w:ind w:left="20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tcPr>
          <w:p>
            <w:pPr>
              <w:spacing w:after="0"/>
              <w:rPr>
                <w:sz w:val="19"/>
                <w:szCs w:val="19"/>
                <w:color w:val="auto"/>
              </w:rPr>
            </w:pPr>
          </w:p>
        </w:tc>
        <w:tc>
          <w:tcPr>
            <w:tcW w:w="1700" w:type="dxa"/>
            <w:vAlign w:val="bottom"/>
            <w:gridSpan w:val="4"/>
            <w:vMerge w:val="restart"/>
          </w:tcPr>
          <w:p>
            <w:pPr>
              <w:jc w:val="right"/>
              <w:ind w:right="21"/>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20"/>
                <w:szCs w:val="20"/>
                <w:b w:val="1"/>
                <w:bCs w:val="1"/>
                <w:color w:val="auto"/>
              </w:rPr>
              <w:t>Additional</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81"/>
              <w:spacing w:after="0"/>
              <w:rPr>
                <w:sz w:val="20"/>
                <w:szCs w:val="20"/>
                <w:color w:val="auto"/>
              </w:rPr>
            </w:pPr>
            <w:r>
              <w:rPr>
                <w:rFonts w:ascii="Arial" w:cs="Arial" w:eastAsia="Arial" w:hAnsi="Arial"/>
                <w:sz w:val="20"/>
                <w:szCs w:val="20"/>
                <w:b w:val="1"/>
                <w:bCs w:val="1"/>
                <w:color w:val="auto"/>
              </w:rPr>
              <w:t>Total Member’s</w:t>
            </w: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40"/>
              <w:spacing w:after="0" w:line="162" w:lineRule="exact"/>
              <w:rPr>
                <w:sz w:val="20"/>
                <w:szCs w:val="20"/>
                <w:color w:val="auto"/>
              </w:rPr>
            </w:pPr>
            <w:r>
              <w:rPr>
                <w:rFonts w:ascii="Arial" w:cs="Arial" w:eastAsia="Arial" w:hAnsi="Arial"/>
                <w:sz w:val="18"/>
                <w:szCs w:val="18"/>
                <w:b w:val="1"/>
                <w:bCs w:val="1"/>
                <w:color w:val="auto"/>
              </w:rPr>
              <w:t>paid-in</w:t>
            </w:r>
          </w:p>
        </w:tc>
        <w:tc>
          <w:tcPr>
            <w:tcW w:w="1100" w:type="dxa"/>
            <w:vAlign w:val="bottom"/>
            <w:gridSpan w:val="3"/>
          </w:tcPr>
          <w:p>
            <w:pPr>
              <w:ind w:left="100"/>
              <w:spacing w:after="0" w:line="162" w:lineRule="exact"/>
              <w:rPr>
                <w:sz w:val="20"/>
                <w:szCs w:val="20"/>
                <w:color w:val="auto"/>
              </w:rPr>
            </w:pPr>
            <w:r>
              <w:rPr>
                <w:rFonts w:ascii="Arial" w:cs="Arial" w:eastAsia="Arial" w:hAnsi="Arial"/>
                <w:sz w:val="18"/>
                <w:szCs w:val="18"/>
                <w:b w:val="1"/>
                <w:bCs w:val="1"/>
                <w:color w:val="auto"/>
              </w:rPr>
              <w:t>Retained</w:t>
            </w:r>
          </w:p>
        </w:tc>
        <w:tc>
          <w:tcPr>
            <w:tcW w:w="2000" w:type="dxa"/>
            <w:vAlign w:val="bottom"/>
            <w:gridSpan w:val="2"/>
          </w:tcPr>
          <w:p>
            <w:pPr>
              <w:ind w:left="20"/>
              <w:spacing w:after="0" w:line="162" w:lineRule="exact"/>
              <w:rPr>
                <w:sz w:val="20"/>
                <w:szCs w:val="20"/>
                <w:color w:val="auto"/>
              </w:rPr>
            </w:pPr>
            <w:r>
              <w:rPr>
                <w:rFonts w:ascii="Arial" w:cs="Arial" w:eastAsia="Arial" w:hAnsi="Arial"/>
                <w:sz w:val="18"/>
                <w:szCs w:val="18"/>
                <w:b w:val="1"/>
                <w:bCs w:val="1"/>
                <w:color w:val="auto"/>
              </w:rPr>
              <w:t>Equity/Stockholders’</w:t>
            </w: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Arial" w:cs="Arial" w:eastAsia="Arial" w:hAnsi="Arial"/>
                <w:sz w:val="20"/>
                <w:szCs w:val="20"/>
                <w:b w:val="1"/>
                <w:bCs w:val="1"/>
                <w:color w:val="auto"/>
              </w:rPr>
              <w:t>Units</w:t>
            </w:r>
          </w:p>
        </w:tc>
        <w:tc>
          <w:tcPr>
            <w:tcW w:w="1040" w:type="dxa"/>
            <w:vAlign w:val="bottom"/>
            <w:gridSpan w:val="2"/>
          </w:tcPr>
          <w:p>
            <w:pPr>
              <w:ind w:left="100"/>
              <w:spacing w:after="0"/>
              <w:rPr>
                <w:sz w:val="20"/>
                <w:szCs w:val="20"/>
                <w:color w:val="auto"/>
              </w:rPr>
            </w:pPr>
            <w:r>
              <w:rPr>
                <w:rFonts w:ascii="Arial" w:cs="Arial" w:eastAsia="Arial" w:hAnsi="Arial"/>
                <w:sz w:val="20"/>
                <w:szCs w:val="20"/>
                <w:b w:val="1"/>
                <w:bCs w:val="1"/>
                <w:color w:val="auto"/>
              </w:rPr>
              <w:t>Amount</w:t>
            </w:r>
          </w:p>
        </w:tc>
        <w:tc>
          <w:tcPr>
            <w:tcW w:w="1040" w:type="dxa"/>
            <w:vAlign w:val="bottom"/>
            <w:gridSpan w:val="2"/>
          </w:tcPr>
          <w:p>
            <w:pPr>
              <w:ind w:left="40"/>
              <w:spacing w:after="0"/>
              <w:rPr>
                <w:sz w:val="20"/>
                <w:szCs w:val="20"/>
                <w:color w:val="auto"/>
              </w:rPr>
            </w:pPr>
            <w:r>
              <w:rPr>
                <w:rFonts w:ascii="Arial" w:cs="Arial" w:eastAsia="Arial" w:hAnsi="Arial"/>
                <w:sz w:val="20"/>
                <w:szCs w:val="20"/>
                <w:b w:val="1"/>
                <w:bCs w:val="1"/>
                <w:color w:val="auto"/>
              </w:rPr>
              <w:t>Shares</w:t>
            </w:r>
          </w:p>
        </w:tc>
        <w:tc>
          <w:tcPr>
            <w:tcW w:w="920" w:type="dxa"/>
            <w:vAlign w:val="bottom"/>
            <w:gridSpan w:val="3"/>
          </w:tcPr>
          <w:p>
            <w:pPr>
              <w:ind w:left="40"/>
              <w:spacing w:after="0"/>
              <w:rPr>
                <w:sz w:val="20"/>
                <w:szCs w:val="20"/>
                <w:color w:val="auto"/>
              </w:rPr>
            </w:pPr>
            <w:r>
              <w:rPr>
                <w:rFonts w:ascii="Arial" w:cs="Arial" w:eastAsia="Arial" w:hAnsi="Arial"/>
                <w:sz w:val="20"/>
                <w:szCs w:val="20"/>
                <w:b w:val="1"/>
                <w:bCs w:val="1"/>
                <w:color w:val="auto"/>
              </w:rPr>
              <w:t>Amount</w:t>
            </w:r>
          </w:p>
        </w:tc>
        <w:tc>
          <w:tcPr>
            <w:tcW w:w="880" w:type="dxa"/>
            <w:vAlign w:val="bottom"/>
            <w:gridSpan w:val="2"/>
          </w:tcPr>
          <w:p>
            <w:pPr>
              <w:ind w:left="60"/>
              <w:spacing w:after="0"/>
              <w:rPr>
                <w:sz w:val="20"/>
                <w:szCs w:val="20"/>
                <w:color w:val="auto"/>
              </w:rPr>
            </w:pPr>
            <w:r>
              <w:rPr>
                <w:rFonts w:ascii="Arial" w:cs="Arial" w:eastAsia="Arial" w:hAnsi="Arial"/>
                <w:sz w:val="20"/>
                <w:szCs w:val="20"/>
                <w:b w:val="1"/>
                <w:bCs w:val="1"/>
                <w:color w:val="auto"/>
              </w:rPr>
              <w:t>Shares</w:t>
            </w:r>
          </w:p>
        </w:tc>
        <w:tc>
          <w:tcPr>
            <w:tcW w:w="900" w:type="dxa"/>
            <w:vAlign w:val="bottom"/>
            <w:gridSpan w:val="3"/>
          </w:tcPr>
          <w:p>
            <w:pPr>
              <w:ind w:left="40"/>
              <w:spacing w:after="0"/>
              <w:rPr>
                <w:sz w:val="20"/>
                <w:szCs w:val="20"/>
                <w:color w:val="auto"/>
              </w:rPr>
            </w:pPr>
            <w:r>
              <w:rPr>
                <w:rFonts w:ascii="Arial" w:cs="Arial" w:eastAsia="Arial" w:hAnsi="Arial"/>
                <w:sz w:val="20"/>
                <w:szCs w:val="20"/>
                <w:b w:val="1"/>
                <w:bCs w:val="1"/>
                <w:color w:val="auto"/>
              </w:rPr>
              <w:t>Amount</w:t>
            </w:r>
          </w:p>
        </w:tc>
        <w:tc>
          <w:tcPr>
            <w:tcW w:w="18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b w:val="1"/>
                <w:bCs w:val="1"/>
                <w:color w:val="auto"/>
              </w:rPr>
              <w:t>capital</w:t>
            </w:r>
          </w:p>
        </w:tc>
        <w:tc>
          <w:tcPr>
            <w:tcW w:w="1100" w:type="dxa"/>
            <w:vAlign w:val="bottom"/>
            <w:gridSpan w:val="3"/>
          </w:tcPr>
          <w:p>
            <w:pPr>
              <w:ind w:left="80"/>
              <w:spacing w:after="0"/>
              <w:rPr>
                <w:sz w:val="20"/>
                <w:szCs w:val="20"/>
                <w:color w:val="auto"/>
              </w:rPr>
            </w:pPr>
            <w:r>
              <w:rPr>
                <w:rFonts w:ascii="Arial" w:cs="Arial" w:eastAsia="Arial" w:hAnsi="Arial"/>
                <w:sz w:val="20"/>
                <w:szCs w:val="20"/>
                <w:b w:val="1"/>
                <w:bCs w:val="1"/>
                <w:color w:val="auto"/>
              </w:rPr>
              <w:t>Earnings</w:t>
            </w:r>
          </w:p>
        </w:tc>
        <w:tc>
          <w:tcPr>
            <w:tcW w:w="200" w:type="dxa"/>
            <w:vAlign w:val="bottom"/>
          </w:tcPr>
          <w:p>
            <w:pPr>
              <w:spacing w:after="0"/>
              <w:rPr>
                <w:sz w:val="21"/>
                <w:szCs w:val="21"/>
                <w:color w:val="auto"/>
              </w:rPr>
            </w:pPr>
          </w:p>
        </w:tc>
        <w:tc>
          <w:tcPr>
            <w:tcW w:w="1800" w:type="dxa"/>
            <w:vAlign w:val="bottom"/>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169"/>
        </w:trPr>
        <w:tc>
          <w:tcPr>
            <w:tcW w:w="15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6"/>
              </w:rPr>
              <w:t>$ 275,238</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580" w:type="dxa"/>
            <w:vAlign w:val="bottom"/>
            <w:gridSpan w:val="2"/>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275,238</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2017</w:t>
            </w:r>
          </w:p>
        </w:tc>
        <w:tc>
          <w:tcPr>
            <w:tcW w:w="5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58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540" w:type="dxa"/>
            <w:vAlign w:val="bottom"/>
          </w:tcPr>
          <w:p>
            <w:pPr>
              <w:ind w:left="20"/>
              <w:spacing w:after="0" w:line="199" w:lineRule="exact"/>
              <w:rPr>
                <w:sz w:val="20"/>
                <w:szCs w:val="20"/>
                <w:color w:val="auto"/>
              </w:rPr>
            </w:pPr>
            <w:r>
              <w:rPr>
                <w:rFonts w:ascii="Arial" w:cs="Arial" w:eastAsia="Arial" w:hAnsi="Arial"/>
                <w:sz w:val="20"/>
                <w:szCs w:val="20"/>
                <w:color w:val="auto"/>
              </w:rPr>
              <w:t>Capital</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50,000</w:t>
            </w:r>
          </w:p>
        </w:tc>
        <w:tc>
          <w:tcPr>
            <w:tcW w:w="80" w:type="dxa"/>
            <w:vAlign w:val="bottom"/>
          </w:tcPr>
          <w:p>
            <w:pPr>
              <w:spacing w:after="0"/>
              <w:rPr>
                <w:sz w:val="17"/>
                <w:szCs w:val="17"/>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 —</w:t>
            </w:r>
          </w:p>
        </w:tc>
        <w:tc>
          <w:tcPr>
            <w:tcW w:w="340" w:type="dxa"/>
            <w:vAlign w:val="bottom"/>
          </w:tcPr>
          <w:p>
            <w:pPr>
              <w:spacing w:after="0"/>
              <w:rPr>
                <w:sz w:val="17"/>
                <w:szCs w:val="17"/>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20"/>
                <w:szCs w:val="20"/>
                <w:color w:val="auto"/>
              </w:rPr>
              <w:t>contribution</w:t>
            </w:r>
          </w:p>
        </w:tc>
        <w:tc>
          <w:tcPr>
            <w:tcW w:w="6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0" w:type="dxa"/>
            <w:vAlign w:val="bottom"/>
          </w:tcPr>
          <w:p>
            <w:pPr>
              <w:spacing w:after="0"/>
              <w:rPr>
                <w:sz w:val="1"/>
                <w:szCs w:val="1"/>
                <w:color w:val="auto"/>
              </w:rPr>
            </w:pPr>
          </w:p>
        </w:tc>
      </w:tr>
      <w:tr>
        <w:trPr>
          <w:trHeight w:val="169"/>
        </w:trPr>
        <w:tc>
          <w:tcPr>
            <w:tcW w:w="1540" w:type="dxa"/>
            <w:vAlign w:val="bottom"/>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264,474</w:t>
            </w:r>
          </w:p>
        </w:tc>
        <w:tc>
          <w:tcPr>
            <w:tcW w:w="80" w:type="dxa"/>
            <w:vAlign w:val="bottom"/>
          </w:tcPr>
          <w:p>
            <w:pPr>
              <w:spacing w:after="0"/>
              <w:rPr>
                <w:sz w:val="16"/>
                <w:szCs w:val="16"/>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264,474</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20"/>
                <w:szCs w:val="20"/>
                <w:b w:val="1"/>
                <w:bCs w:val="1"/>
                <w:color w:val="auto"/>
              </w:rPr>
              <w:t>2018</w:t>
            </w: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5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Capital</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133</w:t>
            </w: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3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contribution</w:t>
            </w:r>
          </w:p>
        </w:tc>
        <w:tc>
          <w:tcPr>
            <w:tcW w:w="66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tcPr>
          <w:p>
            <w:pPr>
              <w:ind w:left="20"/>
              <w:spacing w:after="0" w:line="199" w:lineRule="exact"/>
              <w:rPr>
                <w:sz w:val="20"/>
                <w:szCs w:val="20"/>
                <w:color w:val="auto"/>
              </w:rPr>
            </w:pPr>
            <w:r>
              <w:rPr>
                <w:rFonts w:ascii="Arial" w:cs="Arial" w:eastAsia="Arial" w:hAnsi="Arial"/>
                <w:sz w:val="20"/>
                <w:szCs w:val="20"/>
                <w:color w:val="auto"/>
              </w:rPr>
              <w:t>Equity-based</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799</w:t>
            </w:r>
          </w:p>
        </w:tc>
        <w:tc>
          <w:tcPr>
            <w:tcW w:w="80" w:type="dxa"/>
            <w:vAlign w:val="bottom"/>
          </w:tcPr>
          <w:p>
            <w:pPr>
              <w:spacing w:after="0"/>
              <w:rPr>
                <w:sz w:val="17"/>
                <w:szCs w:val="17"/>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799</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6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0" w:type="dxa"/>
            <w:vAlign w:val="bottom"/>
          </w:tcPr>
          <w:p>
            <w:pPr>
              <w:spacing w:after="0"/>
              <w:rPr>
                <w:sz w:val="1"/>
                <w:szCs w:val="1"/>
                <w:color w:val="auto"/>
              </w:rPr>
            </w:pPr>
          </w:p>
        </w:tc>
      </w:tr>
      <w:tr>
        <w:trPr>
          <w:trHeight w:val="169"/>
        </w:trPr>
        <w:tc>
          <w:tcPr>
            <w:tcW w:w="1540" w:type="dxa"/>
            <w:vAlign w:val="bottom"/>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5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305,151</w:t>
            </w:r>
          </w:p>
        </w:tc>
        <w:tc>
          <w:tcPr>
            <w:tcW w:w="80" w:type="dxa"/>
            <w:vAlign w:val="bottom"/>
          </w:tcPr>
          <w:p>
            <w:pPr>
              <w:spacing w:after="0"/>
              <w:rPr>
                <w:sz w:val="16"/>
                <w:szCs w:val="16"/>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b w:val="1"/>
                <w:bCs w:val="1"/>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16"/>
                <w:szCs w:val="16"/>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305,151</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20"/>
                <w:szCs w:val="20"/>
                <w:b w:val="1"/>
                <w:bCs w:val="1"/>
                <w:color w:val="auto"/>
              </w:rPr>
              <w:t>2019</w:t>
            </w:r>
          </w:p>
        </w:tc>
        <w:tc>
          <w:tcPr>
            <w:tcW w:w="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Special</w:t>
            </w: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distribution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(589,000)</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(589,000)</w:t>
            </w:r>
          </w:p>
        </w:tc>
        <w:tc>
          <w:tcPr>
            <w:tcW w:w="0" w:type="dxa"/>
            <w:vAlign w:val="bottom"/>
          </w:tcPr>
          <w:p>
            <w:pPr>
              <w:spacing w:after="0"/>
              <w:rPr>
                <w:sz w:val="1"/>
                <w:szCs w:val="1"/>
                <w:color w:val="auto"/>
              </w:rPr>
            </w:pPr>
          </w:p>
        </w:tc>
      </w:tr>
      <w:tr>
        <w:trPr>
          <w:trHeight w:val="199"/>
        </w:trPr>
        <w:tc>
          <w:tcPr>
            <w:tcW w:w="1540" w:type="dxa"/>
            <w:vAlign w:val="bottom"/>
          </w:tcPr>
          <w:p>
            <w:pPr>
              <w:ind w:left="20"/>
              <w:spacing w:after="0" w:line="199" w:lineRule="exact"/>
              <w:rPr>
                <w:sz w:val="20"/>
                <w:szCs w:val="20"/>
                <w:color w:val="auto"/>
              </w:rPr>
            </w:pPr>
            <w:r>
              <w:rPr>
                <w:rFonts w:ascii="Arial" w:cs="Arial" w:eastAsia="Arial" w:hAnsi="Arial"/>
                <w:sz w:val="20"/>
                <w:szCs w:val="20"/>
                <w:color w:val="auto"/>
              </w:rPr>
              <w:t>Initial public</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offering 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common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net 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underwriting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discounts and</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7,000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145,525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145,532</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20"/>
                <w:szCs w:val="20"/>
                <w:color w:val="auto"/>
              </w:rPr>
              <w:t>commissions</w:t>
            </w:r>
          </w:p>
        </w:tc>
        <w:tc>
          <w:tcPr>
            <w:tcW w:w="66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w w:val="99"/>
              </w:rPr>
              <w:t>Deferred offering</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(6,464)</w:t>
            </w:r>
          </w:p>
        </w:tc>
        <w:tc>
          <w:tcPr>
            <w:tcW w:w="0" w:type="dxa"/>
            <w:vAlign w:val="bottom"/>
          </w:tcPr>
          <w:p>
            <w:pPr>
              <w:spacing w:after="0"/>
              <w:rPr>
                <w:sz w:val="1"/>
                <w:szCs w:val="1"/>
                <w:color w:val="auto"/>
              </w:rPr>
            </w:pPr>
          </w:p>
        </w:tc>
      </w:tr>
      <w:tr>
        <w:trPr>
          <w:trHeight w:val="23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costs</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tcPr>
          <w:p>
            <w:pPr>
              <w:ind w:left="20"/>
              <w:spacing w:after="0" w:line="199" w:lineRule="exact"/>
              <w:rPr>
                <w:sz w:val="20"/>
                <w:szCs w:val="20"/>
                <w:color w:val="auto"/>
              </w:rPr>
            </w:pPr>
            <w:r>
              <w:rPr>
                <w:rFonts w:ascii="Arial" w:cs="Arial" w:eastAsia="Arial" w:hAnsi="Arial"/>
                <w:sz w:val="20"/>
                <w:szCs w:val="20"/>
                <w:color w:val="auto"/>
              </w:rPr>
              <w:t>Stock</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compensation</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3,397</w:t>
            </w:r>
          </w:p>
        </w:tc>
        <w:tc>
          <w:tcPr>
            <w:tcW w:w="80" w:type="dxa"/>
            <w:vAlign w:val="bottom"/>
          </w:tcPr>
          <w:p>
            <w:pPr>
              <w:spacing w:after="0"/>
              <w:rPr>
                <w:sz w:val="16"/>
                <w:szCs w:val="16"/>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4,809</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20"/>
                <w:szCs w:val="20"/>
                <w:color w:val="auto"/>
              </w:rPr>
              <w:t>expense</w:t>
            </w:r>
          </w:p>
        </w:tc>
        <w:tc>
          <w:tcPr>
            <w:tcW w:w="6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Net income</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71,394</w:t>
            </w: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(12,321)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0" w:type="dxa"/>
            <w:vAlign w:val="bottom"/>
          </w:tcPr>
          <w:p>
            <w:pPr>
              <w:spacing w:after="0"/>
              <w:rPr>
                <w:sz w:val="1"/>
                <w:szCs w:val="1"/>
                <w:color w:val="auto"/>
              </w:rPr>
            </w:pPr>
          </w:p>
        </w:tc>
      </w:tr>
      <w:tr>
        <w:trPr>
          <w:trHeight w:val="233"/>
        </w:trPr>
        <w:tc>
          <w:tcPr>
            <w:tcW w:w="1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w:t>
            </w:r>
          </w:p>
        </w:tc>
        <w:tc>
          <w:tcPr>
            <w:tcW w:w="66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tcPr>
          <w:p>
            <w:pPr>
              <w:ind w:left="20"/>
              <w:spacing w:after="0" w:line="199" w:lineRule="exact"/>
              <w:rPr>
                <w:sz w:val="20"/>
                <w:szCs w:val="20"/>
                <w:color w:val="auto"/>
              </w:rPr>
            </w:pPr>
            <w:r>
              <w:rPr>
                <w:rFonts w:ascii="Arial" w:cs="Arial" w:eastAsia="Arial" w:hAnsi="Arial"/>
                <w:sz w:val="20"/>
                <w:szCs w:val="20"/>
                <w:color w:val="auto"/>
              </w:rPr>
              <w:t>Corporate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20"/>
                <w:szCs w:val="20"/>
                <w:color w:val="auto"/>
              </w:rPr>
              <w:t>conversion and</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209,058</w:t>
            </w:r>
          </w:p>
        </w:tc>
        <w:tc>
          <w:tcPr>
            <w:tcW w:w="80" w:type="dxa"/>
            <w:vAlign w:val="bottom"/>
          </w:tcPr>
          <w:p>
            <w:pPr>
              <w:spacing w:after="0"/>
              <w:rPr>
                <w:sz w:val="16"/>
                <w:szCs w:val="16"/>
                <w:color w:val="auto"/>
              </w:rPr>
            </w:pPr>
          </w:p>
        </w:tc>
        <w:tc>
          <w:tcPr>
            <w:tcW w:w="10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119,994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w w:val="98"/>
              </w:rPr>
              <w:t>(209,178)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20"/>
                <w:szCs w:val="20"/>
                <w:color w:val="auto"/>
              </w:rPr>
              <w:t>stock split</w:t>
            </w: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b w:val="1"/>
                <w:bCs w:val="1"/>
                <w:color w:val="auto"/>
                <w:w w:val="99"/>
              </w:rPr>
              <w:t>$—</w:t>
            </w:r>
          </w:p>
        </w:tc>
        <w:tc>
          <w:tcPr>
            <w:tcW w:w="10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b w:val="1"/>
                <w:bCs w:val="1"/>
                <w:color w:val="auto"/>
              </w:rPr>
              <w: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580" w:type="dxa"/>
            <w:vAlign w:val="bottom"/>
            <w:gridSpan w:val="2"/>
            <w:vMerge w:val="restart"/>
            <w:shd w:val="clear" w:color="auto" w:fill="CCEEFF"/>
          </w:tcPr>
          <w:p>
            <w:pPr>
              <w:ind w:left="220"/>
              <w:spacing w:after="0"/>
              <w:rPr>
                <w:sz w:val="20"/>
                <w:szCs w:val="20"/>
                <w:color w:val="auto"/>
              </w:rPr>
            </w:pPr>
            <w:r>
              <w:rPr>
                <w:rFonts w:ascii="Arial" w:cs="Arial" w:eastAsia="Arial" w:hAnsi="Arial"/>
                <w:sz w:val="20"/>
                <w:szCs w:val="20"/>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w w:val="96"/>
              </w:rPr>
              <w:t>126,994</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127</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140,473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u w:val="single" w:color="auto"/>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w w:val="98"/>
              </w:rPr>
              <w:t>(221,499)</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(80,899)</w:t>
            </w:r>
          </w:p>
        </w:tc>
        <w:tc>
          <w:tcPr>
            <w:tcW w:w="0" w:type="dxa"/>
            <w:vAlign w:val="bottom"/>
          </w:tcPr>
          <w:p>
            <w:pPr>
              <w:spacing w:after="0"/>
              <w:rPr>
                <w:sz w:val="1"/>
                <w:szCs w:val="1"/>
                <w:color w:val="auto"/>
              </w:rPr>
            </w:pPr>
          </w:p>
        </w:tc>
      </w:tr>
      <w:tr>
        <w:trPr>
          <w:trHeight w:val="236"/>
        </w:trPr>
        <w:tc>
          <w:tcPr>
            <w:tcW w:w="154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b w:val="1"/>
                <w:bCs w:val="1"/>
                <w:color w:val="auto"/>
              </w:rPr>
              <w:t>2020</w:t>
            </w:r>
          </w:p>
        </w:tc>
        <w:tc>
          <w:tcPr>
            <w:tcW w:w="66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Array Technologies, Inc. and Subsidiaries</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139"/>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100"/>
          </w:cols>
          <w:pgMar w:left="320" w:top="14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3770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44"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20"/>
          <w:szCs w:val="20"/>
          <w:color w:val="auto"/>
        </w:rPr>
        <w:t>Net income (loss)</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037705" cy="30861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Adjustments to reconcile net income (loss) to net cash (used in)</w:t>
      </w:r>
    </w:p>
    <w:p>
      <w:pPr>
        <w:ind w:left="140"/>
        <w:spacing w:after="0"/>
        <w:rPr>
          <w:sz w:val="20"/>
          <w:szCs w:val="20"/>
          <w:color w:val="auto"/>
        </w:rPr>
      </w:pPr>
      <w:r>
        <w:rPr>
          <w:rFonts w:ascii="Arial" w:cs="Arial" w:eastAsia="Arial" w:hAnsi="Arial"/>
          <w:sz w:val="20"/>
          <w:szCs w:val="20"/>
          <w:color w:val="auto"/>
        </w:rPr>
        <w:t>provided by operating activities: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(recovery of)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(benefit) expense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Interest paid-in-kind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inventory obsolescence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Changes in operating assets and liabilities: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(Used in) Provided by Operating Activities</w:t>
      </w:r>
    </w:p>
    <w:p>
      <w:pPr>
        <w:spacing w:after="0" w:line="16" w:lineRule="exact"/>
        <w:rPr>
          <w:sz w:val="20"/>
          <w:szCs w:val="20"/>
          <w:color w:val="auto"/>
        </w:rPr>
      </w:pPr>
    </w:p>
    <w:p>
      <w:pPr>
        <w:ind w:left="240" w:right="1920" w:hanging="215"/>
        <w:spacing w:after="0" w:line="305" w:lineRule="auto"/>
        <w:rPr>
          <w:sz w:val="20"/>
          <w:szCs w:val="20"/>
          <w:color w:val="auto"/>
        </w:rPr>
      </w:pPr>
      <w:r>
        <w:rPr>
          <w:rFonts w:ascii="Arial" w:cs="Arial" w:eastAsia="Arial" w:hAnsi="Arial"/>
          <w:sz w:val="19"/>
          <w:szCs w:val="19"/>
          <w:b w:val="1"/>
          <w:bCs w:val="1"/>
          <w:color w:val="auto"/>
        </w:rPr>
        <w:t xml:space="preserve">Cash Flows from Investing Activities </w:t>
      </w:r>
      <w:r>
        <w:rPr>
          <w:rFonts w:ascii="Arial" w:cs="Arial" w:eastAsia="Arial" w:hAnsi="Arial"/>
          <w:sz w:val="19"/>
          <w:szCs w:val="19"/>
          <w:color w:val="auto"/>
        </w:rPr>
        <w:t>Purchase of property, plant and equipment Internal-use software modification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03770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03770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20"/>
          <w:szCs w:val="20"/>
          <w:color w:val="auto"/>
        </w:rPr>
        <w:t>Net Cash Used in Investing Activities</w:t>
      </w:r>
    </w:p>
    <w:p>
      <w:pPr>
        <w:spacing w:after="0" w:line="16" w:lineRule="exact"/>
        <w:rPr>
          <w:sz w:val="20"/>
          <w:szCs w:val="20"/>
          <w:color w:val="auto"/>
        </w:rPr>
      </w:pPr>
    </w:p>
    <w:p>
      <w:pPr>
        <w:ind w:left="240" w:right="1740" w:hanging="215"/>
        <w:spacing w:after="0" w:line="285" w:lineRule="auto"/>
        <w:rPr>
          <w:sz w:val="20"/>
          <w:szCs w:val="20"/>
          <w:color w:val="auto"/>
        </w:rPr>
      </w:pPr>
      <w:r>
        <w:rPr>
          <w:rFonts w:ascii="Arial" w:cs="Arial" w:eastAsia="Arial" w:hAnsi="Arial"/>
          <w:sz w:val="20"/>
          <w:szCs w:val="20"/>
          <w:b w:val="1"/>
          <w:bCs w:val="1"/>
          <w:color w:val="auto"/>
        </w:rPr>
        <w:t xml:space="preserve">Cash Flows from Financing Activities </w:t>
      </w:r>
      <w:r>
        <w:rPr>
          <w:rFonts w:ascii="Arial" w:cs="Arial" w:eastAsia="Arial" w:hAnsi="Arial"/>
          <w:sz w:val="20"/>
          <w:szCs w:val="20"/>
          <w:color w:val="auto"/>
        </w:rPr>
        <w:t>Principal payments on term loan Proceeds from term loan facility Principal payments on term loan facility Proceeds from (Payments on) revolving loan Proceeds from related party loan Payments on related party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03770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-698500</wp:posOffset>
            </wp:positionV>
            <wp:extent cx="703770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03770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03770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20"/>
          <w:szCs w:val="20"/>
          <w:color w:val="auto"/>
        </w:rPr>
        <w:t>Debt discount and financing costs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Payment of special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7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17145</wp:posOffset>
            </wp:positionV>
            <wp:extent cx="33947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right"/>
              <w:ind w:right="701"/>
              <w:spacing w:after="0"/>
              <w:rPr>
                <w:sz w:val="20"/>
                <w:szCs w:val="20"/>
                <w:color w:val="auto"/>
              </w:rPr>
            </w:pPr>
            <w:r>
              <w:rPr>
                <w:rFonts w:ascii="Arial" w:cs="Arial" w:eastAsia="Arial" w:hAnsi="Arial"/>
                <w:sz w:val="20"/>
                <w:szCs w:val="20"/>
                <w:b w:val="1"/>
                <w:bCs w:val="1"/>
                <w:color w:val="auto"/>
                <w:w w:val="94"/>
              </w:rPr>
              <w:t>2020</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2018</w:t>
            </w:r>
          </w:p>
        </w:tc>
      </w:tr>
      <w:tr>
        <w:trPr>
          <w:trHeight w:val="524"/>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59,073</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39,745</w:t>
            </w:r>
          </w:p>
        </w:tc>
        <w:tc>
          <w:tcPr>
            <w:tcW w:w="80" w:type="dxa"/>
            <w:vAlign w:val="bottom"/>
          </w:tcPr>
          <w:p>
            <w:pPr>
              <w:spacing w:after="0"/>
              <w:rPr>
                <w:sz w:val="24"/>
                <w:szCs w:val="24"/>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(60,764)</w:t>
            </w:r>
          </w:p>
        </w:tc>
      </w:tr>
      <w:tr>
        <w:trPr>
          <w:trHeight w:val="756"/>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595</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(3,986)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3,720</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(2,739)</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22,322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(20,062)</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27,474</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27,316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28,450</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3,366</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3,968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2,991</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3,421</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2,832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705</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4,809</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799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26,441</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640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(825)</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953</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1,387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1,225</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1,742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3,098</w:t>
            </w:r>
          </w:p>
        </w:tc>
      </w:tr>
      <w:tr>
        <w:trPr>
          <w:trHeight w:val="54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(23,038)</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(40,708)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19,399</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28,340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(94,594)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(10,261)</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(16,530)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9,941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1,101</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2,228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(3,010)</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(50,519)</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105,481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6,497</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10,913</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(1,978)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11,058</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6,870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1,944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(178,960)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306,994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7,383</w:t>
            </w:r>
          </w:p>
        </w:tc>
      </w:tr>
      <w:tr>
        <w:trPr>
          <w:trHeight w:val="266"/>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(25,000)</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5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(122,205)</w:t>
            </w: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386,073</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(11,727)</w:t>
            </w:r>
          </w:p>
        </w:tc>
      </w:tr>
      <w:tr>
        <w:trPr>
          <w:trHeight w:val="524"/>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(1,338)</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(1,697)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(2,073)</w:t>
            </w:r>
          </w:p>
        </w:tc>
      </w:tr>
      <w:tr>
        <w:trPr>
          <w:trHeight w:val="266"/>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(4,357)</w:t>
            </w:r>
          </w:p>
        </w:tc>
      </w:tr>
      <w:tr>
        <w:trPr>
          <w:trHeight w:val="25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(1,338)</w:t>
            </w: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(1,697)</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(6,430)</w:t>
            </w:r>
          </w:p>
        </w:tc>
      </w:tr>
      <w:tr>
        <w:trPr>
          <w:trHeight w:val="524"/>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(57,702)</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(25,000)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(64,587)</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575,000</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(115,000)</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(70)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(39,078)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30,465</w:t>
            </w:r>
          </w:p>
        </w:tc>
      </w:tr>
      <w:tr>
        <w:trPr>
          <w:trHeight w:val="270"/>
        </w:trPr>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50,600</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(45,558)</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(12,000)</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(36,011)</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(3,615)</w:t>
            </w:r>
          </w:p>
        </w:tc>
      </w:tr>
      <w:tr>
        <w:trPr>
          <w:trHeight w:val="270"/>
        </w:trPr>
        <w:tc>
          <w:tcPr>
            <w:tcW w:w="1240" w:type="dxa"/>
            <w:vAlign w:val="bottom"/>
          </w:tcPr>
          <w:p>
            <w:pPr>
              <w:jc w:val="right"/>
              <w:ind w:right="1"/>
              <w:spacing w:after="0"/>
              <w:rPr>
                <w:sz w:val="20"/>
                <w:szCs w:val="20"/>
                <w:color w:val="auto"/>
              </w:rPr>
            </w:pPr>
            <w:r>
              <w:rPr>
                <w:rFonts w:ascii="Arial" w:cs="Arial" w:eastAsia="Arial" w:hAnsi="Arial"/>
                <w:sz w:val="20"/>
                <w:szCs w:val="20"/>
                <w:color w:val="auto"/>
              </w:rPr>
              <w:t>(589,000)</w:t>
            </w:r>
          </w:p>
        </w:tc>
        <w:tc>
          <w:tcPr>
            <w:tcW w:w="3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-1544955</wp:posOffset>
            </wp:positionV>
            <wp:extent cx="11912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-2230755</wp:posOffset>
            </wp:positionV>
            <wp:extent cx="11912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580"/>
            <w:col w:w="4640"/>
          </w:cols>
          <w:pgMar w:left="320" w:top="141" w:right="479" w:bottom="1440" w:gutter="0" w:footer="0" w:header="0"/>
          <w:type w:val="continuous"/>
        </w:sect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1" w:right="47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3947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1" w:lineRule="exact"/>
        <w:rPr>
          <w:sz w:val="20"/>
          <w:szCs w:val="20"/>
          <w:color w:val="auto"/>
        </w:rPr>
      </w:pPr>
    </w:p>
    <w:p>
      <w:pPr>
        <w:jc w:val="both"/>
        <w:ind w:left="6460"/>
        <w:spacing w:after="0"/>
        <w:tabs>
          <w:tab w:leader="none" w:pos="8280" w:val="left"/>
          <w:tab w:leader="none" w:pos="10000" w:val="left"/>
        </w:tabs>
        <w:rPr>
          <w:sz w:val="20"/>
          <w:szCs w:val="20"/>
          <w:color w:val="auto"/>
        </w:rPr>
      </w:pPr>
      <w:r>
        <w:rPr>
          <w:rFonts w:ascii="Arial" w:cs="Arial" w:eastAsia="Arial" w:hAnsi="Arial"/>
          <w:sz w:val="20"/>
          <w:szCs w:val="20"/>
          <w:b w:val="1"/>
          <w:bCs w:val="1"/>
          <w:color w:val="auto"/>
        </w:rPr>
        <w:t>2020</w:t>
      </w:r>
      <w:r>
        <w:rPr>
          <w:sz w:val="20"/>
          <w:szCs w:val="20"/>
          <w:color w:val="auto"/>
        </w:rPr>
        <w:tab/>
      </w:r>
      <w:r>
        <w:rPr>
          <w:rFonts w:ascii="Arial" w:cs="Arial" w:eastAsia="Arial" w:hAnsi="Arial"/>
          <w:sz w:val="20"/>
          <w:szCs w:val="20"/>
          <w:b w:val="1"/>
          <w:bCs w:val="1"/>
          <w:color w:val="auto"/>
        </w:rPr>
        <w:t>2019</w:t>
      </w:r>
      <w:r>
        <w:rPr>
          <w:sz w:val="20"/>
          <w:szCs w:val="20"/>
          <w:color w:val="auto"/>
        </w:rPr>
        <w:tab/>
      </w:r>
      <w:r>
        <w:rPr>
          <w:rFonts w:ascii="Arial" w:cs="Arial" w:eastAsia="Arial" w:hAnsi="Arial"/>
          <w:sz w:val="19"/>
          <w:szCs w:val="19"/>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37705"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037705" cy="308610"/>
                    </a:xfrm>
                    <a:prstGeom prst="rect">
                      <a:avLst/>
                    </a:prstGeom>
                    <a:noFill/>
                  </pic:spPr>
                </pic:pic>
              </a:graphicData>
            </a:graphic>
          </wp:anchor>
        </w:drawing>
      </w:r>
    </w:p>
    <w:p>
      <w:pPr>
        <w:sectPr>
          <w:pgSz w:w="11900" w:h="16838" w:orient="portrait"/>
          <w:cols w:equalWidth="0" w:num="1">
            <w:col w:w="11100"/>
          </w:cols>
          <w:pgMar w:left="320" w:top="141" w:right="479" w:bottom="1440" w:gutter="0" w:footer="0" w:header="0"/>
        </w:sectPr>
      </w:pPr>
    </w:p>
    <w:p>
      <w:pPr>
        <w:spacing w:after="0" w:line="46" w:lineRule="exact"/>
        <w:rPr>
          <w:sz w:val="20"/>
          <w:szCs w:val="20"/>
          <w:color w:val="auto"/>
        </w:rPr>
      </w:pPr>
    </w:p>
    <w:p>
      <w:pPr>
        <w:ind w:left="240" w:right="680"/>
        <w:spacing w:after="0" w:line="236" w:lineRule="auto"/>
        <w:rPr>
          <w:sz w:val="20"/>
          <w:szCs w:val="20"/>
          <w:color w:val="auto"/>
        </w:rPr>
      </w:pPr>
      <w:r>
        <w:rPr>
          <w:rFonts w:ascii="Arial" w:cs="Arial" w:eastAsia="Arial" w:hAnsi="Arial"/>
          <w:sz w:val="20"/>
          <w:szCs w:val="20"/>
          <w:color w:val="auto"/>
        </w:rPr>
        <w:t>Proceeds from issuance of Class A Common Stock, net of underwriting discount and commissions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Capital contribution</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(Used in) provided by Financing Activities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Net (Decrease) Increase in Cash, Cash Equivalents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3770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037705" cy="30861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Restricted Cash</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Cash Equivalents and Restricted Cash,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3770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037705" cy="1797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0"/>
          <w:szCs w:val="20"/>
          <w:color w:val="auto"/>
        </w:rPr>
        <w:t>Cash, Cash Equivalents and Restricted Cash, end of year</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145,532</w:t>
            </w:r>
          </w:p>
        </w:tc>
        <w:tc>
          <w:tcPr>
            <w:tcW w:w="4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(6,464)</w:t>
            </w:r>
          </w:p>
        </w:tc>
        <w:tc>
          <w:tcPr>
            <w:tcW w:w="48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66"/>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50,000</w:t>
            </w:r>
          </w:p>
        </w:tc>
      </w:tr>
      <w:tr>
        <w:trPr>
          <w:trHeight w:val="250"/>
        </w:trPr>
        <w:tc>
          <w:tcPr>
            <w:tcW w:w="960" w:type="dxa"/>
            <w:vAlign w:val="bottom"/>
          </w:tcPr>
          <w:p>
            <w:pPr>
              <w:jc w:val="right"/>
              <w:ind w:right="1"/>
              <w:spacing w:after="0"/>
              <w:rPr>
                <w:sz w:val="20"/>
                <w:szCs w:val="20"/>
                <w:color w:val="auto"/>
              </w:rPr>
            </w:pPr>
            <w:r>
              <w:rPr>
                <w:rFonts w:ascii="Arial" w:cs="Arial" w:eastAsia="Arial" w:hAnsi="Arial"/>
                <w:sz w:val="20"/>
                <w:szCs w:val="20"/>
                <w:color w:val="auto"/>
                <w:w w:val="98"/>
              </w:rPr>
              <w:t>(129,273)</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(63,945)</w:t>
            </w:r>
          </w:p>
        </w:tc>
        <w:tc>
          <w:tcPr>
            <w:tcW w:w="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50,863</w:t>
            </w:r>
          </w:p>
        </w:tc>
      </w:tr>
      <w:tr>
        <w:trPr>
          <w:trHeight w:val="470"/>
        </w:trPr>
        <w:tc>
          <w:tcPr>
            <w:tcW w:w="960" w:type="dxa"/>
            <w:vAlign w:val="bottom"/>
          </w:tcPr>
          <w:p>
            <w:pPr>
              <w:jc w:val="right"/>
              <w:ind w:right="1"/>
              <w:spacing w:after="0"/>
              <w:rPr>
                <w:sz w:val="20"/>
                <w:szCs w:val="20"/>
                <w:color w:val="auto"/>
              </w:rPr>
            </w:pPr>
            <w:r>
              <w:rPr>
                <w:rFonts w:ascii="Arial" w:cs="Arial" w:eastAsia="Arial" w:hAnsi="Arial"/>
                <w:sz w:val="20"/>
                <w:szCs w:val="20"/>
                <w:color w:val="auto"/>
                <w:w w:val="98"/>
              </w:rPr>
              <w:t>(252,816)</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320,431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32,706</w:t>
            </w:r>
          </w:p>
        </w:tc>
      </w:tr>
      <w:tr>
        <w:trPr>
          <w:trHeight w:val="266"/>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361,257</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40,826</w:t>
            </w:r>
          </w:p>
        </w:tc>
        <w:tc>
          <w:tcPr>
            <w:tcW w:w="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8,120</w:t>
            </w:r>
          </w:p>
        </w:tc>
      </w:tr>
      <w:tr>
        <w:trPr>
          <w:trHeight w:val="236"/>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108,441</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361,257</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40,826</w:t>
            </w:r>
          </w:p>
        </w:tc>
      </w:tr>
      <w:tr>
        <w:trPr>
          <w:trHeight w:val="21"/>
        </w:trPr>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wp:posOffset>
            </wp:positionV>
            <wp:extent cx="11912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-847725</wp:posOffset>
            </wp:positionV>
            <wp:extent cx="11912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360"/>
          </w:cols>
          <w:pgMar w:left="320" w:top="141" w:right="47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3770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00" w:type="dxa"/>
            <w:vAlign w:val="bottom"/>
          </w:tcPr>
          <w:p>
            <w:pPr>
              <w:ind w:left="240"/>
              <w:spacing w:after="0"/>
              <w:rPr>
                <w:sz w:val="20"/>
                <w:szCs w:val="20"/>
                <w:color w:val="auto"/>
              </w:rPr>
            </w:pPr>
            <w:r>
              <w:rPr>
                <w:rFonts w:ascii="Arial" w:cs="Arial" w:eastAsia="Arial" w:hAnsi="Arial"/>
                <w:sz w:val="20"/>
                <w:szCs w:val="20"/>
                <w:color w:val="auto"/>
              </w:rPr>
              <w:t>Cash paid for interest</w:t>
            </w:r>
          </w:p>
        </w:tc>
        <w:tc>
          <w:tcPr>
            <w:tcW w:w="220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6,935</w:t>
            </w:r>
          </w:p>
        </w:tc>
        <w:tc>
          <w:tcPr>
            <w:tcW w:w="60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11,343</w:t>
            </w:r>
          </w:p>
        </w:tc>
        <w:tc>
          <w:tcPr>
            <w:tcW w:w="6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14,257</w:t>
            </w:r>
          </w:p>
        </w:tc>
      </w:tr>
      <w:tr>
        <w:trPr>
          <w:trHeight w:val="270"/>
        </w:trPr>
        <w:tc>
          <w:tcPr>
            <w:tcW w:w="42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paid for income taxes</w:t>
            </w:r>
          </w:p>
        </w:tc>
        <w:tc>
          <w:tcPr>
            <w:tcW w:w="220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31,103</w:t>
            </w:r>
          </w:p>
        </w:tc>
        <w:tc>
          <w:tcPr>
            <w:tcW w:w="6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443</w:t>
            </w:r>
          </w:p>
        </w:tc>
        <w:tc>
          <w:tcPr>
            <w:tcW w:w="62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176</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1" w:right="47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5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6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we converted from a Delaware limited liability company to a Delaware corporation and changed our name to Array Technologies, Inc. The Company is headquartered in Albuquerque, New Mexico, and manufactures and supplies solar tracking systems and related products for customers across the United States and internationally. The Company, through its wholly-owned subsidiaries, High Desert Finance, LLC (“HDF”) and ATI Investment Holdings, Inc. (“ATI Investment”) owns two other subsidiaries through which it conducts substantially all operations; Array Tech, Inc. and Array Technologies Patent Holdings Co., LLC (“Array”). Former Parent acquired Array on July 8, 2016.</w:t>
      </w:r>
    </w:p>
    <w:p>
      <w:pPr>
        <w:spacing w:after="0" w:line="237"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On October 19, 2020, the Company completed the initial public offering of its common stock (the “IPO”). In the IPO, the Company sold 7,000,000 shares of its common stock at a public offering price of $22.00 per share. The Company received net proceeds of $139.1 million, net of underwriting discounts and commissions of $8.5 million and other offering costs of $6.5 million.</w:t>
      </w:r>
    </w:p>
    <w:p>
      <w:pPr>
        <w:spacing w:after="0" w:line="210"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Accounting and Presentation</w:t>
      </w:r>
    </w:p>
    <w:p>
      <w:pPr>
        <w:spacing w:after="0" w:line="37"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The accompanying consolidated financial statements were prepared on the accrual basis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On October 14, 2020, prior to the issuance of any of our shares of common stock in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37"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The consolidated financial statements include the accounts of Array Technologies, Inc. and its Subsidiaries, which include HDF, ATI Investment and Array. All intercompany accounts and transactions have been eliminated upon consolidation.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materially from those estimates. Significant estimates include impairment of goodwill, impairment of long-lived assets, fair value of contingent consideration, allowance for doubtful accounts, reserve for excess or obsolete inventories, valuation of deferred tax assets and warranty reserve. Management believes that these estimates and assumptions provide a reasonable basis for the fair presentation of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COVID-19 Pandemic</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the Company has maintained uninterrupted business operations with normal turnaround times for its delivery of solar tracking systems. 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Cash Equivalents and Restricted Cash</w:t>
      </w:r>
    </w:p>
    <w:p>
      <w:pPr>
        <w:spacing w:after="0" w:line="37"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The Company considers all highly liquid investments purchased with an original maturity of three months or less to be cash equivalents.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At December 31, 2019, the Company had $51.0 million in restricted cash. The restricted cash secured its standby letter of credit facility which expired August 31, 2020 (see Note 8). As such, the restricted cash is considered a current asset in the accompanying balance sheets.</w:t>
      </w:r>
    </w:p>
    <w:p>
      <w:pPr>
        <w:spacing w:after="0" w:line="220"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The following table provides a reconciliation of cash, cash equivalents and restricted cash as reported within the consolidated balance sheets to the same such amounts shown in the consolidated statements of cash flows (in thousands):</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61"/>
        </w:trPr>
        <w:tc>
          <w:tcPr>
            <w:tcW w:w="4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Borders>
              <w:bottom w:val="single" w:sz="8" w:color="auto"/>
            </w:tcBorders>
          </w:tcPr>
          <w:p>
            <w:pPr>
              <w:spacing w:after="0"/>
              <w:rPr>
                <w:sz w:val="22"/>
                <w:szCs w:val="22"/>
                <w:color w:val="auto"/>
              </w:rPr>
            </w:pPr>
          </w:p>
        </w:tc>
      </w:tr>
      <w:tr>
        <w:trPr>
          <w:trHeight w:val="255"/>
        </w:trPr>
        <w:tc>
          <w:tcPr>
            <w:tcW w:w="48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2019</w:t>
            </w:r>
          </w:p>
        </w:tc>
      </w:tr>
      <w:tr>
        <w:trPr>
          <w:trHeight w:val="250"/>
        </w:trPr>
        <w:tc>
          <w:tcPr>
            <w:tcW w:w="4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2000" w:type="dxa"/>
            <w:vAlign w:val="bottom"/>
            <w:gridSpan w:val="2"/>
            <w:shd w:val="clear" w:color="auto" w:fill="CCEEFF"/>
          </w:tcPr>
          <w:p>
            <w:pPr>
              <w:jc w:val="right"/>
              <w:ind w:right="10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108,441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310,262</w:t>
            </w:r>
          </w:p>
        </w:tc>
      </w:tr>
      <w:tr>
        <w:trPr>
          <w:trHeight w:val="27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Restricted cash</w:t>
            </w:r>
          </w:p>
        </w:tc>
        <w:tc>
          <w:tcPr>
            <w:tcW w:w="7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50,995</w:t>
            </w:r>
          </w:p>
        </w:tc>
      </w:tr>
      <w:tr>
        <w:trPr>
          <w:trHeight w:val="279"/>
        </w:trPr>
        <w:tc>
          <w:tcPr>
            <w:tcW w:w="4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and restricted cash</w:t>
            </w:r>
          </w:p>
        </w:tc>
        <w:tc>
          <w:tcPr>
            <w:tcW w:w="2000" w:type="dxa"/>
            <w:vAlign w:val="bottom"/>
            <w:gridSpan w:val="2"/>
            <w:shd w:val="clear" w:color="auto" w:fill="CCEEFF"/>
          </w:tcPr>
          <w:p>
            <w:pPr>
              <w:jc w:val="right"/>
              <w:ind w:right="10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108,441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1"/>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361,257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Company’s accounts receivable are due primarily from solar contractors across the United States and internationally. Credit is extended in the normal course of business based on evaluation of a customer’s financial condition and, generally, collateral is not required. Trade receivables consist of uncollateralized customer obligations due under normal trade terms requiring payment within 30-60 days of the invoice date. Management regularly reviews outstanding accounts receivable and provides for estimated losses through an allowance for doubtful accounts or direct write-off. In evaluating the level of established reserves, management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auto"/>
        </w:rPr>
        <w:t>makes judgments regarding the customers’ ability to make required payments, economic events, and other factors. As the financial conditions of these customers change, circumstances develop, or additional information becomes available, adjustments to the allowance for doubtful accounts may be required. When deemed uncollectible, the receivable is charged against the allowance or directly written off. At December 31, 2020 and 2019, the allowance for doubtful accounts was $0.7 million and $0.2 million, respectively.</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Amounts retained by project owners under contracts and included in accounts receivable at December 31, 2020 and 2019 were $4.1 million and $6.1 million, respectively. Such retention amounts represent funds withheld by our customers until the products are installed by a third party, arranged by the customer, and the project is declared operational. Retention amounts and length of retention periods may vary. All retention amounts outstanding as of December 31, 2020 are collectible within the next 12 months.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37"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Inventories consist of raw materials and finished goods. Inventories are stated at the lower of cost or estimated net realizable value using the weighted average method. Provisions are made to reduce excess or obsolete inventories to their estimated net realizable values. See Note 3 for a detail of the components that comprise the inventory balance presented on the accompanying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37"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Property, plant and equipment acquired in the acquisition of Array are recorded at fair value at the date of acquisition net of accumulated depreciation and amortization; all other property, plant and equipment are recorded at cost, net of accumulated depreciation and amortization. Improvements, betterments and replacements which significantly extend the life of an asset are capitalized. Depreciation and amortization is computed using the straight-line method over the estimated useful lives of the respective assets. Repair and maintenance costs are expensed as incurred.</w:t>
      </w:r>
    </w:p>
    <w:p>
      <w:pPr>
        <w:spacing w:after="0" w:line="236"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 gain or loss on the sale of property, plant and equipment is calculated as the difference between the cost of the asset disposed of, net of depreciation, and the sales proceeds received. A gain or loss on an asset disposal is recognized in the period that the sale occurs.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result from the use of the assets and their eventual disposition. If the projections indicate that the recorded amounts are not expected to be recoverable, such amounts are reduced to estimated fair value. Fair value is estimated based upon internal evaluation of each asset that includes quantitative analyses of net revenue and cash flows, review of recent sales of similar assets and market responses based upon discussions in connection with offers received from potential buyers. Management determined there was no impairment for the years ended December 31, 2020, 2019 and 2018.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4"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Goodwill reflects the excess of the consideration transferred, including the fair value of any contingent consideration over the assigned fair values of the identifiable net assets acquired. Goodwill is not amortized, and is assigned to the reporting unit and tested for impairment at least on an annual basis. Goodwill is assessed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legal and regulatory environments, and historical performance. If the Company determines that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26" w:lineRule="exact"/>
        <w:rPr>
          <w:sz w:val="20"/>
          <w:szCs w:val="20"/>
          <w:color w:val="auto"/>
        </w:rPr>
      </w:pPr>
    </w:p>
    <w:p>
      <w:pPr>
        <w:jc w:val="both"/>
        <w:ind w:right="120"/>
        <w:spacing w:after="0" w:line="269" w:lineRule="auto"/>
        <w:rPr>
          <w:sz w:val="20"/>
          <w:szCs w:val="20"/>
          <w:color w:val="auto"/>
        </w:rPr>
      </w:pPr>
      <w:r>
        <w:rPr>
          <w:rFonts w:ascii="Arial" w:cs="Arial" w:eastAsia="Arial" w:hAnsi="Arial"/>
          <w:sz w:val="19"/>
          <w:szCs w:val="19"/>
          <w:color w:val="auto"/>
        </w:rPr>
        <w:t>The Company completes its annual goodwill impairment test as of year-end. At December 31, 2020, the Company performed a qualitative assessment of its goodwill. At December 31, 2019 and 2018, the Company performed a quantitative assessment of its goodwill. For the years ended December 31, 2020, 2019 and 2018 no goodwill impairment was recorded by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Amortizable and Other Intangible Assets</w:t>
      </w:r>
    </w:p>
    <w:p>
      <w:pPr>
        <w:spacing w:after="0" w:line="37"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The Company amortizes identifiable intangible assets consisting of developed technology, customer relationships, contractual backlog and internal-use software modifications because these assets have finite lives. The Company’s intangible assets with finite lives are amortized on a straight-line basis over the estimated useful lives. The basis of amortization approximates the pattern in which the assets are utilized, over their estimated useful lives.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Array Technologies trade name has been determined to have an indefinite life and, therefore, is not amortized but is subject to an annual impairment test or at any other time when impairment indicators exist. The Company completed its annual impairment test for its non-amortizable asset (Trade Name) by comparing the estimated fair value to the carrying value of such asset. Based on the results of the tests, the Company did not recognize any impairment charges for the years ended December 31, 2020, 2019 and 2018.</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2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Deferred offering costs consist primarily of registration fees, filing fees, listing fees, specific legal and accounting costs, and transfer agent fees, which are direct and incremental fees related to the IPO. Deferred offering costs were offset against the IPO proceeds.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Discount and Financing Costs</w:t>
      </w:r>
    </w:p>
    <w:p>
      <w:pPr>
        <w:spacing w:after="0" w:line="24"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Debt discount and financing costs incurred to issue debt are deferred and amortized using the effective interest method as a component of interest expense over the life of the related debt agreement. Amortization expense of debt discount and deferred financing costs was $3.4 million, $4.0 million and $3.0 million, respectively, for the years ended December 31, 2020, 2019 and 2018.</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 2020 and 2019</w:t>
      </w:r>
    </w:p>
    <w:p>
      <w:pPr>
        <w:spacing w:after="0" w:line="37"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The Company recognized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33"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The Company’s contracts with customers are predominately accounted for as one performance obligation, as the majority of tasks and services is part of a single project or capability. As these contracts are typically a customized assembly for a customer-specific solution, the Company uses the expected cost-plus margin approach to estimate the standalone selling price of each performance obligation. For contracts with multiple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performance obligations, the Company allocates the contract’s transaction price to each performance obligation using its best estimate of the standalone selling price of each distinct good or service in the contract. 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The Company analyzes its change orders to determine if they should be accounted for as a modification to an existing contract or a new stand-alone contract. The Company’s change orders are generally modifications to existing contracts and are included in the total estimated contract revenue when it is probable that the change order will result in additional value that can be reliably estimated and realized. The majority of the Company’s contracts do not contain variable consideration provisions as a continuation of the original contract.</w:t>
      </w:r>
    </w:p>
    <w:p>
      <w:pPr>
        <w:spacing w:after="0" w:line="225"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The Company’s performance obligations are satisfied predominately over-time as work progresses for its custom assembled solar systems, utilizing an output measure of completed products and based on the timing of the product’s shipments considering the shipping terms described in the contract. In certain situations, when product is still in our custody, and title and risk of loss has passed to the customer (known as bill-and-hold arrangement), revenue will be recognized when all the specific requirements for transfer of control under a bill-and-hold arrangement have been met.</w:t>
      </w:r>
    </w:p>
    <w:p>
      <w:pPr>
        <w:spacing w:after="0" w:line="239" w:lineRule="exact"/>
        <w:rPr>
          <w:sz w:val="20"/>
          <w:szCs w:val="20"/>
          <w:color w:val="auto"/>
        </w:rPr>
      </w:pPr>
    </w:p>
    <w:p>
      <w:pPr>
        <w:jc w:val="both"/>
        <w:ind w:right="240"/>
        <w:spacing w:after="0" w:line="257" w:lineRule="auto"/>
        <w:rPr>
          <w:sz w:val="20"/>
          <w:szCs w:val="20"/>
          <w:color w:val="auto"/>
        </w:rPr>
      </w:pPr>
      <w:r>
        <w:rPr>
          <w:rFonts w:ascii="Arial" w:cs="Arial" w:eastAsia="Arial" w:hAnsi="Arial"/>
          <w:sz w:val="20"/>
          <w:szCs w:val="20"/>
          <w:color w:val="auto"/>
        </w:rPr>
        <w:t>Revenue recognized for the Company’s part sales are recorded at a point in time and recognized when obligations under the terms of the contract with our customer are satisfied. Generally, this occurs with the transfer of control of the asset, which is in line with shipping terms.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33"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Accounting for contracts utilizing the over-time method and their expected cost-plus margins is based on various assumptions to project the outcome of future events that can exceed a year. These assumptions include labor productivity and availability; the complexity of the work to be performed; the cost and availability of materials; and the availability and timing of funding from the customer. The Company reviews and updates its contract-related estimates each reporting period. The Company recognizes adjustments in estimated expected cost-plus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As of December 31, 2020 and December 31, 2019, contract assets consisting of unbilled receivables totaling $18.1 million and $16.1 million, respectively, are included within accounts receivable on the consolidated balance sheets on a contract-by-contract basis at the end of the reporting period. The Company also receives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Based on the terms of the tax incentives the customer must pay for the goods prior to December 31, 2019 which accounts for the increase in the advanced orders and payments and the resulting deferred revenue at December 31, 2019 and subsequent reduction for deliveries which occurred during the year ended December 31, 2020. As of December 31, 2020 and December 31, 2019, contract liabilities consisting of deferred revenue were $149.8 million and $328.8 million, respectively and were recorded on a contract-by-contract basis at the end of each reporting period. During the years ended December 31, 2020 and 2019, the Company converted $328.8 million and $21.8 million deferred revenue to revenue, respectively, which represented 100% of the prior years deferred revenue balance.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33"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As of December 31, 2020, the Company had $455.3 million of remaining performance obligations. The Company expects to recognize revenue on 100% of these performance obligations in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 - 2018</w:t>
      </w:r>
    </w:p>
    <w:p>
      <w:pPr>
        <w:spacing w:after="0" w:line="267" w:lineRule="exact"/>
        <w:rPr>
          <w:sz w:val="20"/>
          <w:szCs w:val="20"/>
          <w:color w:val="auto"/>
        </w:rPr>
      </w:pPr>
    </w:p>
    <w:p>
      <w:pPr>
        <w:jc w:val="both"/>
        <w:ind w:right="40"/>
        <w:spacing w:after="0" w:line="256" w:lineRule="auto"/>
        <w:rPr>
          <w:sz w:val="20"/>
          <w:szCs w:val="20"/>
          <w:color w:val="auto"/>
        </w:rPr>
      </w:pPr>
      <w:r>
        <w:rPr>
          <w:rFonts w:ascii="Arial" w:cs="Arial" w:eastAsia="Arial" w:hAnsi="Arial"/>
          <w:sz w:val="20"/>
          <w:szCs w:val="20"/>
          <w:color w:val="auto"/>
        </w:rPr>
        <w:t>Products are sold by the Company for cash-in-advance and on credit. Revenue is recognized when persuasive evidence of an agreement exists and upon delivery and acceptance, or earlier if required by shipping terms, provided title is transferred, prices are fixed or determinable, and collection is deemed probable. Revenues are presented net of sales, use, value-added and other excise taxes collected by the Company that are remitted to various governmental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Warranty Obligations</w:t>
      </w:r>
    </w:p>
    <w:p>
      <w:pPr>
        <w:spacing w:after="0" w:line="37"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offers an assurance type warranty for its products against defects in design, materials and workmanship for a period ranging from two to twenty years from customer acceptance.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provides for income taxes based on the provisions of FASB ASC Topic 740, Income Taxes,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of such deferred tax assets will not be recognized. Provision for estimated income taxes is based upon elements of income and expense reported in the consolidated statements of operations. The Company also files certain corporate state income tax returns. Generally, the Company is subject to examination by U.S. federal (or state or local) income tax authorities for three years from the filing of a tax return.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Adjustments for penalties and interest, if any, are also reflected in the current year tax provision or benefit.</w:t>
      </w:r>
    </w:p>
    <w:p>
      <w:pPr>
        <w:spacing w:after="0" w:line="234"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The Company determines whether uncertain tax positions are more likely than not to be sustained upon examination, including resolution of any related appeals or litigation processes, based on the technical merits of the position.</w:t>
      </w:r>
    </w:p>
    <w:p>
      <w:pPr>
        <w:spacing w:after="0" w:line="229" w:lineRule="exact"/>
        <w:rPr>
          <w:sz w:val="20"/>
          <w:szCs w:val="20"/>
          <w:color w:val="auto"/>
        </w:rPr>
      </w:pPr>
    </w:p>
    <w:p>
      <w:pPr>
        <w:jc w:val="both"/>
        <w:ind w:right="200"/>
        <w:spacing w:after="0" w:line="257" w:lineRule="auto"/>
        <w:rPr>
          <w:sz w:val="20"/>
          <w:szCs w:val="20"/>
          <w:color w:val="auto"/>
        </w:rPr>
      </w:pPr>
      <w:r>
        <w:rPr>
          <w:rFonts w:ascii="Arial" w:cs="Arial" w:eastAsia="Arial" w:hAnsi="Arial"/>
          <w:sz w:val="20"/>
          <w:szCs w:val="20"/>
          <w:color w:val="auto"/>
        </w:rPr>
        <w:t>The Company recognizes interest and penalties related to unrecognized tax benefits within the interest expense line and other expense line, respectively, in the consolidated statements of operations. Accrued interest and penalties are included within the related liability lines in the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37"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accounts for forfeitures as they occur. The grant date fair value of each unit is amortized on a straight-line basis over the requisite service period.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Share (“EPS”)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Basic earnings per share, or EPS, is computed by dividing net income available to shareholders by the weighted average shares outstanding during the period. Diluted EPS takes into account the potential dilution that could occur if securities or other contracts to issue shares, such as stock options and unvested restricted stock, were exercised and converted into shares. Diluted EPS is computed by dividing net income available to shareholders by the weighted average shares outstanding during the period, increased by the number of additional shares that would have been outstanding if the potential shares had been issued and were dilutive.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CARES Act Payroll Tax Deferral</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The CARES Act permits employers to defer the payment of the employer share of social security taxes due for the period beginning March 27, 2020 and ending December 31, 2020. Of the amounts deferred, 50% are required to be paid by December 31, 2021 and the remaining 50% are required to be paid by December 31, 2022. The Company began deferring payment of the employer share of social security taxes in April 2020. As of December 31, 2020, the Company had deferred payment of $1.0 million of such taxes.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Concentration</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Financial instruments that potentially subject the Company to significant concentrations of credit risk consist primarily of cash, restricted cash and accounts receivable. The Company has no significant off balance sheet concentrations of credit risk. The Company maintains its cash and restricted cash with financial institutions that are believed to be of high credit quality and has not experienced any material losses relating to any cash and restricted cash. As of December 31, 2020 and December 31, 2019, $108.2 million and $360.9 million, respectively, of the Company’s bank balances were uninsured and uncollateralized and exposed to custodial credit risk.</w:t>
      </w:r>
    </w:p>
    <w:p>
      <w:pPr>
        <w:spacing w:after="0" w:line="221"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The Company’s customer base consists primarily of solar contractors and utilities. The Company does not require collateral on its trade receivables. For the year ended December 31, 2020, the Company’s largest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customer and five largest customers constituted 11.2% and 40.9% of total revenues, respectively. Two customers made up</w:t>
      </w:r>
    </w:p>
    <w:p>
      <w:pPr>
        <w:ind w:right="40"/>
        <w:spacing w:after="0" w:line="227" w:lineRule="auto"/>
        <w:rPr>
          <w:sz w:val="20"/>
          <w:szCs w:val="20"/>
          <w:color w:val="auto"/>
        </w:rPr>
      </w:pPr>
      <w:r>
        <w:rPr>
          <w:rFonts w:ascii="Arial" w:cs="Arial" w:eastAsia="Arial" w:hAnsi="Arial"/>
          <w:sz w:val="20"/>
          <w:szCs w:val="20"/>
          <w:color w:val="auto"/>
        </w:rPr>
        <w:t>21.5% of revenue and are the only customers greater than 10% of total revenue for the year ended December 31, 2020. For the year ended December 31, 2019, the Company’s largest customer and five largest customers constituted 17.2% and 50.1% of total revenues, respectively. Two customers made up 28.7% of revenue and are the only customers constituting greater than 10% of total revenue for the year ended December 31, 2019. For the year ended December 31, 2018, the Company’s largest customer and five largest customers constituted 17.5% and 50.9% of total revenues, respectively. Two customers make up 28.3% of revenue and are the only customers constituting greater than 10% of total revenue. The loss of any one of the Company’s top five customers could have a materially adverse effect on the revenues and profits of the Company. Further, the Company’s trade accounts receivable are from companies within the solar industry and, as such, the Company is exposed to normal industry credit risks. As of December 31, 2020, the Company’s largest customer and five largest customers constituted 0.1% and 20.9% of trade accounts receivable, respectively. As of December 31, 2019, the Company’s largest customer and five largest customers constituted 29.5% and 69.0% of trade accounts receivable, respectively. The Company continually evaluates its reserves for potential credit losses and establishes reserves for such losses.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Three levels of inputs may be used to measure fair value, as follows:</w:t>
      </w:r>
    </w:p>
    <w:p>
      <w:pPr>
        <w:spacing w:after="0" w:line="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or liabilities.</w:t>
      </w:r>
    </w:p>
    <w:p>
      <w:pPr>
        <w:spacing w:after="0" w:line="13"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Observable inputs other than Level 1 prices, such as quoted prices for similar assets or liabilities; quoted prices</w:t>
      </w:r>
      <w:r>
        <w:rPr>
          <w:rFonts w:ascii="Arial" w:cs="Arial" w:eastAsia="Arial" w:hAnsi="Arial"/>
          <w:sz w:val="20"/>
          <w:szCs w:val="20"/>
          <w:b w:val="1"/>
          <w:bCs w:val="1"/>
          <w:color w:val="auto"/>
        </w:rPr>
        <w:t xml:space="preserve"> </w:t>
      </w:r>
      <w:r>
        <w:rPr>
          <w:rFonts w:ascii="Arial" w:cs="Arial" w:eastAsia="Arial" w:hAnsi="Arial"/>
          <w:sz w:val="20"/>
          <w:szCs w:val="20"/>
          <w:color w:val="auto"/>
        </w:rPr>
        <w:t>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20"/>
          <w:szCs w:val="20"/>
          <w:color w:val="auto"/>
        </w:rPr>
      </w:pPr>
    </w:p>
    <w:p>
      <w:pPr>
        <w:ind w:left="660" w:right="140" w:hanging="328"/>
        <w:spacing w:after="0" w:line="267"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that are significant to the fair value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or liabilities.</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Assets valued using Level 1 inputs are determined by quoted market prices derived from an active market and Level 2 inputs are based primarily on quoted prices for similar assets in active or inactive markets. Level 3 inputs are valued by management’s assumptions about the assumptions the market participants would utilize in pricing the asset.</w:t>
      </w:r>
    </w:p>
    <w:p>
      <w:pPr>
        <w:spacing w:after="0" w:line="233" w:lineRule="exact"/>
        <w:rPr>
          <w:sz w:val="20"/>
          <w:szCs w:val="20"/>
          <w:color w:val="auto"/>
        </w:rPr>
      </w:pPr>
    </w:p>
    <w:p>
      <w:pPr>
        <w:jc w:val="both"/>
        <w:ind w:right="220"/>
        <w:spacing w:after="0" w:line="277" w:lineRule="auto"/>
        <w:rPr>
          <w:sz w:val="20"/>
          <w:szCs w:val="20"/>
          <w:color w:val="auto"/>
        </w:rPr>
      </w:pPr>
      <w:r>
        <w:rPr>
          <w:rFonts w:ascii="Arial" w:cs="Arial" w:eastAsia="Arial" w:hAnsi="Arial"/>
          <w:sz w:val="19"/>
          <w:szCs w:val="19"/>
          <w:color w:val="auto"/>
        </w:rPr>
        <w:t>The fair values of the Company’s cash, restricted cash, accounts receivable, and accounts payable approximate their carrying values due to their short maturities. The carrying value of the Company’s notes payable and related party loans approximates their fair values, as they are based on current market rates at which the Company could borrow funds with similar terms.</w:t>
      </w:r>
    </w:p>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Company follows the provisions of FASB ASC Topic 820-10 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The Company has determined such fair value primarily by third-party valuations.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 xml:space="preserve">In February 2016, the FASB issued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Leases will continue to be classified as either finance or operating. For companies that are not emerging growth companies (“EGCs”), the ASU is effective for fiscal years beginning after December 15, 2018. For EGCs, the ASU is effective for fiscal years beginning after December 15, 2021. The Company plans to adopt the new standard using the modified retrospective method, under which the Company will apply Topic 842 to existing and new leases as of the effective date of January 1, 2021, but prior periods will not be restated and will continue to be reported under Topic 840 guidance in effect during those periods. The Company anticipates that the adoption will not have a material impact on its consolidated statements of operations or its consolidated statements of cash flows but expects to recognize right-of-use assets and liabilities for lease obligations associated with its operating leases.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is effective for the fiscal year beginning after December 15, 2022, or December 15, 2021 if we were to lose EGC’s status in 2021. The Company will continue to assess the possible impact of this standard, but currently does not expect the adoption of this standard will have a significant impact on its consolidated financial statements and its limited history of bad debt expense relating to trade accounts receivable.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also clarifies and amends existing guidance to improve consistent application. This standard is effective for fiscal years and interim periods within those fiscal years, beginning after December 15, 2020. Early adoption is permitted. The Company is currently evaluating the impact of this standard on its consolidated financial statements and related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 xml:space="preserve">In August 2018, the FASB issued ASU No. 2018-13, </w:t>
      </w:r>
      <w:r>
        <w:rPr>
          <w:rFonts w:ascii="Arial" w:cs="Arial" w:eastAsia="Arial" w:hAnsi="Arial"/>
          <w:sz w:val="20"/>
          <w:szCs w:val="20"/>
          <w:i w:val="1"/>
          <w:iCs w:val="1"/>
          <w:color w:val="auto"/>
        </w:rPr>
        <w:t>Fair Value Measurement - Disclosure Framework - Changes to the</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 Requirements for Fair Value Measurement</w:t>
      </w:r>
      <w:r>
        <w:rPr>
          <w:rFonts w:ascii="Arial" w:cs="Arial" w:eastAsia="Arial" w:hAnsi="Arial"/>
          <w:sz w:val="20"/>
          <w:szCs w:val="20"/>
          <w:color w:val="auto"/>
        </w:rPr>
        <w:t>, which makes a number of changes meant to add, modify or remove</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disclosure requirements associated with the movement against or hierarchy associated with Level 1, Level 2 and Level 3 fair value measurements. The Company adopted ASU 2018-13 as of January 1, 2020. The Company’s disclosures related to its Level 3 financial statements did not materially change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20"/>
                <w:szCs w:val="20"/>
                <w:color w:val="auto"/>
              </w:rPr>
              <w:t>Inventories consisted of the following (in thousands):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5"/>
        </w:trPr>
        <w:tc>
          <w:tcPr>
            <w:tcW w:w="700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Borders>
              <w:bottom w:val="single" w:sz="8" w:color="auto"/>
            </w:tcBorders>
          </w:tcPr>
          <w:p>
            <w:pPr>
              <w:spacing w:after="0"/>
              <w:rPr>
                <w:sz w:val="23"/>
                <w:szCs w:val="23"/>
                <w:color w:val="auto"/>
              </w:rPr>
            </w:pPr>
          </w:p>
        </w:tc>
      </w:tr>
      <w:tr>
        <w:trPr>
          <w:trHeight w:val="255"/>
        </w:trPr>
        <w:tc>
          <w:tcPr>
            <w:tcW w:w="70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2019</w:t>
            </w:r>
          </w:p>
        </w:tc>
      </w:tr>
      <w:tr>
        <w:trPr>
          <w:trHeight w:val="264"/>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128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39,051</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62,923</w:t>
            </w:r>
          </w:p>
        </w:tc>
      </w:tr>
      <w:tr>
        <w:trPr>
          <w:trHeight w:val="265"/>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85,833</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90,301</w:t>
            </w: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(6,425)</w:t>
            </w:r>
          </w:p>
        </w:tc>
        <w:tc>
          <w:tcPr>
            <w:tcW w:w="8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(5,200)</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118,459</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148,024</w:t>
            </w:r>
          </w:p>
        </w:tc>
      </w:tr>
      <w:tr>
        <w:trPr>
          <w:trHeight w:val="25"/>
        </w:trPr>
        <w:tc>
          <w:tcPr>
            <w:tcW w:w="70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gridSpan w:val="3"/>
          </w:tcPr>
          <w:p>
            <w:pPr>
              <w:spacing w:after="0"/>
              <w:rPr>
                <w:sz w:val="20"/>
                <w:szCs w:val="20"/>
                <w:color w:val="auto"/>
              </w:rPr>
            </w:pPr>
            <w:r>
              <w:rPr>
                <w:rFonts w:ascii="Arial" w:cs="Arial" w:eastAsia="Arial" w:hAnsi="Arial"/>
                <w:sz w:val="20"/>
                <w:szCs w:val="20"/>
                <w:color w:val="auto"/>
              </w:rPr>
              <w:t>Property, plant and equipment consisted of the following (in thousands):</w:t>
            </w: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1640" w:type="dxa"/>
            <w:vAlign w:val="bottom"/>
            <w:gridSpan w:val="2"/>
          </w:tcPr>
          <w:p>
            <w:pPr>
              <w:jc w:val="center"/>
              <w:ind w:right="60"/>
              <w:spacing w:after="0" w:line="212" w:lineRule="exact"/>
              <w:rPr>
                <w:sz w:val="20"/>
                <w:szCs w:val="20"/>
                <w:color w:val="auto"/>
              </w:rPr>
            </w:pPr>
            <w:r>
              <w:rPr>
                <w:rFonts w:ascii="Arial" w:cs="Arial" w:eastAsia="Arial" w:hAnsi="Arial"/>
                <w:sz w:val="20"/>
                <w:szCs w:val="20"/>
                <w:b w:val="1"/>
                <w:bCs w:val="1"/>
                <w:color w:val="auto"/>
                <w:w w:val="98"/>
              </w:rPr>
              <w:t>Estimated</w:t>
            </w:r>
          </w:p>
        </w:tc>
        <w:tc>
          <w:tcPr>
            <w:tcW w:w="560" w:type="dxa"/>
            <w:vAlign w:val="bottom"/>
          </w:tcPr>
          <w:p>
            <w:pPr>
              <w:spacing w:after="0"/>
              <w:rPr>
                <w:sz w:val="18"/>
                <w:szCs w:val="18"/>
                <w:color w:val="auto"/>
              </w:rPr>
            </w:pPr>
          </w:p>
        </w:tc>
        <w:tc>
          <w:tcPr>
            <w:tcW w:w="2360" w:type="dxa"/>
            <w:vAlign w:val="bottom"/>
            <w:gridSpan w:val="3"/>
            <w:vMerge w:val="restart"/>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640" w:type="dxa"/>
            <w:vAlign w:val="bottom"/>
            <w:gridSpan w:val="2"/>
          </w:tcPr>
          <w:p>
            <w:pPr>
              <w:jc w:val="center"/>
              <w:ind w:right="80"/>
              <w:spacing w:after="0" w:line="203" w:lineRule="exact"/>
              <w:rPr>
                <w:sz w:val="20"/>
                <w:szCs w:val="20"/>
                <w:color w:val="auto"/>
              </w:rPr>
            </w:pPr>
            <w:r>
              <w:rPr>
                <w:rFonts w:ascii="Arial" w:cs="Arial" w:eastAsia="Arial" w:hAnsi="Arial"/>
                <w:sz w:val="20"/>
                <w:szCs w:val="20"/>
                <w:b w:val="1"/>
                <w:bCs w:val="1"/>
                <w:color w:val="auto"/>
                <w:w w:val="97"/>
              </w:rPr>
              <w:t>Useful Life</w:t>
            </w:r>
          </w:p>
        </w:tc>
        <w:tc>
          <w:tcPr>
            <w:tcW w:w="56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(Years)</w:t>
            </w:r>
          </w:p>
        </w:tc>
        <w:tc>
          <w:tcPr>
            <w:tcW w:w="8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263"/>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5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5"/>
        </w:trPr>
        <w:tc>
          <w:tcPr>
            <w:tcW w:w="530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60" w:type="dxa"/>
            <w:vAlign w:val="bottom"/>
          </w:tcPr>
          <w:p>
            <w:pPr>
              <w:jc w:val="center"/>
              <w:spacing w:after="0"/>
              <w:rPr>
                <w:sz w:val="20"/>
                <w:szCs w:val="20"/>
                <w:color w:val="auto"/>
              </w:rPr>
            </w:pPr>
            <w:r>
              <w:rPr>
                <w:rFonts w:ascii="Arial" w:cs="Arial" w:eastAsia="Arial" w:hAnsi="Arial"/>
                <w:sz w:val="20"/>
                <w:szCs w:val="20"/>
                <w:color w:val="auto"/>
              </w:rPr>
              <w:t>15-39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2,486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2,464</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13,261</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12,631</w:t>
            </w:r>
          </w:p>
        </w:tc>
        <w:tc>
          <w:tcPr>
            <w:tcW w:w="0" w:type="dxa"/>
            <w:vAlign w:val="bottom"/>
          </w:tcPr>
          <w:p>
            <w:pPr>
              <w:spacing w:after="0"/>
              <w:rPr>
                <w:sz w:val="1"/>
                <w:szCs w:val="1"/>
                <w:color w:val="auto"/>
              </w:rPr>
            </w:pPr>
          </w:p>
        </w:tc>
      </w:tr>
      <w:tr>
        <w:trPr>
          <w:trHeight w:val="265"/>
        </w:trPr>
        <w:tc>
          <w:tcPr>
            <w:tcW w:w="530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443</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Hardware and software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887</w:t>
            </w: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w:t>
            </w:r>
          </w:p>
        </w:tc>
        <w:tc>
          <w:tcPr>
            <w:tcW w:w="0" w:type="dxa"/>
            <w:vAlign w:val="bottom"/>
          </w:tcPr>
          <w:p>
            <w:pPr>
              <w:spacing w:after="0"/>
              <w:rPr>
                <w:sz w:val="1"/>
                <w:szCs w:val="1"/>
                <w:color w:val="auto"/>
              </w:rPr>
            </w:pPr>
          </w:p>
        </w:tc>
      </w:tr>
      <w:tr>
        <w:trPr>
          <w:trHeight w:val="255"/>
        </w:trPr>
        <w:tc>
          <w:tcPr>
            <w:tcW w:w="53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w:t>
            </w: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18,557</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17,250</w:t>
            </w:r>
          </w:p>
        </w:tc>
        <w:tc>
          <w:tcPr>
            <w:tcW w:w="0" w:type="dxa"/>
            <w:vAlign w:val="bottom"/>
          </w:tcPr>
          <w:p>
            <w:pPr>
              <w:spacing w:after="0"/>
              <w:rPr>
                <w:sz w:val="1"/>
                <w:szCs w:val="1"/>
                <w:color w:val="auto"/>
              </w:rPr>
            </w:pPr>
          </w:p>
        </w:tc>
      </w:tr>
      <w:tr>
        <w:trPr>
          <w:trHeight w:val="26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accumulated depreciation</w:t>
            </w:r>
          </w:p>
        </w:tc>
        <w:tc>
          <w:tcPr>
            <w:tcW w:w="1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(8,783)</w:t>
            </w: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9,774</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10,660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Depreciation expense was $2.2 million, $2.1 million and $1.9 million for the years ended December 31, 2020, 2019 and 2018, respectively, of which $2.0 million, $1.8 million and $1.7 million, respectively, has been allocated to cost of revenues and $0.2 million, $0.3 million and $0.2 million, respectively, is included in depreciation and amortization in the accompanying consolidated statements of operations for the years ended December 31, 2020, 2019 and 2018.</w:t>
      </w:r>
    </w:p>
    <w:p>
      <w:pPr>
        <w:spacing w:after="0" w:line="210"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37"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Goodwill relates to Former Parent’s acquisition of Array. At the acquisition date, July 8, 2016, goodwill was $121.6 million. At December 31, 2019 and December 31, 2020 goodwill totaled $69.7 million, net of accumulated impairment of $51.9 million and is not deductible for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rPr>
              <w:t>Estimated</w:t>
            </w:r>
          </w:p>
        </w:tc>
        <w:tc>
          <w:tcPr>
            <w:tcW w:w="520" w:type="dxa"/>
            <w:vAlign w:val="bottom"/>
          </w:tcPr>
          <w:p>
            <w:pPr>
              <w:spacing w:after="0"/>
              <w:rPr>
                <w:sz w:val="19"/>
                <w:szCs w:val="19"/>
                <w:color w:val="auto"/>
              </w:rPr>
            </w:pPr>
          </w:p>
        </w:tc>
        <w:tc>
          <w:tcPr>
            <w:tcW w:w="2340" w:type="dxa"/>
            <w:vAlign w:val="bottom"/>
            <w:gridSpan w:val="3"/>
            <w:vMerge w:val="restart"/>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1660" w:type="dxa"/>
            <w:vAlign w:val="bottom"/>
            <w:gridSpan w:val="2"/>
          </w:tcPr>
          <w:p>
            <w:pPr>
              <w:jc w:val="center"/>
              <w:ind w:right="60"/>
              <w:spacing w:after="0" w:line="203" w:lineRule="exact"/>
              <w:rPr>
                <w:sz w:val="20"/>
                <w:szCs w:val="20"/>
                <w:color w:val="auto"/>
              </w:rPr>
            </w:pPr>
            <w:r>
              <w:rPr>
                <w:rFonts w:ascii="Arial" w:cs="Arial" w:eastAsia="Arial" w:hAnsi="Arial"/>
                <w:sz w:val="20"/>
                <w:szCs w:val="20"/>
                <w:b w:val="1"/>
                <w:bCs w:val="1"/>
                <w:color w:val="auto"/>
                <w:w w:val="97"/>
              </w:rPr>
              <w:t>Useful Life</w:t>
            </w:r>
          </w:p>
        </w:tc>
        <w:tc>
          <w:tcPr>
            <w:tcW w:w="520" w:type="dxa"/>
            <w:vAlign w:val="bottom"/>
          </w:tcPr>
          <w:p>
            <w:pPr>
              <w:spacing w:after="0"/>
              <w:rPr>
                <w:sz w:val="17"/>
                <w:szCs w:val="17"/>
                <w:color w:val="auto"/>
              </w:rPr>
            </w:pPr>
          </w:p>
        </w:tc>
        <w:tc>
          <w:tcPr>
            <w:tcW w:w="234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20"/>
                <w:szCs w:val="20"/>
                <w:b w:val="1"/>
                <w:bCs w:val="1"/>
                <w:color w:val="auto"/>
                <w:w w:val="97"/>
              </w:rPr>
              <w:t>(Years)</w:t>
            </w: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ind w:right="721"/>
              <w:spacing w:after="0"/>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1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360" w:type="dxa"/>
            <w:vAlign w:val="bottom"/>
          </w:tcPr>
          <w:p>
            <w:pPr>
              <w:ind w:left="240"/>
              <w:spacing w:after="0"/>
              <w:rPr>
                <w:sz w:val="20"/>
                <w:szCs w:val="20"/>
                <w:color w:val="auto"/>
              </w:rPr>
            </w:pPr>
            <w:r>
              <w:rPr>
                <w:rFonts w:ascii="Arial" w:cs="Arial" w:eastAsia="Arial" w:hAnsi="Arial"/>
                <w:sz w:val="20"/>
                <w:szCs w:val="20"/>
                <w:color w:val="auto"/>
              </w:rPr>
              <w:t>Costs:</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65"/>
        </w:trPr>
        <w:tc>
          <w:tcPr>
            <w:tcW w:w="5360" w:type="dxa"/>
            <w:vAlign w:val="bottom"/>
          </w:tcPr>
          <w:p>
            <w:pPr>
              <w:ind w:left="560"/>
              <w:spacing w:after="0"/>
              <w:rPr>
                <w:sz w:val="20"/>
                <w:szCs w:val="20"/>
                <w:color w:val="auto"/>
              </w:rPr>
            </w:pPr>
            <w:r>
              <w:rPr>
                <w:rFonts w:ascii="Arial" w:cs="Arial" w:eastAsia="Arial" w:hAnsi="Arial"/>
                <w:sz w:val="20"/>
                <w:szCs w:val="20"/>
                <w:color w:val="auto"/>
              </w:rPr>
              <w:t>Customer relationship</w:t>
            </w:r>
          </w:p>
        </w:tc>
        <w:tc>
          <w:tcPr>
            <w:tcW w:w="158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Internal-use software modification</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8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59"/>
        </w:trPr>
        <w:tc>
          <w:tcPr>
            <w:tcW w:w="53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Amortizable Intangibles</w:t>
            </w:r>
          </w:p>
        </w:tc>
        <w:tc>
          <w:tcPr>
            <w:tcW w:w="1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0" w:type="dxa"/>
            <w:vAlign w:val="bottom"/>
          </w:tcPr>
          <w:p>
            <w:pPr>
              <w:spacing w:after="0"/>
              <w:rPr>
                <w:sz w:val="1"/>
                <w:szCs w:val="1"/>
                <w:color w:val="auto"/>
              </w:rPr>
            </w:pPr>
          </w:p>
        </w:tc>
      </w:tr>
      <w:tr>
        <w:trPr>
          <w:trHeight w:val="255"/>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amortization:</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60" w:type="dxa"/>
            <w:vAlign w:val="bottom"/>
          </w:tcPr>
          <w:p>
            <w:pPr>
              <w:ind w:left="560"/>
              <w:spacing w:after="0"/>
              <w:rPr>
                <w:sz w:val="20"/>
                <w:szCs w:val="20"/>
                <w:color w:val="auto"/>
              </w:rPr>
            </w:pPr>
            <w:r>
              <w:rPr>
                <w:rFonts w:ascii="Arial" w:cs="Arial" w:eastAsia="Arial" w:hAnsi="Arial"/>
                <w:sz w:val="20"/>
                <w:szCs w:val="20"/>
                <w:color w:val="auto"/>
              </w:rPr>
              <w:t>Developed technology</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65,233</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50,676</w:t>
            </w: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Customer relationship</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40,107</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31,157</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Internal-use software modification costs</w:t>
            </w:r>
          </w:p>
        </w:tc>
        <w:tc>
          <w:tcPr>
            <w:tcW w:w="15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2,613</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109,696</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84,446</w:t>
            </w:r>
          </w:p>
        </w:tc>
        <w:tc>
          <w:tcPr>
            <w:tcW w:w="0" w:type="dxa"/>
            <w:vAlign w:val="bottom"/>
          </w:tcPr>
          <w:p>
            <w:pPr>
              <w:spacing w:after="0"/>
              <w:rPr>
                <w:sz w:val="1"/>
                <w:szCs w:val="1"/>
                <w:color w:val="auto"/>
              </w:rPr>
            </w:pPr>
          </w:p>
        </w:tc>
      </w:tr>
      <w:tr>
        <w:trPr>
          <w:trHeight w:val="25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Amortizable Intangibles, Net</w:t>
            </w:r>
          </w:p>
        </w:tc>
        <w:tc>
          <w:tcPr>
            <w:tcW w:w="1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187,960</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213,210</w:t>
            </w:r>
          </w:p>
        </w:tc>
        <w:tc>
          <w:tcPr>
            <w:tcW w:w="0" w:type="dxa"/>
            <w:vAlign w:val="bottom"/>
          </w:tcPr>
          <w:p>
            <w:pPr>
              <w:spacing w:after="0"/>
              <w:rPr>
                <w:sz w:val="1"/>
                <w:szCs w:val="1"/>
                <w:color w:val="auto"/>
              </w:rPr>
            </w:pPr>
          </w:p>
        </w:tc>
      </w:tr>
      <w:tr>
        <w:trPr>
          <w:trHeight w:val="255"/>
        </w:trPr>
        <w:tc>
          <w:tcPr>
            <w:tcW w:w="53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6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59"/>
        </w:trPr>
        <w:tc>
          <w:tcPr>
            <w:tcW w:w="536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198,260</w:t>
            </w:r>
          </w:p>
        </w:tc>
        <w:tc>
          <w:tcPr>
            <w:tcW w:w="80" w:type="dxa"/>
            <w:vAlign w:val="bottom"/>
          </w:tcPr>
          <w:p>
            <w:pPr>
              <w:spacing w:after="0"/>
              <w:rPr>
                <w:sz w:val="22"/>
                <w:szCs w:val="22"/>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223,510</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820"/>
        <w:spacing w:after="0" w:line="261" w:lineRule="auto"/>
        <w:rPr>
          <w:sz w:val="20"/>
          <w:szCs w:val="20"/>
          <w:color w:val="auto"/>
        </w:rPr>
      </w:pPr>
      <w:r>
        <w:rPr>
          <w:rFonts w:ascii="Arial" w:cs="Arial" w:eastAsia="Arial" w:hAnsi="Arial"/>
          <w:sz w:val="20"/>
          <w:szCs w:val="20"/>
          <w:color w:val="auto"/>
        </w:rPr>
        <w:t>Amortization expense related to intangible assets was $25.3 million, $25.2 million and $26.5 million for the years ended December 31, 2020, 2019 and 2018,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December 31, as follows (in thousands):</w:t>
      </w:r>
    </w:p>
    <w:p>
      <w:pPr>
        <w:spacing w:after="0" w:line="16" w:lineRule="exact"/>
        <w:rPr>
          <w:sz w:val="20"/>
          <w:szCs w:val="20"/>
          <w:color w:val="auto"/>
        </w:rPr>
      </w:pPr>
    </w:p>
    <w:tbl>
      <w:tblPr>
        <w:tblLayout w:type="fixed"/>
        <w:tblInd w:w="3680" w:type="dxa"/>
        <w:tblCellMar>
          <w:top w:w="0" w:type="dxa"/>
          <w:left w:w="0" w:type="dxa"/>
          <w:bottom w:w="0" w:type="dxa"/>
          <w:right w:w="0" w:type="dxa"/>
        </w:tblCellMar>
      </w:tblPr>
      <w:tr>
        <w:trPr>
          <w:trHeight w:val="266"/>
        </w:trPr>
        <w:tc>
          <w:tcPr>
            <w:tcW w:w="18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Amount</w:t>
            </w:r>
          </w:p>
        </w:tc>
      </w:tr>
      <w:tr>
        <w:trPr>
          <w:trHeight w:val="268"/>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2021</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tcPr>
          <w:p>
            <w:pPr>
              <w:ind w:left="20"/>
              <w:spacing w:after="0"/>
              <w:rPr>
                <w:sz w:val="20"/>
                <w:szCs w:val="20"/>
                <w:color w:val="auto"/>
              </w:rPr>
            </w:pPr>
            <w:r>
              <w:rPr>
                <w:rFonts w:ascii="Arial" w:cs="Arial" w:eastAsia="Arial" w:hAnsi="Arial"/>
                <w:sz w:val="20"/>
                <w:szCs w:val="20"/>
                <w:color w:val="auto"/>
              </w:rPr>
              <w:t>2022</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tcPr>
          <w:p>
            <w:pPr>
              <w:ind w:left="20"/>
              <w:spacing w:after="0"/>
              <w:rPr>
                <w:sz w:val="20"/>
                <w:szCs w:val="20"/>
                <w:color w:val="auto"/>
              </w:rPr>
            </w:pPr>
            <w:r>
              <w:rPr>
                <w:rFonts w:ascii="Arial" w:cs="Arial" w:eastAsia="Arial" w:hAnsi="Arial"/>
                <w:sz w:val="20"/>
                <w:szCs w:val="20"/>
                <w:color w:val="auto"/>
              </w:rPr>
              <w:t>2024</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70,425</w:t>
            </w:r>
          </w:p>
        </w:tc>
      </w:tr>
      <w:tr>
        <w:trPr>
          <w:trHeight w:val="284"/>
        </w:trPr>
        <w:tc>
          <w:tcPr>
            <w:tcW w:w="18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187,960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provision for income taxes charged to operations consists of the following for the years ended December 31, (in thousands):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2018</w:t>
            </w:r>
          </w:p>
        </w:tc>
      </w:tr>
      <w:tr>
        <w:trPr>
          <w:trHeight w:val="250"/>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Expense:</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20"/>
                <w:szCs w:val="20"/>
                <w:color w:val="auto"/>
              </w:rPr>
              <w:t>Federal</w:t>
            </w:r>
          </w:p>
        </w:tc>
        <w:tc>
          <w:tcPr>
            <w:tcW w:w="132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17,248</w:t>
            </w:r>
          </w:p>
        </w:tc>
        <w:tc>
          <w:tcPr>
            <w:tcW w:w="5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1,709</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70"/>
        </w:trPr>
        <w:tc>
          <w:tcPr>
            <w:tcW w:w="39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w:t>
            </w:r>
          </w:p>
        </w:tc>
        <w:tc>
          <w:tcPr>
            <w:tcW w:w="8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4,196</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803</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w:t>
            </w:r>
          </w:p>
        </w:tc>
      </w:tr>
      <w:tr>
        <w:trPr>
          <w:trHeight w:val="259"/>
        </w:trPr>
        <w:tc>
          <w:tcPr>
            <w:tcW w:w="3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21,444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2,512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75"/>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Expense (Benefit):</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20"/>
                <w:szCs w:val="20"/>
                <w:color w:val="auto"/>
              </w:rPr>
              <w:t>Federal</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(2,799)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20,576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(15,955)</w:t>
            </w:r>
          </w:p>
        </w:tc>
      </w:tr>
      <w:tr>
        <w:trPr>
          <w:trHeight w:val="270"/>
        </w:trPr>
        <w:tc>
          <w:tcPr>
            <w:tcW w:w="39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w:t>
            </w:r>
          </w:p>
        </w:tc>
        <w:tc>
          <w:tcPr>
            <w:tcW w:w="8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1,746</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w:t>
            </w:r>
          </w:p>
        </w:tc>
      </w:tr>
      <w:tr>
        <w:trPr>
          <w:trHeight w:val="259"/>
        </w:trPr>
        <w:tc>
          <w:tcPr>
            <w:tcW w:w="39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22,322</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(20,062)</w:t>
            </w:r>
          </w:p>
        </w:tc>
      </w:tr>
      <w:tr>
        <w:trPr>
          <w:trHeight w:val="28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Income Tax Expense (Benefit)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18,705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24,834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(19,932)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deferred tax assets and liabilities were as follows as of December 31,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2019</w:t>
            </w:r>
          </w:p>
        </w:tc>
      </w:tr>
      <w:tr>
        <w:trPr>
          <w:trHeight w:val="25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5"/>
        </w:trPr>
        <w:tc>
          <w:tcPr>
            <w:tcW w:w="7000" w:type="dxa"/>
            <w:vAlign w:val="bottom"/>
          </w:tcPr>
          <w:p>
            <w:pPr>
              <w:ind w:left="360"/>
              <w:spacing w:after="0"/>
              <w:rPr>
                <w:sz w:val="20"/>
                <w:szCs w:val="20"/>
                <w:color w:val="auto"/>
              </w:rPr>
            </w:pPr>
            <w:r>
              <w:rPr>
                <w:rFonts w:ascii="Arial" w:cs="Arial" w:eastAsia="Arial" w:hAnsi="Arial"/>
                <w:sz w:val="20"/>
                <w:szCs w:val="20"/>
                <w:color w:val="auto"/>
              </w:rPr>
              <w:t>Bad debts</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156</w:t>
            </w:r>
          </w:p>
        </w:tc>
        <w:tc>
          <w:tcPr>
            <w:tcW w:w="80" w:type="dxa"/>
            <w:vAlign w:val="bottom"/>
          </w:tcPr>
          <w:p>
            <w:pPr>
              <w:spacing w:after="0"/>
              <w:rPr>
                <w:sz w:val="23"/>
                <w:szCs w:val="23"/>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Inventories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2,050</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1,632</w:t>
            </w:r>
          </w:p>
        </w:tc>
      </w:tr>
      <w:tr>
        <w:trPr>
          <w:trHeight w:val="265"/>
        </w:trPr>
        <w:tc>
          <w:tcPr>
            <w:tcW w:w="7000" w:type="dxa"/>
            <w:vAlign w:val="bottom"/>
          </w:tcPr>
          <w:p>
            <w:pPr>
              <w:ind w:left="360"/>
              <w:spacing w:after="0"/>
              <w:rPr>
                <w:sz w:val="20"/>
                <w:szCs w:val="20"/>
                <w:color w:val="auto"/>
              </w:rPr>
            </w:pPr>
            <w:r>
              <w:rPr>
                <w:rFonts w:ascii="Arial" w:cs="Arial" w:eastAsia="Arial" w:hAnsi="Arial"/>
                <w:sz w:val="20"/>
                <w:szCs w:val="20"/>
                <w:color w:val="auto"/>
              </w:rPr>
              <w:t>Accrued warranties</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841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599</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Accrued compensation</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843</w:t>
            </w:r>
          </w:p>
        </w:tc>
      </w:tr>
      <w:tr>
        <w:trPr>
          <w:trHeight w:val="265"/>
        </w:trPr>
        <w:tc>
          <w:tcPr>
            <w:tcW w:w="7000" w:type="dxa"/>
            <w:vAlign w:val="bottom"/>
          </w:tcPr>
          <w:p>
            <w:pPr>
              <w:ind w:left="360"/>
              <w:spacing w:after="0"/>
              <w:rPr>
                <w:sz w:val="20"/>
                <w:szCs w:val="20"/>
                <w:color w:val="auto"/>
              </w:rPr>
            </w:pPr>
            <w:r>
              <w:rPr>
                <w:rFonts w:ascii="Arial" w:cs="Arial" w:eastAsia="Arial" w:hAnsi="Arial"/>
                <w:sz w:val="20"/>
                <w:szCs w:val="20"/>
                <w:color w:val="auto"/>
              </w:rPr>
              <w:t>Accrued settlement</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524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Net operating loss</w:t>
            </w: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795</w:t>
            </w:r>
          </w:p>
        </w:tc>
      </w:tr>
      <w:tr>
        <w:trPr>
          <w:trHeight w:val="265"/>
        </w:trPr>
        <w:tc>
          <w:tcPr>
            <w:tcW w:w="7000" w:type="dxa"/>
            <w:vAlign w:val="bottom"/>
          </w:tcPr>
          <w:p>
            <w:pPr>
              <w:ind w:left="360"/>
              <w:spacing w:after="0"/>
              <w:rPr>
                <w:sz w:val="20"/>
                <w:szCs w:val="20"/>
                <w:color w:val="auto"/>
              </w:rPr>
            </w:pPr>
            <w:r>
              <w:rPr>
                <w:rFonts w:ascii="Arial" w:cs="Arial" w:eastAsia="Arial" w:hAnsi="Arial"/>
                <w:sz w:val="20"/>
                <w:szCs w:val="20"/>
                <w:color w:val="auto"/>
              </w:rPr>
              <w:t>Equity-based compensation</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4,741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4,030</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Valuation allowance</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w:t>
            </w:r>
          </w:p>
        </w:tc>
      </w:tr>
      <w:tr>
        <w:trPr>
          <w:trHeight w:val="25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Deferred Tax Assets, net</w:t>
            </w:r>
          </w:p>
        </w:tc>
        <w:tc>
          <w:tcPr>
            <w:tcW w:w="1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4,533</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w:t>
            </w:r>
          </w:p>
        </w:tc>
      </w:tr>
      <w:tr>
        <w:trPr>
          <w:trHeight w:val="25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5"/>
        </w:trPr>
        <w:tc>
          <w:tcPr>
            <w:tcW w:w="7000" w:type="dxa"/>
            <w:vAlign w:val="bottom"/>
          </w:tcPr>
          <w:p>
            <w:pPr>
              <w:ind w:left="360"/>
              <w:spacing w:after="0"/>
              <w:rPr>
                <w:sz w:val="20"/>
                <w:szCs w:val="20"/>
                <w:color w:val="auto"/>
              </w:rPr>
            </w:pPr>
            <w:r>
              <w:rPr>
                <w:rFonts w:ascii="Arial" w:cs="Arial" w:eastAsia="Arial" w:hAnsi="Arial"/>
                <w:sz w:val="20"/>
                <w:szCs w:val="20"/>
                <w:color w:val="auto"/>
              </w:rPr>
              <w:t>Property, plant, and equipment</w:t>
            </w:r>
          </w:p>
        </w:tc>
        <w:tc>
          <w:tcPr>
            <w:tcW w:w="1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(1,043)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(1,093)</w:t>
            </w:r>
          </w:p>
        </w:tc>
      </w:tr>
      <w:tr>
        <w:trPr>
          <w:trHeight w:val="275"/>
        </w:trPr>
        <w:tc>
          <w:tcPr>
            <w:tcW w:w="70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Intangible assets</w:t>
            </w:r>
          </w:p>
        </w:tc>
        <w:tc>
          <w:tcPr>
            <w:tcW w:w="1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(16,604)</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(18,582)</w:t>
            </w:r>
          </w:p>
        </w:tc>
      </w:tr>
      <w:tr>
        <w:trPr>
          <w:trHeight w:val="25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(17,647)</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(19,675)</w:t>
            </w: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 (Liability), net</w:t>
            </w:r>
          </w:p>
        </w:tc>
        <w:tc>
          <w:tcPr>
            <w:tcW w:w="128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(13,114)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40"/>
        <w:spacing w:after="0" w:line="255" w:lineRule="auto"/>
        <w:rPr>
          <w:sz w:val="20"/>
          <w:szCs w:val="20"/>
          <w:color w:val="auto"/>
        </w:rPr>
      </w:pPr>
      <w:r>
        <w:rPr>
          <w:rFonts w:ascii="Arial" w:cs="Arial" w:eastAsia="Arial" w:hAnsi="Arial"/>
          <w:sz w:val="20"/>
          <w:szCs w:val="20"/>
          <w:color w:val="auto"/>
        </w:rPr>
        <w:t>A reconciliation of income tax expense computed at the federal statutory rate of 21% for the years ended December 31, to actual income tax expense at the Company’s effective rate is as follows (in thousands):</w:t>
      </w:r>
    </w:p>
    <w:tbl>
      <w:tblPr>
        <w:tblLayout w:type="fixed"/>
        <w:tblInd w:w="0" w:type="dxa"/>
        <w:tblCellMar>
          <w:top w:w="0" w:type="dxa"/>
          <w:left w:w="0" w:type="dxa"/>
          <w:bottom w:w="0" w:type="dxa"/>
          <w:right w:w="0" w:type="dxa"/>
        </w:tblCellMar>
      </w:tblPr>
      <w:tr>
        <w:trPr>
          <w:trHeight w:val="266"/>
        </w:trPr>
        <w:tc>
          <w:tcPr>
            <w:tcW w:w="528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2019</w:t>
            </w:r>
          </w:p>
        </w:tc>
        <w:tc>
          <w:tcPr>
            <w:tcW w:w="7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2018</w:t>
            </w:r>
          </w:p>
        </w:tc>
      </w:tr>
      <w:tr>
        <w:trPr>
          <w:trHeight w:val="241"/>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rate reconciliation</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20"/>
                <w:szCs w:val="20"/>
                <w:color w:val="auto"/>
              </w:rPr>
              <w:t>Income tax expense (benefit) at U.S. statutory rate</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16,333</w:t>
            </w:r>
          </w:p>
        </w:tc>
        <w:tc>
          <w:tcPr>
            <w:tcW w:w="100" w:type="dxa"/>
            <w:vAlign w:val="bottom"/>
          </w:tcPr>
          <w:p>
            <w:pPr>
              <w:spacing w:after="0"/>
              <w:rPr>
                <w:sz w:val="23"/>
                <w:szCs w:val="23"/>
                <w:color w:val="auto"/>
              </w:rPr>
            </w:pPr>
          </w:p>
        </w:tc>
        <w:tc>
          <w:tcPr>
            <w:tcW w:w="1140" w:type="dxa"/>
            <w:vAlign w:val="bottom"/>
          </w:tcPr>
          <w:p>
            <w:pPr>
              <w:jc w:val="right"/>
              <w:ind w:right="821"/>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13,562</w:t>
            </w:r>
          </w:p>
        </w:tc>
        <w:tc>
          <w:tcPr>
            <w:tcW w:w="140" w:type="dxa"/>
            <w:vAlign w:val="bottom"/>
          </w:tcPr>
          <w:p>
            <w:pPr>
              <w:spacing w:after="0"/>
              <w:rPr>
                <w:sz w:val="23"/>
                <w:szCs w:val="23"/>
                <w:color w:val="auto"/>
              </w:rPr>
            </w:pP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(16,947)</w:t>
            </w:r>
          </w:p>
        </w:tc>
      </w:tr>
      <w:tr>
        <w:trPr>
          <w:trHeight w:val="257"/>
        </w:trPr>
        <w:tc>
          <w:tcPr>
            <w:tcW w:w="5280" w:type="dxa"/>
            <w:vAlign w:val="bottom"/>
            <w:shd w:val="clear" w:color="auto" w:fill="CCEEFF"/>
          </w:tcPr>
          <w:p>
            <w:pPr>
              <w:ind w:left="360"/>
              <w:spacing w:after="0"/>
              <w:rPr>
                <w:sz w:val="20"/>
                <w:szCs w:val="20"/>
                <w:color w:val="auto"/>
              </w:rPr>
            </w:pPr>
            <w:r>
              <w:rPr>
                <w:rFonts w:ascii="Arial" w:cs="Arial" w:eastAsia="Arial" w:hAnsi="Arial"/>
                <w:sz w:val="20"/>
                <w:szCs w:val="20"/>
                <w:color w:val="auto"/>
              </w:rPr>
              <w:t>State income taxes</w:t>
            </w:r>
          </w:p>
        </w:tc>
        <w:tc>
          <w:tcPr>
            <w:tcW w:w="1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2,049</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(3,365)</w:t>
            </w:r>
          </w:p>
        </w:tc>
      </w:tr>
      <w:tr>
        <w:trPr>
          <w:trHeight w:val="243"/>
        </w:trPr>
        <w:tc>
          <w:tcPr>
            <w:tcW w:w="5280" w:type="dxa"/>
            <w:vAlign w:val="bottom"/>
          </w:tcPr>
          <w:p>
            <w:pPr>
              <w:ind w:left="360"/>
              <w:spacing w:after="0"/>
              <w:rPr>
                <w:sz w:val="20"/>
                <w:szCs w:val="20"/>
                <w:color w:val="auto"/>
              </w:rPr>
            </w:pPr>
            <w:r>
              <w:rPr>
                <w:rFonts w:ascii="Arial" w:cs="Arial" w:eastAsia="Arial" w:hAnsi="Arial"/>
                <w:sz w:val="20"/>
                <w:szCs w:val="20"/>
                <w:color w:val="auto"/>
              </w:rPr>
              <w:t>Permanent differences:</w:t>
            </w:r>
          </w:p>
        </w:tc>
        <w:tc>
          <w:tcPr>
            <w:tcW w:w="1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52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Derecognition of tax assets from IRS examination</w:t>
            </w: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9,284</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43"/>
        </w:trPr>
        <w:tc>
          <w:tcPr>
            <w:tcW w:w="5280" w:type="dxa"/>
            <w:vAlign w:val="bottom"/>
          </w:tcPr>
          <w:p>
            <w:pPr>
              <w:ind w:left="560"/>
              <w:spacing w:after="0"/>
              <w:rPr>
                <w:sz w:val="20"/>
                <w:szCs w:val="20"/>
                <w:color w:val="auto"/>
              </w:rPr>
            </w:pPr>
            <w:r>
              <w:rPr>
                <w:rFonts w:ascii="Arial" w:cs="Arial" w:eastAsia="Arial" w:hAnsi="Arial"/>
                <w:sz w:val="20"/>
                <w:szCs w:val="20"/>
                <w:color w:val="auto"/>
              </w:rPr>
              <w:t>Equity-based compensation</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852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168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3"/>
        </w:trPr>
        <w:tc>
          <w:tcPr>
            <w:tcW w:w="52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Contingent consideration</w:t>
            </w:r>
          </w:p>
        </w:tc>
        <w:tc>
          <w:tcPr>
            <w:tcW w:w="1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5,553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49</w:t>
            </w:r>
          </w:p>
        </w:tc>
      </w:tr>
      <w:tr>
        <w:trPr>
          <w:trHeight w:val="243"/>
        </w:trPr>
        <w:tc>
          <w:tcPr>
            <w:tcW w:w="5280" w:type="dxa"/>
            <w:vAlign w:val="bottom"/>
          </w:tcPr>
          <w:p>
            <w:pPr>
              <w:ind w:left="560"/>
              <w:spacing w:after="0"/>
              <w:rPr>
                <w:sz w:val="20"/>
                <w:szCs w:val="20"/>
                <w:color w:val="auto"/>
              </w:rPr>
            </w:pPr>
            <w:r>
              <w:rPr>
                <w:rFonts w:ascii="Arial" w:cs="Arial" w:eastAsia="Arial" w:hAnsi="Arial"/>
                <w:sz w:val="20"/>
                <w:szCs w:val="20"/>
                <w:color w:val="auto"/>
              </w:rPr>
              <w:t>Credits</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(284)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3"/>
        </w:trPr>
        <w:tc>
          <w:tcPr>
            <w:tcW w:w="52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Other nondeductible expenses</w:t>
            </w:r>
          </w:p>
        </w:tc>
        <w:tc>
          <w:tcPr>
            <w:tcW w:w="1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48</w:t>
            </w:r>
          </w:p>
        </w:tc>
      </w:tr>
      <w:tr>
        <w:trPr>
          <w:trHeight w:val="243"/>
        </w:trPr>
        <w:tc>
          <w:tcPr>
            <w:tcW w:w="5280" w:type="dxa"/>
            <w:vAlign w:val="bottom"/>
          </w:tcPr>
          <w:p>
            <w:pPr>
              <w:ind w:left="360"/>
              <w:spacing w:after="0"/>
              <w:rPr>
                <w:sz w:val="20"/>
                <w:szCs w:val="20"/>
                <w:color w:val="auto"/>
              </w:rPr>
            </w:pPr>
            <w:r>
              <w:rPr>
                <w:rFonts w:ascii="Arial" w:cs="Arial" w:eastAsia="Arial" w:hAnsi="Arial"/>
                <w:sz w:val="20"/>
                <w:szCs w:val="20"/>
                <w:color w:val="auto"/>
              </w:rPr>
              <w:t>Effect of CARES Act</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(6,608)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3"/>
        </w:trPr>
        <w:tc>
          <w:tcPr>
            <w:tcW w:w="5280" w:type="dxa"/>
            <w:vAlign w:val="bottom"/>
            <w:shd w:val="clear" w:color="auto" w:fill="CCEEFF"/>
          </w:tcPr>
          <w:p>
            <w:pPr>
              <w:ind w:left="360"/>
              <w:spacing w:after="0"/>
              <w:rPr>
                <w:sz w:val="20"/>
                <w:szCs w:val="20"/>
                <w:color w:val="auto"/>
              </w:rPr>
            </w:pPr>
            <w:r>
              <w:rPr>
                <w:rFonts w:ascii="Arial" w:cs="Arial" w:eastAsia="Arial" w:hAnsi="Arial"/>
                <w:sz w:val="20"/>
                <w:szCs w:val="20"/>
                <w:color w:val="auto"/>
              </w:rPr>
              <w:t>Foreign income benefit</w:t>
            </w:r>
          </w:p>
        </w:tc>
        <w:tc>
          <w:tcPr>
            <w:tcW w:w="1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43"/>
        </w:trPr>
        <w:tc>
          <w:tcPr>
            <w:tcW w:w="5280" w:type="dxa"/>
            <w:vAlign w:val="bottom"/>
          </w:tcPr>
          <w:p>
            <w:pPr>
              <w:ind w:left="360"/>
              <w:spacing w:after="0"/>
              <w:rPr>
                <w:sz w:val="20"/>
                <w:szCs w:val="20"/>
                <w:color w:val="auto"/>
              </w:rPr>
            </w:pPr>
            <w:r>
              <w:rPr>
                <w:rFonts w:ascii="Arial" w:cs="Arial" w:eastAsia="Arial" w:hAnsi="Arial"/>
                <w:sz w:val="20"/>
                <w:szCs w:val="20"/>
                <w:color w:val="auto"/>
              </w:rPr>
              <w:t>Change in valuation allowance</w:t>
            </w:r>
          </w:p>
        </w:tc>
        <w:tc>
          <w:tcPr>
            <w:tcW w:w="1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253</w:t>
            </w:r>
          </w:p>
        </w:tc>
      </w:tr>
      <w:tr>
        <w:trPr>
          <w:trHeight w:val="256"/>
        </w:trPr>
        <w:tc>
          <w:tcPr>
            <w:tcW w:w="528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Other</w:t>
            </w:r>
          </w:p>
        </w:tc>
        <w:tc>
          <w:tcPr>
            <w:tcW w:w="1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w:t>
            </w:r>
          </w:p>
        </w:tc>
        <w:tc>
          <w:tcPr>
            <w:tcW w:w="1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30</w:t>
            </w:r>
          </w:p>
        </w:tc>
      </w:tr>
      <w:tr>
        <w:trPr>
          <w:trHeight w:val="264"/>
        </w:trPr>
        <w:tc>
          <w:tcPr>
            <w:tcW w:w="5280" w:type="dxa"/>
            <w:vAlign w:val="bottom"/>
          </w:tcPr>
          <w:p>
            <w:pPr>
              <w:ind w:left="20"/>
              <w:spacing w:after="0"/>
              <w:rPr>
                <w:sz w:val="20"/>
                <w:szCs w:val="20"/>
                <w:color w:val="auto"/>
              </w:rPr>
            </w:pPr>
            <w:r>
              <w:rPr>
                <w:rFonts w:ascii="Arial" w:cs="Arial" w:eastAsia="Arial" w:hAnsi="Arial"/>
                <w:sz w:val="20"/>
                <w:szCs w:val="20"/>
                <w:color w:val="auto"/>
              </w:rPr>
              <w:t>Total Income Tax Expense (Benefit)</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24,834</w:t>
            </w:r>
          </w:p>
        </w:tc>
        <w:tc>
          <w:tcPr>
            <w:tcW w:w="140" w:type="dxa"/>
            <w:vAlign w:val="bottom"/>
          </w:tcPr>
          <w:p>
            <w:pPr>
              <w:spacing w:after="0"/>
              <w:rPr>
                <w:sz w:val="22"/>
                <w:szCs w:val="22"/>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(19,932)</w:t>
            </w:r>
          </w:p>
        </w:tc>
      </w:tr>
      <w:tr>
        <w:trPr>
          <w:trHeight w:val="20"/>
        </w:trPr>
        <w:tc>
          <w:tcPr>
            <w:tcW w:w="5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Company files income tax returns in the U.S. federal jurisdiction and in multiple states. The Company is no longer subject to U.S. federal and state income tax examinations by tax authorities for years before 2014.</w:t>
      </w:r>
    </w:p>
    <w:p>
      <w:pPr>
        <w:spacing w:after="0" w:line="21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As of December 31, 2020, the Company had no federal income tax net operating loss (“NOL”) carryforwards. The Company has state income tax NOL carryforwards of approximately $7.6 million that will expire in future years beginning in 2036.</w:t>
      </w:r>
    </w:p>
    <w:p>
      <w:pPr>
        <w:spacing w:after="0" w:line="231" w:lineRule="exact"/>
        <w:rPr>
          <w:sz w:val="20"/>
          <w:szCs w:val="20"/>
          <w:color w:val="auto"/>
        </w:rPr>
      </w:pPr>
    </w:p>
    <w:p>
      <w:pPr>
        <w:ind w:right="60"/>
        <w:spacing w:after="0"/>
        <w:rPr>
          <w:sz w:val="20"/>
          <w:szCs w:val="20"/>
          <w:color w:val="auto"/>
        </w:rPr>
      </w:pPr>
      <w:r>
        <w:rPr>
          <w:rFonts w:ascii="Arial" w:cs="Arial" w:eastAsia="Arial" w:hAnsi="Arial"/>
          <w:sz w:val="20"/>
          <w:szCs w:val="20"/>
          <w:color w:val="auto"/>
        </w:rPr>
        <w:t>Realization of deferred tax assets associated with net operating loss carryforwards is dependent upon generating sufficient taxable income in the appropriate jurisdictions prior to their expirations, if any expiration. The existence of reversing temporary differences supports the recognition by the Company of certain deferred tax assets. It is not more likely than not that those deferred tax assets from certain state net operating loss carryforwards would be realized due to the Company’s lack of earnings history and as such the Company established a valuation allowance of $208 thousand for the years ended years ended December 31, 2020 and 2019.</w:t>
      </w:r>
    </w:p>
    <w:p>
      <w:pPr>
        <w:spacing w:after="0" w:line="254"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ASC 740, Income Taxes,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The Company had no unrecognized income tax benefits at either December 31, 2020 or 2019.</w:t>
      </w:r>
    </w:p>
    <w:p>
      <w:pPr>
        <w:spacing w:after="0" w:line="235"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On March 27, 2020, the Coronavirus Aid, Relief, and Economic Security Act (“CARES Act”) was enacted in response to the COVID-19 pandemic. Among other things, the CARES Act provided the ability for taxpayers to carryback a net operating loss (“NOL”) arising in a taxable year beginning after December 31, 2017 and before January 1, 2021 to each of the five years preceding the year of the loss. The Company generated a significant</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NOL during its tax year ended March 31, 2019 and filed a carryback claim in June 2020 for this NOL. As a result of the carryback claim, the Company recorded an income tax benefit of $6.6 million on its consolidated statement of operations for the year ended December 31, 2020, resulting from the difference in the current U.S. federal tax rate of 21% and the tax rate of 35% applicable in the carryback year.</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Company’s 2017 federal income tax return was selected for examination by the IRS in 2018. As a result of the examination, an adjustment related to the value allocated to the developed technology for tax purposes was potentially required. During 2019, the Company settled the 2017 examination and agreed to a reduction in the developed technology value from $210 million to $188 million for federal income tax purposes. As a result of this change in the value of the acquired developed technology, the Company reduced its NOL carryforwards by approximately $2.8 million for previously taken amortization and increased the deferred tax liability related to the revised developed technology tax basis by approximately $4.6 million. In addition, the Company will no longer receive tax basis upon payment of the Tax Receivable Agreement (“TRA”) liability, as such the related deferred tax asset of $4.7 million for the TRA was also written off during 2019. The adjustments resulting from the change in developed technology value have been recorded as an income tax expense for the year ended December 31, 2019. Refer to Note 13 - Commitments and Contingencies, for detail on the TRA, which was contingent consideration at the time of the Array acquisition.</w:t>
      </w:r>
    </w:p>
    <w:p>
      <w:pPr>
        <w:spacing w:after="0" w:line="200" w:lineRule="exact"/>
        <w:rPr>
          <w:sz w:val="20"/>
          <w:szCs w:val="20"/>
          <w:color w:val="auto"/>
        </w:rPr>
      </w:pPr>
    </w:p>
    <w:p>
      <w:pPr>
        <w:spacing w:after="0" w:line="244"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Accrued Warranty Reserve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accrued warranty reserve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80" w:type="dxa"/>
            <w:vAlign w:val="bottom"/>
          </w:tcPr>
          <w:p>
            <w:pPr>
              <w:spacing w:after="0"/>
              <w:rPr>
                <w:sz w:val="22"/>
                <w:szCs w:val="22"/>
                <w:color w:val="auto"/>
              </w:rPr>
            </w:pPr>
          </w:p>
        </w:tc>
        <w:tc>
          <w:tcPr>
            <w:tcW w:w="352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20"/>
                <w:szCs w:val="20"/>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2020</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2019</w:t>
            </w:r>
          </w:p>
        </w:tc>
        <w:tc>
          <w:tcPr>
            <w:tcW w:w="740" w:type="dxa"/>
            <w:vAlign w:val="bottom"/>
            <w:tcBorders>
              <w:bottom w:val="single" w:sz="8" w:color="auto"/>
            </w:tcBorders>
          </w:tcPr>
          <w:p>
            <w:pPr>
              <w:spacing w:after="0"/>
              <w:rPr>
                <w:sz w:val="20"/>
                <w:szCs w:val="20"/>
                <w:color w:val="auto"/>
              </w:rPr>
            </w:pPr>
          </w:p>
        </w:tc>
      </w:tr>
      <w:tr>
        <w:trPr>
          <w:trHeight w:val="264"/>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38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2,592</w:t>
            </w:r>
          </w:p>
        </w:tc>
        <w:tc>
          <w:tcPr>
            <w:tcW w:w="1440" w:type="dxa"/>
            <w:vAlign w:val="bottom"/>
            <w:gridSpan w:val="2"/>
            <w:shd w:val="clear" w:color="auto" w:fill="CCEEFF"/>
          </w:tcPr>
          <w:p>
            <w:pPr>
              <w:jc w:val="right"/>
              <w:ind w:right="1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1,935</w:t>
            </w:r>
          </w:p>
        </w:tc>
      </w:tr>
      <w:tr>
        <w:trPr>
          <w:trHeight w:val="265"/>
        </w:trPr>
        <w:tc>
          <w:tcPr>
            <w:tcW w:w="6980" w:type="dxa"/>
            <w:vAlign w:val="bottom"/>
          </w:tcPr>
          <w:p>
            <w:pPr>
              <w:ind w:left="240"/>
              <w:spacing w:after="0"/>
              <w:rPr>
                <w:sz w:val="20"/>
                <w:szCs w:val="20"/>
                <w:color w:val="auto"/>
              </w:rPr>
            </w:pPr>
            <w:r>
              <w:rPr>
                <w:rFonts w:ascii="Arial" w:cs="Arial" w:eastAsia="Arial" w:hAnsi="Arial"/>
                <w:sz w:val="20"/>
                <w:szCs w:val="20"/>
                <w:color w:val="auto"/>
              </w:rPr>
              <w:t>Provision for warranties issued</w:t>
            </w:r>
          </w:p>
        </w:tc>
        <w:tc>
          <w:tcPr>
            <w:tcW w:w="1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1,054</w:t>
            </w: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2,473</w:t>
            </w:r>
          </w:p>
        </w:tc>
      </w:tr>
      <w:tr>
        <w:trPr>
          <w:trHeight w:val="275"/>
        </w:trPr>
        <w:tc>
          <w:tcPr>
            <w:tcW w:w="69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w:t>
            </w:r>
          </w:p>
        </w:tc>
        <w:tc>
          <w:tcPr>
            <w:tcW w:w="13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w:t>
            </w:r>
          </w:p>
        </w:tc>
      </w:tr>
      <w:tr>
        <w:trPr>
          <w:trHeight w:val="265"/>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Warranty expirations</w:t>
            </w:r>
          </w:p>
        </w:tc>
        <w:tc>
          <w:tcPr>
            <w:tcW w:w="1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(1,086)</w:t>
            </w:r>
          </w:p>
        </w:tc>
      </w:tr>
      <w:tr>
        <w:trPr>
          <w:trHeight w:val="28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138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3,049</w:t>
            </w:r>
          </w:p>
        </w:tc>
        <w:tc>
          <w:tcPr>
            <w:tcW w:w="1440" w:type="dxa"/>
            <w:vAlign w:val="bottom"/>
            <w:gridSpan w:val="2"/>
            <w:shd w:val="clear" w:color="auto" w:fill="CCEEFF"/>
          </w:tcPr>
          <w:p>
            <w:pPr>
              <w:jc w:val="right"/>
              <w:ind w:right="11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Long-Term Debt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Long term debt consisted of the following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Borders>
              <w:bottom w:val="single" w:sz="8" w:color="auto"/>
            </w:tcBorders>
          </w:tcPr>
          <w:p>
            <w:pPr>
              <w:spacing w:after="0"/>
              <w:rPr>
                <w:sz w:val="23"/>
                <w:szCs w:val="23"/>
                <w:color w:val="auto"/>
              </w:rPr>
            </w:pPr>
          </w:p>
        </w:tc>
      </w:tr>
      <w:tr>
        <w:trPr>
          <w:trHeight w:val="255"/>
        </w:trPr>
        <w:tc>
          <w:tcPr>
            <w:tcW w:w="69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2019</w:t>
            </w:r>
          </w:p>
        </w:tc>
      </w:tr>
      <w:tr>
        <w:trPr>
          <w:trHeight w:val="26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6980" w:type="dxa"/>
            <w:vAlign w:val="bottom"/>
          </w:tcPr>
          <w:p>
            <w:pPr>
              <w:ind w:left="20"/>
              <w:spacing w:after="0"/>
              <w:rPr>
                <w:sz w:val="20"/>
                <w:szCs w:val="20"/>
                <w:color w:val="auto"/>
              </w:rPr>
            </w:pPr>
            <w:r>
              <w:rPr>
                <w:rFonts w:ascii="Arial" w:cs="Arial" w:eastAsia="Arial" w:hAnsi="Arial"/>
                <w:sz w:val="20"/>
                <w:szCs w:val="20"/>
                <w:color w:val="auto"/>
              </w:rPr>
              <w:t>Revolving credit facility</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57,702</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loan</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r>
      <w:tr>
        <w:trPr>
          <w:trHeight w:val="268"/>
        </w:trPr>
        <w:tc>
          <w:tcPr>
            <w:tcW w:w="6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57,772</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(31,717)</w:t>
            </w: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(1,823)</w:t>
            </w:r>
          </w:p>
        </w:tc>
      </w:tr>
      <w:tr>
        <w:trPr>
          <w:trHeight w:val="268"/>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 term debt, net of debt discount and financing costs</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428,283</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55,949</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long-term debt</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(4,313)</w:t>
            </w: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(55,949)</w:t>
            </w:r>
          </w:p>
        </w:tc>
      </w:tr>
      <w:tr>
        <w:trPr>
          <w:trHeight w:val="28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 debt discount and financing costs</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423,970</w:t>
            </w: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Facility</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On October 14, 2020, the Company entered into a senior secured credit facility consisting of (i) a $575 million senior secured seven-year term loan facility (the “Term Loan Facility”) and (ii) a $150 million senior secured 5-year revolving credit facility (the “Revolving Credit Facility” and, together with the Term Loan Facility, the “Senior Secured Credit Facility”). As of December 31, 2020, the Term Loan Facility had a balance of $460.0 million. The Term Loan Facility accrued interest equal to applicable margin of 1% plus base rate (4% at December 31, 2020). The balance of the Term Loan Facility is presented in the accompanying consolidated balance sheets net of debt discount and issuance costs of $31.7 million at December 31, 2020. The debt discount and issuance costs are being amortized using the effective interest method and the rate as of December 31, 2020 is 6.08%. The Term Loan Facility has an annual excess cash flow calculation beginning with the year ended December 31, 2021 which could require the Company to make advance principal payments.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Letters of Credit</w:t>
      </w:r>
    </w:p>
    <w:p>
      <w:pPr>
        <w:spacing w:after="0" w:line="20" w:lineRule="exact"/>
        <w:rPr>
          <w:sz w:val="20"/>
          <w:szCs w:val="20"/>
          <w:color w:val="auto"/>
        </w:rPr>
      </w:pPr>
    </w:p>
    <w:p>
      <w:pPr>
        <w:ind w:right="520"/>
        <w:spacing w:after="0" w:line="236" w:lineRule="auto"/>
        <w:rPr>
          <w:sz w:val="20"/>
          <w:szCs w:val="20"/>
          <w:color w:val="auto"/>
        </w:rPr>
      </w:pPr>
      <w:r>
        <w:rPr>
          <w:rFonts w:ascii="Arial" w:cs="Arial" w:eastAsia="Arial" w:hAnsi="Arial"/>
          <w:sz w:val="20"/>
          <w:szCs w:val="20"/>
          <w:color w:val="auto"/>
        </w:rPr>
        <w:t>Under the Revolving Credit Facility, the Company had no outstanding balance, $46.6 million in standby letters of credit and availability of $103.4 million under the Revolving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interest rates applicable to the loans under the Term Loan Facility equals,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40"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The interest rates applicable to the loans under the Revolving Facility equals,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5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the greater of (a) the London interbank offered rate for the relevant currency, adjusted for statutory reserve requirements, and (b) 50 basis points, plus, in each case, the applicable margin of 325 basis points per annum.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33"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and its wholly owned domestic subsidiaries other than certain immaterial subsidiaries and other excluded subsidiaries. The obligations under the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33"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Senior Secured Credit Facility requires mandatory prepayments, but not permanent reductions of commitments thereunder, for excess cash flow, asset sales, subject to a right of reinvestment, and refinancing facilities.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33"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The Senior Secured Credit Facility contains affirmative and negative covenants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233"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Revolving Credit Facility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also includes customary events of default, including the</w:t>
      </w:r>
    </w:p>
    <w:p>
      <w:pPr>
        <w:spacing w:after="0"/>
        <w:rPr>
          <w:sz w:val="20"/>
          <w:szCs w:val="20"/>
          <w:color w:val="auto"/>
        </w:rPr>
      </w:pPr>
      <w:r>
        <w:rPr>
          <w:rFonts w:ascii="Arial" w:cs="Arial" w:eastAsia="Arial" w:hAnsi="Arial"/>
          <w:sz w:val="20"/>
          <w:szCs w:val="20"/>
          <w:color w:val="auto"/>
        </w:rPr>
        <w:t>occurrence of a change of control. As of December 31, 2020, the Company was in compliance with all the required covenants.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Credit and Guarantee Agreement</w:t>
      </w:r>
    </w:p>
    <w:p>
      <w:pPr>
        <w:spacing w:after="0" w:line="37" w:lineRule="exact"/>
        <w:rPr>
          <w:sz w:val="20"/>
          <w:szCs w:val="20"/>
          <w:color w:val="auto"/>
        </w:rPr>
      </w:pPr>
    </w:p>
    <w:p>
      <w:pPr>
        <w:jc w:val="both"/>
        <w:ind w:right="80"/>
        <w:spacing w:after="0" w:line="256" w:lineRule="auto"/>
        <w:rPr>
          <w:sz w:val="20"/>
          <w:szCs w:val="20"/>
          <w:color w:val="auto"/>
        </w:rPr>
      </w:pPr>
      <w:r>
        <w:rPr>
          <w:rFonts w:ascii="Arial" w:cs="Arial" w:eastAsia="Arial" w:hAnsi="Arial"/>
          <w:sz w:val="20"/>
          <w:szCs w:val="20"/>
          <w:color w:val="auto"/>
        </w:rPr>
        <w:t>The Company had a Term Loan Credit and Guarantee Agreement (the “Term Loan”) as amended. The Term Loan was secured by assets of ATI Investment. The Term Loan was payable in quarterly installments of $5 million. As of December 31, 2019, the Term Loan had a balance of $57.7 million. The Term Loan accrued interest equal to applicable margin of 6.25% plus base rate (8.96% at December 31, 2019). The balance of the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Term loan is presented in the accompanying consolidated balance sheets net of debt discount and financing costs of $1.8 million at December 31, 2019. The Term Loan had an annual excess cash flow calculation which could require the Company to make advance principal payments. At December 31, 2019, the excess cash flow calculation resulted in the Term Loan be classified as current on the accompanying consolidated balance sheet. The Company paid the outstanding amount due on the Term Loan on February 2, 2020 and settled all obligations with respect to the Term Loan.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Loan</w:t>
      </w:r>
    </w:p>
    <w:p>
      <w:pPr>
        <w:spacing w:after="0" w:line="24"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Company had a credit facility (the “Revolving Loan”) as amended, which had a commitment of $100.0 million as of December 31, 2019. As of December 31, 2019, the Revolving Loan had an outstanding balance of $70 thousand. The Company paid the outstanding amount due on the Revolving Loan on October 14, 2020 and settled all obligations with respect to the Revolving Loan.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 of Credit Facility</w:t>
      </w:r>
    </w:p>
    <w:p>
      <w:pPr>
        <w:spacing w:after="0" w:line="37"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On December 16, 2019, the Company entered into a letter of credit facility (“LC Facility”) to provide customers with additional credit support in the form of a standby letter of credit to secure the Company’s performance obligations under contracts for which certain customers elected to prepay for the design and manufacture of solar projects. The LC Facility had a commitment of $100.0 million in standby letters of credit and expired August 31, 2020. At December 31, 2019, the Company had $51.0 million in outstanding standby letters of credit outstanding, secured by cash collateral.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gridSpan w:val="2"/>
          </w:tcPr>
          <w:p>
            <w:pPr>
              <w:spacing w:after="0"/>
              <w:rPr>
                <w:sz w:val="20"/>
                <w:szCs w:val="20"/>
                <w:color w:val="auto"/>
              </w:rPr>
            </w:pPr>
            <w:r>
              <w:rPr>
                <w:rFonts w:ascii="Arial" w:cs="Arial" w:eastAsia="Arial" w:hAnsi="Arial"/>
                <w:sz w:val="20"/>
                <w:szCs w:val="20"/>
                <w:color w:val="auto"/>
              </w:rPr>
              <w:t>Future maturities of long-term debt (in thousands):</w:t>
            </w: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5"/>
        </w:trPr>
        <w:tc>
          <w:tcPr>
            <w:tcW w:w="3380" w:type="dxa"/>
            <w:vAlign w:val="bottom"/>
          </w:tcPr>
          <w:p>
            <w:pPr>
              <w:spacing w:after="0"/>
              <w:rPr>
                <w:sz w:val="23"/>
                <w:szCs w:val="23"/>
                <w:color w:val="auto"/>
              </w:rPr>
            </w:pPr>
          </w:p>
        </w:tc>
        <w:tc>
          <w:tcPr>
            <w:tcW w:w="23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Amount</w:t>
            </w:r>
          </w:p>
        </w:tc>
      </w:tr>
      <w:tr>
        <w:trPr>
          <w:trHeight w:val="268"/>
        </w:trPr>
        <w:tc>
          <w:tcPr>
            <w:tcW w:w="3380" w:type="dxa"/>
            <w:vAlign w:val="bottom"/>
          </w:tcPr>
          <w:p>
            <w:pPr>
              <w:spacing w:after="0"/>
              <w:rPr>
                <w:sz w:val="23"/>
                <w:szCs w:val="23"/>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2021</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4,313</w:t>
            </w:r>
          </w:p>
        </w:tc>
      </w:tr>
      <w:tr>
        <w:trPr>
          <w:trHeight w:val="270"/>
        </w:trPr>
        <w:tc>
          <w:tcPr>
            <w:tcW w:w="5760" w:type="dxa"/>
            <w:vAlign w:val="bottom"/>
            <w:gridSpan w:val="2"/>
          </w:tcPr>
          <w:p>
            <w:pPr>
              <w:ind w:left="3400"/>
              <w:spacing w:after="0"/>
              <w:rPr>
                <w:sz w:val="20"/>
                <w:szCs w:val="20"/>
                <w:color w:val="auto"/>
              </w:rPr>
            </w:pPr>
            <w:r>
              <w:rPr>
                <w:rFonts w:ascii="Arial" w:cs="Arial" w:eastAsia="Arial" w:hAnsi="Arial"/>
                <w:sz w:val="20"/>
                <w:szCs w:val="20"/>
                <w:color w:val="auto"/>
              </w:rPr>
              <w:t>2022</w:t>
            </w:r>
          </w:p>
        </w:tc>
        <w:tc>
          <w:tcPr>
            <w:tcW w:w="4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5,750</w:t>
            </w:r>
          </w:p>
        </w:tc>
      </w:tr>
      <w:tr>
        <w:trPr>
          <w:trHeight w:val="270"/>
        </w:trPr>
        <w:tc>
          <w:tcPr>
            <w:tcW w:w="3380" w:type="dxa"/>
            <w:vAlign w:val="bottom"/>
          </w:tcPr>
          <w:p>
            <w:pPr>
              <w:spacing w:after="0"/>
              <w:rPr>
                <w:sz w:val="23"/>
                <w:szCs w:val="23"/>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4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5,750</w:t>
            </w:r>
          </w:p>
        </w:tc>
      </w:tr>
      <w:tr>
        <w:trPr>
          <w:trHeight w:val="270"/>
        </w:trPr>
        <w:tc>
          <w:tcPr>
            <w:tcW w:w="5760" w:type="dxa"/>
            <w:vAlign w:val="bottom"/>
            <w:gridSpan w:val="2"/>
          </w:tcPr>
          <w:p>
            <w:pPr>
              <w:ind w:left="3400"/>
              <w:spacing w:after="0"/>
              <w:rPr>
                <w:sz w:val="20"/>
                <w:szCs w:val="20"/>
                <w:color w:val="auto"/>
              </w:rPr>
            </w:pPr>
            <w:r>
              <w:rPr>
                <w:rFonts w:ascii="Arial" w:cs="Arial" w:eastAsia="Arial" w:hAnsi="Arial"/>
                <w:sz w:val="20"/>
                <w:szCs w:val="20"/>
                <w:color w:val="auto"/>
              </w:rPr>
              <w:t>2024</w:t>
            </w:r>
          </w:p>
        </w:tc>
        <w:tc>
          <w:tcPr>
            <w:tcW w:w="4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5,750</w:t>
            </w:r>
          </w:p>
        </w:tc>
      </w:tr>
      <w:tr>
        <w:trPr>
          <w:trHeight w:val="270"/>
        </w:trPr>
        <w:tc>
          <w:tcPr>
            <w:tcW w:w="3380" w:type="dxa"/>
            <w:vAlign w:val="bottom"/>
          </w:tcPr>
          <w:p>
            <w:pPr>
              <w:spacing w:after="0"/>
              <w:rPr>
                <w:sz w:val="23"/>
                <w:szCs w:val="23"/>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4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5,750</w:t>
            </w:r>
          </w:p>
        </w:tc>
      </w:tr>
      <w:tr>
        <w:trPr>
          <w:trHeight w:val="270"/>
        </w:trPr>
        <w:tc>
          <w:tcPr>
            <w:tcW w:w="3380" w:type="dxa"/>
            <w:vAlign w:val="bottom"/>
          </w:tcPr>
          <w:p>
            <w:pPr>
              <w:spacing w:after="0"/>
              <w:rPr>
                <w:sz w:val="23"/>
                <w:szCs w:val="23"/>
                <w:color w:val="auto"/>
              </w:rPr>
            </w:pPr>
          </w:p>
        </w:tc>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432,687</w:t>
            </w:r>
          </w:p>
        </w:tc>
      </w:tr>
      <w:tr>
        <w:trPr>
          <w:trHeight w:val="284"/>
        </w:trPr>
        <w:tc>
          <w:tcPr>
            <w:tcW w:w="3380" w:type="dxa"/>
            <w:vAlign w:val="bottom"/>
          </w:tcPr>
          <w:p>
            <w:pPr>
              <w:spacing w:after="0"/>
              <w:rPr>
                <w:sz w:val="24"/>
                <w:szCs w:val="24"/>
                <w:color w:val="auto"/>
              </w:rPr>
            </w:pPr>
          </w:p>
        </w:tc>
        <w:tc>
          <w:tcPr>
            <w:tcW w:w="2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0"/>
        </w:trPr>
        <w:tc>
          <w:tcPr>
            <w:tcW w:w="338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For the years ended December 31, 2020, 2019 and 2018, interest expense related to the long-term debt totaled $11.3 million, $11.5 million and $17.4 million, respectively, which consisted of cash interest, and amortization of the debt discount and financing costs.</w:t>
      </w:r>
    </w:p>
    <w:p>
      <w:pPr>
        <w:spacing w:after="0" w:line="209"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Loan</w:t>
      </w: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On August 22, 2018, the Company entered into a $38.6 million senior secured promissory note, as amended (the “Related Party Loan”) with a unit holder of Former Parent that bore interest at a stated rate of 12% per year. Interest payments on the Related Party Loan were due quarterly and were based on the division of the Related Party Loan into two tranches: a $22.5 million tranche (“Tranche A”) that required cash interest payments and; a $16.1 million tranche (“Tranche B”) that provided for payments in kind (“PIK”) through the addition of accrued interest to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balance of the Related Party Loan, presented in the accompanying consolidated balance sheets net of debt discount and issuance costs, is $41.8 million at December 31, 2019. The Company paid the remaining outstanding balance and accrued interest on July 31, 2020 to settle the obligation with respect to the Related Party Loan.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For the years ended December 31, 2020, 2019 and 2018, interest expense related to the Related Party Loan totaled</w:t>
      </w:r>
    </w:p>
    <w:p>
      <w:pPr>
        <w:spacing w:after="0" w:line="13"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$3.8 million, $7.3 million and $2.6 million, respectively, which consisted of cash interest, PIK interest and amortization of the debt discount.</w:t>
      </w:r>
    </w:p>
    <w:p>
      <w:pPr>
        <w:spacing w:after="0" w:line="19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Common and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Shares</w:t>
      </w:r>
    </w:p>
    <w:p>
      <w:pPr>
        <w:spacing w:after="0" w:line="3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On October 14, 2020, in connection with the IPO, a new Certificate of Incorporation became effective for the Company, which authorized capital stock of 1,000,000,000 shares of common stock, $0.001 par value, and 5,000,000 shares of preferred stock, $0.001 par value.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19" w:lineRule="exact"/>
        <w:rPr>
          <w:sz w:val="20"/>
          <w:szCs w:val="20"/>
          <w:color w:val="auto"/>
        </w:rPr>
      </w:pPr>
    </w:p>
    <w:p>
      <w:pPr>
        <w:ind w:right="300"/>
        <w:spacing w:after="0" w:line="261" w:lineRule="auto"/>
        <w:rPr>
          <w:sz w:val="20"/>
          <w:szCs w:val="20"/>
          <w:color w:val="auto"/>
        </w:rPr>
      </w:pPr>
      <w:r>
        <w:rPr>
          <w:rFonts w:ascii="Arial" w:cs="Arial" w:eastAsia="Arial" w:hAnsi="Arial"/>
          <w:sz w:val="20"/>
          <w:szCs w:val="20"/>
          <w:color w:val="auto"/>
        </w:rPr>
        <w:t>Each holder of Common Stock shall be entitled to one vote for each share of Common Stock held as of the applicable record date on any matter that is submitted to a vote or for the consent of the stockholders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3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holders of Common Stock shall be entitled to share equally, on a per share basis, in such dividends and other distributions of cash, property or shares of stock of the Company as may be declared by the Board of Directors of the Company (the “Board”), subject to the preferences applicable to holders of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w:t>
      </w:r>
    </w:p>
    <w:p>
      <w:pPr>
        <w:spacing w:after="0" w:line="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the event of the voluntary or involuntary liquidation, dissolution, distribution of assets or winding up of the Company, all assets of the Corporation of whatever kind available for distribution to the holders of Common Stock shall be divided among and paid ratably to the holders of Common Stock, subject to the preferences applicable to holders of Preferred Stock.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Preferred Stock may be issued from time to time by the Company for such consideration as may be fixed by the Board. The Board is authorized to provide for one or more series of Preferred Stock and to fix the designation of such series, the voting rights, preferences and relative, participating, optional and other special 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Revenues</w:t>
      </w:r>
    </w:p>
    <w:p>
      <w:pPr>
        <w:spacing w:after="0" w:line="28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80" w:type="dxa"/>
            <w:vAlign w:val="bottom"/>
          </w:tcPr>
          <w:p>
            <w:pPr>
              <w:spacing w:after="0"/>
              <w:rPr>
                <w:sz w:val="22"/>
                <w:szCs w:val="22"/>
                <w:color w:val="auto"/>
              </w:rPr>
            </w:pPr>
          </w:p>
        </w:tc>
        <w:tc>
          <w:tcPr>
            <w:tcW w:w="34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Year Ended December 31,</w:t>
            </w:r>
          </w:p>
        </w:tc>
        <w:tc>
          <w:tcPr>
            <w:tcW w:w="820" w:type="dxa"/>
            <w:vAlign w:val="bottom"/>
            <w:tcBorders>
              <w:bottom w:val="single" w:sz="8" w:color="auto"/>
            </w:tcBorders>
          </w:tcPr>
          <w:p>
            <w:pPr>
              <w:spacing w:after="0"/>
              <w:rPr>
                <w:sz w:val="22"/>
                <w:szCs w:val="22"/>
                <w:color w:val="auto"/>
              </w:rPr>
            </w:pPr>
          </w:p>
        </w:tc>
      </w:tr>
      <w:tr>
        <w:trPr>
          <w:trHeight w:val="237"/>
        </w:trPr>
        <w:tc>
          <w:tcPr>
            <w:tcW w:w="69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2019</w:t>
            </w:r>
          </w:p>
        </w:tc>
        <w:tc>
          <w:tcPr>
            <w:tcW w:w="820" w:type="dxa"/>
            <w:vAlign w:val="bottom"/>
            <w:tcBorders>
              <w:bottom w:val="single" w:sz="8" w:color="auto"/>
            </w:tcBorders>
          </w:tcPr>
          <w:p>
            <w:pPr>
              <w:spacing w:after="0"/>
              <w:rPr>
                <w:sz w:val="20"/>
                <w:szCs w:val="20"/>
                <w:color w:val="auto"/>
              </w:rPr>
            </w:pPr>
          </w:p>
        </w:tc>
      </w:tr>
      <w:tr>
        <w:trPr>
          <w:trHeight w:val="26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Revenues</w:t>
            </w:r>
          </w:p>
        </w:tc>
        <w:tc>
          <w:tcPr>
            <w:tcW w:w="1280" w:type="dxa"/>
            <w:vAlign w:val="bottom"/>
            <w:shd w:val="clear" w:color="auto" w:fill="CCEEFF"/>
          </w:tcPr>
          <w:p>
            <w:pPr>
              <w:jc w:val="right"/>
              <w:ind w:right="1081"/>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863,345</w:t>
            </w:r>
          </w:p>
        </w:tc>
        <w:tc>
          <w:tcPr>
            <w:tcW w:w="1360" w:type="dxa"/>
            <w:vAlign w:val="bottom"/>
            <w:gridSpan w:val="2"/>
            <w:shd w:val="clear" w:color="auto" w:fill="CCEEFF"/>
          </w:tcPr>
          <w:p>
            <w:pPr>
              <w:jc w:val="right"/>
              <w:ind w:right="10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599,863</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Revenues</w:t>
            </w:r>
          </w:p>
        </w:tc>
        <w:tc>
          <w:tcPr>
            <w:tcW w:w="1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9,317</w:t>
            </w:r>
          </w:p>
        </w:tc>
        <w:tc>
          <w:tcPr>
            <w:tcW w:w="8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48,036</w:t>
            </w:r>
          </w:p>
        </w:tc>
      </w:tr>
      <w:tr>
        <w:trPr>
          <w:trHeight w:val="284"/>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280" w:type="dxa"/>
            <w:vAlign w:val="bottom"/>
            <w:shd w:val="clear" w:color="auto" w:fill="CCEEFF"/>
          </w:tcPr>
          <w:p>
            <w:pPr>
              <w:jc w:val="right"/>
              <w:ind w:right="1081"/>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872,662</w:t>
            </w:r>
          </w:p>
        </w:tc>
        <w:tc>
          <w:tcPr>
            <w:tcW w:w="1360" w:type="dxa"/>
            <w:vAlign w:val="bottom"/>
            <w:gridSpan w:val="2"/>
            <w:shd w:val="clear" w:color="auto" w:fill="CCEEFF"/>
          </w:tcPr>
          <w:p>
            <w:pPr>
              <w:jc w:val="right"/>
              <w:ind w:right="10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647,899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computation of basic and diluted earnings per share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jc w:val="right"/>
              <w:ind w:right="261"/>
              <w:spacing w:after="0"/>
              <w:rPr>
                <w:sz w:val="20"/>
                <w:szCs w:val="20"/>
                <w:color w:val="auto"/>
              </w:rPr>
            </w:pPr>
            <w:r>
              <w:rPr>
                <w:rFonts w:ascii="Arial" w:cs="Arial" w:eastAsia="Arial" w:hAnsi="Arial"/>
                <w:sz w:val="20"/>
                <w:szCs w:val="20"/>
                <w:b w:val="1"/>
                <w:bCs w:val="1"/>
                <w:color w:val="auto"/>
              </w:rPr>
              <w:t>Year Ended December 31,</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2019</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880" w:type="dxa"/>
            <w:vAlign w:val="bottom"/>
            <w:gridSpan w:val="2"/>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39,745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Basic:</w:t>
            </w: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Weighted average number of shares</w:t>
            </w:r>
          </w:p>
        </w:tc>
        <w:tc>
          <w:tcPr>
            <w:tcW w:w="6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121,467</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119,994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20"/>
                <w:szCs w:val="20"/>
                <w:color w:val="auto"/>
              </w:rPr>
              <w:t>Earnings per share</w:t>
            </w: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vMerge w:val="continue"/>
          </w:tcPr>
          <w:p>
            <w:pPr>
              <w:spacing w:after="0"/>
              <w:rPr>
                <w:sz w:val="21"/>
                <w:szCs w:val="21"/>
                <w:color w:val="auto"/>
              </w:rPr>
            </w:pPr>
          </w:p>
        </w:tc>
        <w:tc>
          <w:tcPr>
            <w:tcW w:w="1880" w:type="dxa"/>
            <w:vAlign w:val="bottom"/>
            <w:gridSpan w:val="2"/>
          </w:tcPr>
          <w:p>
            <w:pPr>
              <w:jc w:val="right"/>
              <w:ind w:right="104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0.49</w:t>
            </w:r>
          </w:p>
        </w:tc>
        <w:tc>
          <w:tcPr>
            <w:tcW w:w="80" w:type="dxa"/>
            <w:vAlign w:val="bottom"/>
          </w:tcPr>
          <w:p>
            <w:pPr>
              <w:spacing w:after="0"/>
              <w:rPr>
                <w:sz w:val="21"/>
                <w:szCs w:val="21"/>
                <w:color w:val="auto"/>
              </w:rPr>
            </w:pPr>
          </w:p>
        </w:tc>
        <w:tc>
          <w:tcPr>
            <w:tcW w:w="1240" w:type="dxa"/>
            <w:vAlign w:val="bottom"/>
          </w:tcPr>
          <w:p>
            <w:pPr>
              <w:jc w:val="right"/>
              <w:ind w:right="104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0.33</w:t>
            </w:r>
          </w:p>
        </w:tc>
        <w:tc>
          <w:tcPr>
            <w:tcW w:w="80" w:type="dxa"/>
            <w:vAlign w:val="bottom"/>
          </w:tcPr>
          <w:p>
            <w:pPr>
              <w:spacing w:after="0"/>
              <w:rPr>
                <w:sz w:val="21"/>
                <w:szCs w:val="21"/>
                <w:color w:val="auto"/>
              </w:rPr>
            </w:pP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6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300" w:type="dxa"/>
            <w:vAlign w:val="bottom"/>
          </w:tcPr>
          <w:p>
            <w:pPr>
              <w:ind w:left="460"/>
              <w:spacing w:after="0"/>
              <w:rPr>
                <w:sz w:val="20"/>
                <w:szCs w:val="20"/>
                <w:color w:val="auto"/>
              </w:rPr>
            </w:pPr>
            <w:r>
              <w:rPr>
                <w:rFonts w:ascii="Arial" w:cs="Arial" w:eastAsia="Arial" w:hAnsi="Arial"/>
                <w:sz w:val="20"/>
                <w:szCs w:val="20"/>
                <w:color w:val="auto"/>
              </w:rPr>
              <w:t>RSU dilutive shares</w:t>
            </w: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Weighted average number of shares</w:t>
            </w:r>
          </w:p>
        </w:tc>
        <w:tc>
          <w:tcPr>
            <w:tcW w:w="6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121,514</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119,994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20"/>
                <w:szCs w:val="20"/>
                <w:color w:val="auto"/>
              </w:rPr>
              <w:t>Earnings (loss) per share</w:t>
            </w: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vMerge w:val="continue"/>
          </w:tcPr>
          <w:p>
            <w:pPr>
              <w:spacing w:after="0"/>
              <w:rPr>
                <w:sz w:val="21"/>
                <w:szCs w:val="21"/>
                <w:color w:val="auto"/>
              </w:rPr>
            </w:pPr>
          </w:p>
        </w:tc>
        <w:tc>
          <w:tcPr>
            <w:tcW w:w="1880" w:type="dxa"/>
            <w:vAlign w:val="bottom"/>
            <w:gridSpan w:val="2"/>
          </w:tcPr>
          <w:p>
            <w:pPr>
              <w:jc w:val="right"/>
              <w:ind w:right="104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0.49</w:t>
            </w:r>
          </w:p>
        </w:tc>
        <w:tc>
          <w:tcPr>
            <w:tcW w:w="80" w:type="dxa"/>
            <w:vAlign w:val="bottom"/>
          </w:tcPr>
          <w:p>
            <w:pPr>
              <w:spacing w:after="0"/>
              <w:rPr>
                <w:sz w:val="21"/>
                <w:szCs w:val="21"/>
                <w:color w:val="auto"/>
              </w:rPr>
            </w:pPr>
          </w:p>
        </w:tc>
        <w:tc>
          <w:tcPr>
            <w:tcW w:w="1240" w:type="dxa"/>
            <w:vAlign w:val="bottom"/>
          </w:tcPr>
          <w:p>
            <w:pPr>
              <w:jc w:val="right"/>
              <w:ind w:right="104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0.33</w:t>
            </w:r>
          </w:p>
        </w:tc>
        <w:tc>
          <w:tcPr>
            <w:tcW w:w="80" w:type="dxa"/>
            <w:vAlign w:val="bottom"/>
          </w:tcPr>
          <w:p>
            <w:pPr>
              <w:spacing w:after="0"/>
              <w:rPr>
                <w:sz w:val="21"/>
                <w:szCs w:val="21"/>
                <w:color w:val="auto"/>
              </w:rPr>
            </w:pP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There were 26,671,594 Class B units and 1,000 Class C units of Former Parent issued to certain employees or directors of the Company which were not included in the calculation of basic or diluted EPS for the years ended December 31, 2020 and 2019, as the Class B and Class C units do not represent potential units of the Company.</w:t>
      </w:r>
    </w:p>
    <w:p>
      <w:pPr>
        <w:spacing w:after="0" w:line="209"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80" w:lineRule="exact"/>
        <w:rPr>
          <w:sz w:val="20"/>
          <w:szCs w:val="20"/>
          <w:color w:val="auto"/>
        </w:rPr>
      </w:pPr>
    </w:p>
    <w:p>
      <w:pPr>
        <w:ind w:right="1040"/>
        <w:spacing w:after="0" w:line="261" w:lineRule="auto"/>
        <w:rPr>
          <w:sz w:val="20"/>
          <w:szCs w:val="20"/>
          <w:color w:val="auto"/>
        </w:rPr>
      </w:pPr>
      <w:r>
        <w:rPr>
          <w:rFonts w:ascii="Arial" w:cs="Arial" w:eastAsia="Arial" w:hAnsi="Arial"/>
          <w:sz w:val="20"/>
          <w:szCs w:val="20"/>
          <w:color w:val="auto"/>
        </w:rPr>
        <w:t>Future minimum lease payments under non-cancellable operating leases as of December 31, 2020 are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360" w:type="dxa"/>
        <w:tblCellMar>
          <w:top w:w="0" w:type="dxa"/>
          <w:left w:w="0" w:type="dxa"/>
          <w:bottom w:w="0" w:type="dxa"/>
          <w:right w:w="0" w:type="dxa"/>
        </w:tblCellMar>
      </w:tblPr>
      <w:tr>
        <w:trPr>
          <w:trHeight w:val="233"/>
        </w:trPr>
        <w:tc>
          <w:tcPr>
            <w:tcW w:w="4420" w:type="dxa"/>
            <w:vAlign w:val="bottom"/>
          </w:tcPr>
          <w:p>
            <w:pPr>
              <w:spacing w:after="0"/>
              <w:rPr>
                <w:sz w:val="20"/>
                <w:szCs w:val="20"/>
                <w:color w:val="auto"/>
              </w:rPr>
            </w:pPr>
            <w:r>
              <w:rPr>
                <w:rFonts w:ascii="Arial" w:cs="Arial" w:eastAsia="Arial" w:hAnsi="Arial"/>
                <w:sz w:val="20"/>
                <w:szCs w:val="20"/>
                <w:color w:val="auto"/>
              </w:rPr>
              <w:t>For the Year Ending December 31,</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2021</w:t>
            </w:r>
          </w:p>
        </w:tc>
        <w:tc>
          <w:tcPr>
            <w:tcW w:w="82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6,663</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2022</w:t>
            </w:r>
          </w:p>
        </w:tc>
        <w:tc>
          <w:tcPr>
            <w:tcW w:w="8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6,073</w:t>
            </w: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2023</w:t>
            </w:r>
          </w:p>
        </w:tc>
        <w:tc>
          <w:tcPr>
            <w:tcW w:w="8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2024</w:t>
            </w:r>
          </w:p>
        </w:tc>
        <w:tc>
          <w:tcPr>
            <w:tcW w:w="8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791</w:t>
            </w: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2025</w:t>
            </w:r>
          </w:p>
        </w:tc>
        <w:tc>
          <w:tcPr>
            <w:tcW w:w="8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70"/>
        </w:trPr>
        <w:tc>
          <w:tcPr>
            <w:tcW w:w="44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Thereafter</w:t>
            </w:r>
          </w:p>
        </w:tc>
        <w:tc>
          <w:tcPr>
            <w:tcW w:w="8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4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14,435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For the year ended December 31, 2020, the Company recorded lease expenses associated with its operating leases in cost of revenues and general and administrative within its consolidated statements of operations totaling $7.0 million and $0.4 million, respectively. For the year ended December 31, 2019, the Company recorded lease expenses associated with its operating leases in cost of revenues and general and administrative within its consolidated statements of operations totaling $1.5 million and $0.3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w:t>
      </w:r>
    </w:p>
    <w:p>
      <w:pPr>
        <w:spacing w:after="0" w:line="37"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The Company, in the normal course of business, is subject to claims and litigation. Management believes that there are no outstanding claims or assessments against the Company that would result in a material unfavorable outcome.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w:t>
      </w:r>
    </w:p>
    <w:p>
      <w:pPr>
        <w:spacing w:after="0" w:line="1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Concurrent with Former Parent’s acquisition of Array Technologies Patent Holdings Co., LLC (the “Patent LLC”), Array Tech, Inc. (f/k/a Array Technologies, Inc.) entered into a TRA with the former majority shareholder of Array. The TRA is valued based on the future expected payments under the agreement. The TRA provides for the payment by Array Tech, Inc. (f/k/a Array Technologies,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included in general and administrative in the accompanying consolidated statements of operations. At December 31, 2020 and December 31, 2019, the fair value of the TRA was $19.7 million and $17.8 million, respectively.</w:t>
      </w:r>
    </w:p>
    <w:p>
      <w:pPr>
        <w:spacing w:after="0" w:line="24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9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As of December 31, 2020, the undiscounted future expected payments through December 31, under the TRA are as follows (in thousands):</w:t>
      </w:r>
    </w:p>
    <w:p>
      <w:pPr>
        <w:spacing w:after="0" w:line="245" w:lineRule="exact"/>
        <w:rPr>
          <w:sz w:val="20"/>
          <w:szCs w:val="20"/>
          <w:color w:val="auto"/>
        </w:rPr>
      </w:pPr>
    </w:p>
    <w:tbl>
      <w:tblPr>
        <w:tblLayout w:type="fixed"/>
        <w:tblInd w:w="3400" w:type="dxa"/>
        <w:tblCellMar>
          <w:top w:w="0" w:type="dxa"/>
          <w:left w:w="0" w:type="dxa"/>
          <w:bottom w:w="0" w:type="dxa"/>
          <w:right w:w="0" w:type="dxa"/>
        </w:tblCellMar>
      </w:tblPr>
      <w:tr>
        <w:trPr>
          <w:trHeight w:val="266"/>
        </w:trPr>
        <w:tc>
          <w:tcPr>
            <w:tcW w:w="23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Amount</w:t>
            </w:r>
          </w:p>
        </w:tc>
      </w:tr>
      <w:tr>
        <w:trPr>
          <w:trHeight w:val="268"/>
        </w:trPr>
        <w:tc>
          <w:tcPr>
            <w:tcW w:w="2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2021</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9,113</w:t>
            </w:r>
          </w:p>
        </w:tc>
      </w:tr>
      <w:tr>
        <w:trPr>
          <w:trHeight w:val="270"/>
        </w:trPr>
        <w:tc>
          <w:tcPr>
            <w:tcW w:w="2360" w:type="dxa"/>
            <w:vAlign w:val="bottom"/>
          </w:tcPr>
          <w:p>
            <w:pPr>
              <w:ind w:left="20"/>
              <w:spacing w:after="0"/>
              <w:rPr>
                <w:sz w:val="20"/>
                <w:szCs w:val="20"/>
                <w:color w:val="auto"/>
              </w:rPr>
            </w:pPr>
            <w:r>
              <w:rPr>
                <w:rFonts w:ascii="Arial" w:cs="Arial" w:eastAsia="Arial" w:hAnsi="Arial"/>
                <w:sz w:val="20"/>
                <w:szCs w:val="20"/>
                <w:color w:val="auto"/>
              </w:rPr>
              <w:t>2022</w:t>
            </w:r>
          </w:p>
        </w:tc>
        <w:tc>
          <w:tcPr>
            <w:tcW w:w="4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1,748</w:t>
            </w:r>
          </w:p>
        </w:tc>
      </w:t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1,748</w:t>
            </w:r>
          </w:p>
        </w:tc>
      </w:tr>
      <w:tr>
        <w:trPr>
          <w:trHeight w:val="270"/>
        </w:trPr>
        <w:tc>
          <w:tcPr>
            <w:tcW w:w="2360" w:type="dxa"/>
            <w:vAlign w:val="bottom"/>
          </w:tcPr>
          <w:p>
            <w:pPr>
              <w:ind w:left="20"/>
              <w:spacing w:after="0"/>
              <w:rPr>
                <w:sz w:val="20"/>
                <w:szCs w:val="20"/>
                <w:color w:val="auto"/>
              </w:rPr>
            </w:pPr>
            <w:r>
              <w:rPr>
                <w:rFonts w:ascii="Arial" w:cs="Arial" w:eastAsia="Arial" w:hAnsi="Arial"/>
                <w:sz w:val="20"/>
                <w:szCs w:val="20"/>
                <w:color w:val="auto"/>
              </w:rPr>
              <w:t>2024</w:t>
            </w:r>
          </w:p>
        </w:tc>
        <w:tc>
          <w:tcPr>
            <w:tcW w:w="4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1,748</w:t>
            </w:r>
          </w:p>
        </w:tc>
      </w:t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w:t>
            </w:r>
          </w:p>
        </w:tc>
      </w:tr>
      <w:tr>
        <w:trPr>
          <w:trHeight w:val="270"/>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9,186</w:t>
            </w:r>
          </w:p>
        </w:tc>
      </w:tr>
      <w:tr>
        <w:trPr>
          <w:trHeight w:val="284"/>
        </w:trPr>
        <w:tc>
          <w:tcPr>
            <w:tcW w:w="23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25,292</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33"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Company is required to pay the selling stockholders of Array future contingent consideration consisting of earn-out payments in the form of cash upon the occurrence of certain events, including the sale, transfer, assignment, pledge, encumbrance, distribution or disposition of shares held by the acquirer to a third party; initial public 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is re-measured to fair value with changes in fair value included in general and administrative in the accompanying consolidated statements of operations.</w:t>
      </w:r>
    </w:p>
    <w:p>
      <w:pPr>
        <w:spacing w:after="0" w:line="236"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On October 14, 2020 and December 7, 2020, as a result of certain qualifying events, the Special Distribution (see Note 15 - Related Party Transactions) shares sold in the IPO and follow on offering by the Former Parent, a payment of $9.1 million and $15.9 million was made to holders of the earn-out. As a result of the payments there are no further obligations related to the Earn-out.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1" w:right="4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b w:val="1"/>
          <w:bCs w:val="1"/>
          <w:color w:val="auto"/>
        </w:rPr>
        <w:t>Array Technologies, Inc. and Subsidiaries</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Earn-Out Liability</w:t>
            </w: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8"/>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2017</w:t>
            </w:r>
          </w:p>
        </w:tc>
        <w:tc>
          <w:tcPr>
            <w:tcW w:w="126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17,993</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18,435</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Fair value adjustment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(825)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(825)</w:t>
            </w:r>
          </w:p>
        </w:tc>
        <w:tc>
          <w:tcPr>
            <w:tcW w:w="0" w:type="dxa"/>
            <w:vAlign w:val="bottom"/>
          </w:tcPr>
          <w:p>
            <w:pPr>
              <w:spacing w:after="0"/>
              <w:rPr>
                <w:sz w:val="1"/>
                <w:szCs w:val="1"/>
                <w:color w:val="auto"/>
              </w:rPr>
            </w:pPr>
          </w:p>
        </w:tc>
      </w:tr>
      <w:tr>
        <w:trPr>
          <w:trHeight w:val="26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2018</w:t>
            </w:r>
          </w:p>
        </w:tc>
        <w:tc>
          <w:tcPr>
            <w:tcW w:w="12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17,168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17,610</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IRS Settlement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(2,727)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3,367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3,367</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December 31, 2019</w:t>
            </w:r>
          </w:p>
        </w:tc>
        <w:tc>
          <w:tcPr>
            <w:tcW w:w="1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17,808</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24,558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(25,000)</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(25,000)</w:t>
            </w: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2020</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Surety Bond</w:t>
      </w:r>
    </w:p>
    <w:p>
      <w:pPr>
        <w:spacing w:after="0" w:line="2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Company provides surety bonds to various parties as required for certain transactions initiated during the ordinary course of business to guarantee the Company’s performance in accordance with contractual or legal obligations. As of December 31, 2020, the maximum potential payment obligation with regard to surety bonds was $121.2 million.</w:t>
      </w:r>
    </w:p>
    <w:p>
      <w:pPr>
        <w:spacing w:after="0" w:line="21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Units and Class C Units of Former Parent</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The Company accounts for equity grants to employees (Class B units and Class C units,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40"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2020 Plan</w:t>
      </w:r>
    </w:p>
    <w:p>
      <w:pPr>
        <w:spacing w:after="0" w:line="37"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Effective October 14, 2020, the Company granted an aggregate of 29,398 restricted stock units (RSU’s) to its non-employee directors in connection with their service on the board of directors and 470,608 RSU’s to certain executives and members of management. The RSU’s were granted under the 2020 Plan at the IPO price of $22.00 per share. Each share has a vesting commencement date of and is subject to a two to three-year vesting schedule, vesting annually on the anniversary date of the vesting commencement date.</w:t>
      </w:r>
    </w:p>
    <w:p>
      <w:pPr>
        <w:sectPr>
          <w:pgSz w:w="11900" w:h="16838" w:orient="portrait"/>
          <w:cols w:equalWidth="0" w:num="1">
            <w:col w:w="11240"/>
          </w:cols>
          <w:pgMar w:left="320" w:top="141" w:right="3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2019</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Unvested,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58"/>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5"/>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-908050</wp:posOffset>
            </wp:positionV>
            <wp:extent cx="713232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-556895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-213995</wp:posOffset>
            </wp:positionV>
            <wp:extent cx="713232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141" w:right="339" w:bottom="1440" w:gutter="0" w:footer="0" w:header="0"/>
          <w:type w:val="continuous"/>
        </w:sectPr>
      </w:pP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For the year ended December 31, 2020 and 2019, the Company recognized $4.8 million and $0.8 million, respectively, in equity-based compensation. At December 31, 2020, the Company had $17.0 million of unrecognized compensation costs related to Class B units and RSU’s which is expected to be recognized over approximately 3 years. There were no forfeitures during 2020 or 2019.</w:t>
      </w:r>
    </w:p>
    <w:p>
      <w:pPr>
        <w:spacing w:after="0" w:line="210"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Payable-Related Party</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 had $2.2 million and $5.9 million at December 31, 2020 and 2019, respectively, of accounts payable - related party with the former shareholders of Array and current unit holder of Former Parent.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Distribution to Former Parent</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On October 14, 2020, the Company issued a special distribution of $589 million to Former Parent (the “Special Distribution”).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Consent Fees-Related Party</w:t>
      </w:r>
    </w:p>
    <w:p>
      <w:pPr>
        <w:spacing w:after="0" w:line="37"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The Company incurred $2.2 million in consent fees with the former majority shareholder of Array to allow a carryback of post-acquisition net operating losses to pre-acquisition periods under the CARES Act. The consent fee is included in accounts payable – related party and other expense, net in the accompanying consolidated financial statements at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Loans - see Note 9</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 - see Note 13</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16</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Geographic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Summary information about geographic areas:</w:t>
      </w:r>
    </w:p>
    <w:p>
      <w:pPr>
        <w:spacing w:after="0" w:line="24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operating and reportable segment and derives revenues from selling its product. The Company’s long-lived assets are located in the United States.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Revenues within geographic areas based upon Customers’ project location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6"/>
          </w:tcPr>
          <w:p>
            <w:pPr>
              <w:jc w:val="right"/>
              <w:ind w:right="241"/>
              <w:spacing w:after="0"/>
              <w:rPr>
                <w:sz w:val="20"/>
                <w:szCs w:val="20"/>
                <w:color w:val="auto"/>
              </w:rPr>
            </w:pPr>
            <w:r>
              <w:rPr>
                <w:rFonts w:ascii="Arial" w:cs="Arial" w:eastAsia="Arial" w:hAnsi="Arial"/>
                <w:sz w:val="20"/>
                <w:szCs w:val="20"/>
                <w:b w:val="1"/>
                <w:bCs w:val="1"/>
                <w:color w:val="auto"/>
              </w:rPr>
              <w:t>Year Ended December 31,</w:t>
            </w:r>
          </w:p>
        </w:tc>
        <w:tc>
          <w:tcPr>
            <w:tcW w:w="1560" w:type="dxa"/>
            <w:vAlign w:val="bottom"/>
            <w:tcBorders>
              <w:bottom w:val="single" w:sz="8" w:color="auto"/>
            </w:tcBorders>
          </w:tcPr>
          <w:p>
            <w:pPr>
              <w:spacing w:after="0"/>
              <w:rPr>
                <w:sz w:val="22"/>
                <w:szCs w:val="22"/>
                <w:color w:val="auto"/>
              </w:rPr>
            </w:pPr>
          </w:p>
        </w:tc>
      </w:tr>
      <w:tr>
        <w:trPr>
          <w:trHeight w:val="237"/>
        </w:trPr>
        <w:tc>
          <w:tcPr>
            <w:tcW w:w="50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2018</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United States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805,070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563,157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218,380</w:t>
            </w:r>
          </w:p>
        </w:tc>
      </w:tr>
      <w:tr>
        <w:trPr>
          <w:trHeight w:val="270"/>
        </w:trPr>
        <w:tc>
          <w:tcPr>
            <w:tcW w:w="5020" w:type="dxa"/>
            <w:vAlign w:val="bottom"/>
          </w:tcPr>
          <w:p>
            <w:pPr>
              <w:ind w:left="20"/>
              <w:spacing w:after="0"/>
              <w:rPr>
                <w:sz w:val="20"/>
                <w:szCs w:val="20"/>
                <w:color w:val="auto"/>
              </w:rPr>
            </w:pPr>
            <w:r>
              <w:rPr>
                <w:rFonts w:ascii="Arial" w:cs="Arial" w:eastAsia="Arial" w:hAnsi="Arial"/>
                <w:sz w:val="20"/>
                <w:szCs w:val="20"/>
                <w:color w:val="auto"/>
              </w:rPr>
              <w:t>Australia</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45,216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51,531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51,450</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Rest of the world</w:t>
            </w: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22,376</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33,211</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20,953</w:t>
            </w:r>
          </w:p>
        </w:tc>
      </w:tr>
      <w:tr>
        <w:trPr>
          <w:trHeight w:val="259"/>
        </w:trPr>
        <w:tc>
          <w:tcPr>
            <w:tcW w:w="502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872,662</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647,899</w:t>
            </w:r>
          </w:p>
        </w:tc>
        <w:tc>
          <w:tcPr>
            <w:tcW w:w="80" w:type="dxa"/>
            <w:vAlign w:val="bottom"/>
          </w:tcPr>
          <w:p>
            <w:pPr>
              <w:spacing w:after="0"/>
              <w:rPr>
                <w:sz w:val="22"/>
                <w:szCs w:val="22"/>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290,783</w:t>
            </w:r>
          </w:p>
        </w:tc>
      </w:tr>
      <w:tr>
        <w:trPr>
          <w:trHeight w:val="25"/>
        </w:trPr>
        <w:tc>
          <w:tcPr>
            <w:tcW w:w="50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17</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Subsequent Events</w:t>
      </w:r>
    </w:p>
    <w:p>
      <w:pPr>
        <w:spacing w:after="0" w:line="267"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On February 26, 2021, the Company executed that certain incremental facility amendment No. 2 (the “Second Amendment”) to its Senior Secured Credit Facility entered into on October 14, 2020. The Second Amendment increases the revolving credit commitments under the original Senior Credit Facility by $50.0 million from $150.0 million to $200.0 million.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ectPr>
          <w:pgSz w:w="11900" w:h="16838" w:orient="portrait"/>
          <w:cols w:equalWidth="0" w:num="1">
            <w:col w:w="11240"/>
          </w:cols>
          <w:pgMar w:left="320" w:top="141"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In connection with our IPO, we converted from a Delaware limited liability company into a Delaware corporation, by filing a certificate of conversion with the office of the Secretary of the State of Delaware, and changed our name from ATI Intermediate Holdings, LLC to Array Technologies, Inc. We also filed with the office of the Secretary of the State of Delaware our amended and restated certificate of incorporation (our “Certificate of Incorporation”) and adopted our bylaws (our “Bylaws”), effective upon the consummation of our IPO. Below is a summary of the material terms and provisions of our Certificate of Incorporation and our Bylaws affecting the rights of our stockholders upon the consummation of our IPO, as well as relevant provisions of Delaware law affecting the rights of our stockholders. This summary does not purport to be complete and is qualified in its entirety by the provisions of our Certificate of Incorporation, our Bylaws and the DGCL. Copies of our Certificate of Incorporation and Bylaws have been filed with the SEC as exhibits to the registration statement on Form S-1 filed on October 8, 2020. References in this section to the “Company,” “we,” “us” and “our” refer to Array Technologies, Inc. and not to any of its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Our authorized capital stock consists of 1 billion shares of common stock, par value $0.001 per share, and 5,000,000 shares of preferred stock, par value $0.001 per share.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20, 2020, there were 126,994,467 shares of common stock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our common stock are entitled to one vote per share on all matters submitted to a vote of</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otherwise required by law, holders of common stock, as such, shall not be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178"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common stock will be entitled to receive dividends if, as and when declared by our board of directors, out of our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assets, in cash, property, shares of our common stock or other securities, after payments of dividends required to be paid on outstanding preferred stock, if any.</w:t>
      </w:r>
    </w:p>
    <w:p>
      <w:pPr>
        <w:spacing w:after="0" w:line="18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i w:val="1"/>
          <w:iCs w:val="1"/>
          <w:color w:val="auto"/>
        </w:rPr>
        <w:t xml:space="preserve">Distributions in Connection with Mergers or Other Business Combinations. </w:t>
      </w:r>
      <w:r>
        <w:rPr>
          <w:rFonts w:ascii="Arial" w:cs="Arial" w:eastAsia="Arial" w:hAnsi="Arial"/>
          <w:sz w:val="18"/>
          <w:szCs w:val="18"/>
          <w:color w:val="auto"/>
        </w:rPr>
        <w:t>Upon a merger, consolidation or substantially similar transaction,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class of common stock will be entitled to receive equal per share payments or distributions.</w:t>
      </w:r>
    </w:p>
    <w:p>
      <w:pPr>
        <w:spacing w:after="0" w:line="170"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Upon our liquidation, dissolution or winding up, any business combination or a sale or disposition of all or substantially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the assets legally available for distribution to our stockholders will be distributable ratably among the holders of the common stock, subject to prior satisfaction of all outstanding debts and other liabilities and the payment of liquidation preferences, if any, on any outstanding preferred stock.</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Our Certificate of Incorporation does not entitle holders of our common stock to preemptive or conversion rights or other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There are no redemption or sinking fund provisions applicable to our common stock. All outstanding shares of our common stock are, and the shares of common stock offered in this offering will be, fully paid and non-assessable.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93719493_1</w:t>
      </w:r>
    </w:p>
    <w:p>
      <w:pPr>
        <w:sectPr>
          <w:pgSz w:w="11900" w:h="16838" w:orient="portrait"/>
          <w:cols w:equalWidth="0" w:num="1">
            <w:col w:w="11220"/>
          </w:cols>
          <w:pgMar w:left="320" w:top="132" w:right="359" w:bottom="1440" w:gutter="0" w:footer="0" w:header="0"/>
        </w:sectPr>
      </w:pPr>
    </w:p>
    <w:bookmarkStart w:id="101" w:name="page102"/>
    <w:bookmarkEnd w:id="101"/>
    <w:p>
      <w:pPr>
        <w:spacing w:after="0" w:line="9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These additional shares may be used for a variety of corporate purposes, including future public offerings to raise additional capital, acquisitions and employee benefit plans.</w:t>
      </w:r>
    </w:p>
    <w:p>
      <w:pPr>
        <w:spacing w:after="0" w:line="18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Unless required by law or by any stock exchange on which our common stock may be listed, the authorized shares of preferred stock will be available for issuance without further action by our stockholders.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may also increase or decrease the number of shares of any Series of preferred stock, but not below the number of shares of that Series of preferred stock then outstanding, without any further vote or action by the stockholders, without any vote or action by stockholders.</w:t>
      </w:r>
    </w:p>
    <w:p>
      <w:pPr>
        <w:spacing w:after="0" w:line="164"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The existence of unissued and unreserved common stock or preferred stock may enable our board of directors to issue shares to persons friendly to current management, which could render more difficult or discourage an attempt to obtain control of the Company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Limitations on Directors’ Liability</w:t>
      </w:r>
    </w:p>
    <w:p>
      <w:pPr>
        <w:spacing w:after="0" w:line="12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Section 145 of the DGCL grants each Delaware corporation the power to indemnify any person who is or was a director, officer, employee or agent of a corporation,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corporation, by reason of serving or having served in any such capacity, if he or she acted in good faith in a manner reasonably believed to be in, or not opposed to, the best interests of the corporation, and, with respect to any criminal action or proceeding, had no reasonable cause to believe his or her conduct was unlawful. A Delaware corporation may similarly indemnify any such person in actions by or in the right of the corporation if he or she acted in good faith in a manner reasonably believed to be in, or not opposed to, the best interests of the corporation, except that no indemnification may be made in respect of any claim, issue or matter as to which the person shall have been adjudged to be liable to the corporation unless and only to the extent that the Delaware Court of Chancery or the court in which the action was brought determines that, despite adjudication of liability, but in view of all of the circumstances of the case, the person is fairly and reasonably entitled to indemnity for expenses which the Delaware Court of Chancery or other court shall deem proper.</w:t>
      </w:r>
    </w:p>
    <w:p>
      <w:pPr>
        <w:spacing w:after="0" w:line="182"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as a director, except (i) for any breach of the director’s duty of loyalty to the corporation or its stockholders, (ii) for acts or omissions not in good faith or which involve intentional misconduct or a knowing violation of law, (iii) pursuant to Section 174 of the DGCL (providing for director liability with respect to unlawful payment of dividends or unlawful stock purchases or redemptions) or (iv) for any transaction from which a director derived an improper personal benefit. Our Certificate of Incorporation provides for such limitation of liability.</w:t>
      </w:r>
    </w:p>
    <w:p>
      <w:pPr>
        <w:spacing w:after="0" w:line="19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Certificate of Incorporation and Bylaws indemnify our directors and officers to the full extent permitted by the DGCL and our Certificate of Incorporation also allows our board of directors to indemnify other employees. This indemnification extends to the payment of judgments in actions against officers and directors and to reimbursement of amounts paid in settlement of such claims or actions and may apply to judgments in favor of the corporation or amounts paid in settlement to the corporation. This indemnification also extends to the payment of attorneys’ fees and expenses of officers and directors in suits against them where the officer or director acted in good faith and in a manner he or she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93719493_1</w:t>
      </w:r>
    </w:p>
    <w:p>
      <w:pPr>
        <w:sectPr>
          <w:pgSz w:w="11900" w:h="16838" w:orient="portrait"/>
          <w:cols w:equalWidth="0" w:num="1">
            <w:col w:w="11240"/>
          </w:cols>
          <w:pgMar w:left="320" w:top="1440" w:right="339" w:bottom="1440" w:gutter="0" w:footer="0" w:header="0"/>
        </w:sectPr>
      </w:pPr>
    </w:p>
    <w:bookmarkStart w:id="102" w:name="page103"/>
    <w:bookmarkEnd w:id="102"/>
    <w:p>
      <w:pPr>
        <w:jc w:val="both"/>
        <w:ind w:right="140"/>
        <w:spacing w:after="0" w:line="263" w:lineRule="auto"/>
        <w:rPr>
          <w:sz w:val="20"/>
          <w:szCs w:val="20"/>
          <w:color w:val="auto"/>
        </w:rPr>
      </w:pPr>
      <w:r>
        <w:rPr>
          <w:rFonts w:ascii="Arial" w:cs="Arial" w:eastAsia="Arial" w:hAnsi="Arial"/>
          <w:sz w:val="18"/>
          <w:szCs w:val="18"/>
          <w:color w:val="auto"/>
        </w:rPr>
        <w:t>Company, and, with respect to any criminal action or proceeding, he or she had no reasonable cause to believe his or her conduct was unlawful. This right of indemnification is not exclusive of any right to which the officer or director may be entitled as a matter of law and shall extend and apply to the estates of deceased officers and directors.</w:t>
      </w:r>
    </w:p>
    <w:p>
      <w:pPr>
        <w:spacing w:after="0" w:line="184" w:lineRule="exact"/>
        <w:rPr>
          <w:sz w:val="20"/>
          <w:szCs w:val="20"/>
          <w:color w:val="auto"/>
        </w:rPr>
      </w:pPr>
    </w:p>
    <w:p>
      <w:pPr>
        <w:ind w:right="260" w:firstLine="441"/>
        <w:spacing w:after="0" w:line="263" w:lineRule="auto"/>
        <w:rPr>
          <w:sz w:val="20"/>
          <w:szCs w:val="20"/>
          <w:color w:val="auto"/>
        </w:rPr>
      </w:pPr>
      <w:r>
        <w:rPr>
          <w:rFonts w:ascii="Arial" w:cs="Arial" w:eastAsia="Arial" w:hAnsi="Arial"/>
          <w:sz w:val="18"/>
          <w:szCs w:val="18"/>
          <w:color w:val="auto"/>
        </w:rPr>
        <w:t>We maintain a directors’ and officers’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w:t>
      </w:r>
    </w:p>
    <w:p>
      <w:pPr>
        <w:spacing w:after="0" w:line="18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believe that the limitation of liability and indemnification provisions in our Certificate of Incorporation, Bylaws and insurance policies are necessary to attract and retain qualified directors and officers. However, these provisions may discourage derivative litigation against directors and officers, even though an action, if successful, might benefit us and other stockholders. Furthermore, a stockholder’s investment may be adversely affected to the extent we pay the costs of settlement and damage awards against directors and officers as required or allowed by these limitation of liability and indemnification provisions.</w:t>
      </w:r>
    </w:p>
    <w:p>
      <w:pPr>
        <w:spacing w:after="0" w:line="18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officers, employees or agents as to which indemnification is sought from us, nor are we aware of any threatened litigation or proceeding that may result in an indemnification claim.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121" w:lineRule="exact"/>
        <w:rPr>
          <w:sz w:val="20"/>
          <w:szCs w:val="20"/>
          <w:color w:val="auto"/>
        </w:rPr>
      </w:pPr>
    </w:p>
    <w:p>
      <w:pPr>
        <w:ind w:right="40" w:firstLine="441"/>
        <w:spacing w:after="0" w:line="301" w:lineRule="auto"/>
        <w:rPr>
          <w:sz w:val="20"/>
          <w:szCs w:val="20"/>
          <w:color w:val="auto"/>
        </w:rPr>
      </w:pPr>
      <w:r>
        <w:rPr>
          <w:rFonts w:ascii="Arial" w:cs="Arial" w:eastAsia="Arial" w:hAnsi="Arial"/>
          <w:sz w:val="16"/>
          <w:szCs w:val="16"/>
          <w:color w:val="auto"/>
        </w:rPr>
        <w:t>Certain provisions of Delaware law, our Certificate of Incorporation and our Bylaws could make the acquisition of the Company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also may promote the continuity of our management by making it more difficult for a person to remove or change the incumbent members of our board of directors.</w:t>
      </w:r>
    </w:p>
    <w:p>
      <w:pPr>
        <w:spacing w:after="0" w:line="157"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Authorized but Unissued Shares; Undesignated Preferred Stock. </w:t>
      </w:r>
      <w:r>
        <w:rPr>
          <w:rFonts w:ascii="Arial" w:cs="Arial" w:eastAsia="Arial" w:hAnsi="Arial"/>
          <w:sz w:val="18"/>
          <w:szCs w:val="18"/>
          <w:color w:val="auto"/>
        </w:rPr>
        <w:t>The authorized but unissued shares of our common stock will be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our board of directors to render more difficult or to discourage an attempt to obtain control of us by means of a merger, tender offer, proxy contest or otherwise.</w:t>
      </w:r>
    </w:p>
    <w:p>
      <w:pPr>
        <w:spacing w:after="0" w:line="195"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i w:val="1"/>
          <w:iCs w:val="1"/>
          <w:color w:val="auto"/>
        </w:rPr>
        <w:t xml:space="preserve">Board Classification. </w:t>
      </w:r>
      <w:r>
        <w:rPr>
          <w:rFonts w:ascii="Arial" w:cs="Arial" w:eastAsia="Arial" w:hAnsi="Arial"/>
          <w:sz w:val="16"/>
          <w:szCs w:val="16"/>
          <w:color w:val="auto"/>
        </w:rPr>
        <w:t>Our Certificate of Incorporation provides that our board of directors is divided into three classes of directors, with the classes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as nearly equal in number as possible, and with the directors serving three-year terms. As a result, approximately one-third of our board of directors are elected each year. The classification of directors will have the effect of making it more difficult for stockholders to change the composition of our board of directors. Our Certificate of Incorporation and Bylaws provide that, subject to any rights of holders of preferred stock to elect additional directors under specified circumstances, the number of directors will be fixed from time to time exclusively pursuant to a resolution adopted by our board of directors.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Our Certificate of Incorporation provides that stockholders are not permitted to cumulate votes in the election of directors.</w:t>
      </w:r>
    </w:p>
    <w:p>
      <w:pPr>
        <w:spacing w:after="0" w:line="194"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Bylaws provide that special meetings of our stockholders may be called, prior to the Trigger Event, only by or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direction of our board of directors or our Chairman at the request of holders of not less than a majority of the combined voting power of our common stock, and, from and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93719493_1</w:t>
      </w:r>
    </w:p>
    <w:p>
      <w:pPr>
        <w:sectPr>
          <w:pgSz w:w="11900" w:h="16838" w:orient="portrait"/>
          <w:cols w:equalWidth="0" w:num="1">
            <w:col w:w="11220"/>
          </w:cols>
          <w:pgMar w:left="320" w:top="1421" w:right="359" w:bottom="1440" w:gutter="0" w:footer="0" w:header="0"/>
        </w:sectPr>
      </w:pPr>
    </w:p>
    <w:bookmarkStart w:id="103" w:name="page104"/>
    <w:bookmarkEnd w:id="103"/>
    <w:p>
      <w:pPr>
        <w:ind w:right="80"/>
        <w:spacing w:after="0" w:line="277" w:lineRule="auto"/>
        <w:rPr>
          <w:sz w:val="20"/>
          <w:szCs w:val="20"/>
          <w:color w:val="auto"/>
        </w:rPr>
      </w:pPr>
      <w:r>
        <w:rPr>
          <w:rFonts w:ascii="Arial" w:cs="Arial" w:eastAsia="Arial" w:hAnsi="Arial"/>
          <w:sz w:val="18"/>
          <w:szCs w:val="18"/>
          <w:color w:val="auto"/>
        </w:rPr>
        <w:t>Trigger Event, only by or at the direction of our board of directors or our Chairman. We expect the Trigger Event to occur following the completion of this offering.</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Stockholder Action by Written Consent. </w:t>
      </w:r>
      <w:r>
        <w:rPr>
          <w:rFonts w:ascii="Arial" w:cs="Arial" w:eastAsia="Arial" w:hAnsi="Arial"/>
          <w:sz w:val="18"/>
          <w:szCs w:val="18"/>
          <w:color w:val="auto"/>
        </w:rPr>
        <w:t>Pursuant to Section 228 of the DGCL, any action required to be taken at any annual or special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 from and after the Trigger Event, which we expect to occur following the completion of this offering.</w:t>
      </w:r>
    </w:p>
    <w:p>
      <w:pPr>
        <w:spacing w:after="0" w:line="192"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i w:val="1"/>
          <w:iCs w:val="1"/>
          <w:color w:val="auto"/>
        </w:rPr>
        <w:t xml:space="preserve">Advance Notice Requirements for Stockholder Proposals and Nomination of Directors. </w:t>
      </w:r>
      <w:r>
        <w:rPr>
          <w:rFonts w:ascii="Arial" w:cs="Arial" w:eastAsia="Arial" w:hAnsi="Arial"/>
          <w:sz w:val="17"/>
          <w:szCs w:val="17"/>
          <w:color w:val="auto"/>
        </w:rPr>
        <w:t>Our Bylaws require stockholders seeking to bring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an annual meeting of stockholders, or to nominate individuals for election as directors at an annual or special meeting of stockholders, to provide timely notice in writing. To be timely, a stockholder’s notice will need to be sent to and received by our Secretary both (1) at our principal executive offices by hand delivery, overnight courier service, or by certified or registered mail, return receipt required, and (2) by electronic mail, as provided in the Bylaws, no later than the close of business on the 90th day, nor earlier than the close of business on the 120th day, prior to the anniversary of the immediately preceding annual meeting of stockholders. However, in the event that the annual meeting is called for a date that is not within 30 days before or 70 days after the anniversary of the immediately preceding annual meeting of stockholders, or if no annual meeting was held in the preceding year, such notice will be timely only if received no earlier than the close of business on the 120th day prior to the annual meeting and no later than the close of business on the later of the 90th day prior to such annual meeting and the tenth day following the date on which a public announcement of the date of the annual meeting was made by us. Our Bylaws also specify requirements as to the form and content of a stockholder’s notice. These provisions may preclude our stockholders from bringing matters before our annual meeting of stockholders or from making nominations for directors at our meetings of stockholders. These provisions may also discourage or deter a potential acquiror from conducting a solicitation of proxies to elect the potential acquiror’s own slate of directors or otherwise attempting to obtain control of the Company.</w:t>
      </w:r>
    </w:p>
    <w:p>
      <w:pPr>
        <w:spacing w:after="0" w:line="186" w:lineRule="exact"/>
        <w:rPr>
          <w:sz w:val="20"/>
          <w:szCs w:val="20"/>
          <w:color w:val="auto"/>
        </w:rPr>
      </w:pPr>
    </w:p>
    <w:p>
      <w:pPr>
        <w:jc w:val="both"/>
        <w:ind w:right="140" w:firstLine="441"/>
        <w:spacing w:after="0" w:line="272" w:lineRule="auto"/>
        <w:rPr>
          <w:sz w:val="20"/>
          <w:szCs w:val="20"/>
          <w:color w:val="auto"/>
        </w:rPr>
      </w:pPr>
      <w:r>
        <w:rPr>
          <w:rFonts w:ascii="Arial" w:cs="Arial" w:eastAsia="Arial" w:hAnsi="Arial"/>
          <w:sz w:val="17"/>
          <w:szCs w:val="17"/>
          <w:i w:val="1"/>
          <w:iCs w:val="1"/>
          <w:color w:val="auto"/>
        </w:rPr>
        <w:t xml:space="preserve">Removal of Directors; Vacancies. </w:t>
      </w:r>
      <w:r>
        <w:rPr>
          <w:rFonts w:ascii="Arial" w:cs="Arial" w:eastAsia="Arial" w:hAnsi="Arial"/>
          <w:sz w:val="17"/>
          <w:szCs w:val="17"/>
          <w:color w:val="auto"/>
        </w:rPr>
        <w:t>Under the DGCL, unless otherwise provided in our Certificate of Incorporation, directors serving on a 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board may be removed by the stockholders only for cause. Our Certificate of Incorporation provides that from and after the Trigger Event, directors may only be removed for cause, and only by the affirmative vote of holders of at least 66 2/3% in voting power of all the then-outstanding shares of common stock of the Company entitled to vote thereon. In addition, our Certificate of Incorporation also provides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We expect the Trigger Event to occur following the completion of this offering.</w:t>
      </w:r>
    </w:p>
    <w:p>
      <w:pPr>
        <w:spacing w:after="0" w:line="17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Supermajority Provisions. </w:t>
      </w:r>
      <w:r>
        <w:rPr>
          <w:rFonts w:ascii="Arial" w:cs="Arial" w:eastAsia="Arial" w:hAnsi="Arial"/>
          <w:sz w:val="18"/>
          <w:szCs w:val="18"/>
          <w:color w:val="auto"/>
        </w:rPr>
        <w:t>Our Certificate of Incorporation and Bylaws provide that our board of directors is expressly authorized to alter, amend,</w:t>
      </w:r>
      <w:r>
        <w:rPr>
          <w:rFonts w:ascii="Arial" w:cs="Arial" w:eastAsia="Arial" w:hAnsi="Arial"/>
          <w:sz w:val="18"/>
          <w:szCs w:val="18"/>
          <w:i w:val="1"/>
          <w:iCs w:val="1"/>
          <w:color w:val="auto"/>
        </w:rPr>
        <w:t xml:space="preserve"> </w:t>
      </w:r>
      <w:r>
        <w:rPr>
          <w:rFonts w:ascii="Arial" w:cs="Arial" w:eastAsia="Arial" w:hAnsi="Arial"/>
          <w:sz w:val="18"/>
          <w:szCs w:val="18"/>
          <w:color w:val="auto"/>
        </w:rPr>
        <w:t>rescind or repeal, in whole or in part, our Bylaws without a stockholder vote in any matter not inconsistent with Delaware law and our Certificate of Incorporation. From and after the Trigger Event, which we expect to occur following the completion of this offering, in addition to any vote of the holders of any class or series of capital stock of our Company required therein, our Bylaws or applicable law, any amendment, alteration, rescission or repeal of our Bylaws by our stockholders will require the affirmative vote of the holders of at least 66 2/3% in voting power of all the then-outstanding shares of stock of our Company entitled to vote thereon, voting together as a single class.</w:t>
      </w:r>
    </w:p>
    <w:p>
      <w:pPr>
        <w:spacing w:after="0" w:line="138"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Certificate of Incorporation provides that the following provisions in our Certificate of Incorporation may be amended, altered, repealed or rescinded only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93719493_1</w:t>
      </w:r>
    </w:p>
    <w:p>
      <w:pPr>
        <w:sectPr>
          <w:pgSz w:w="11900" w:h="16838" w:orient="portrait"/>
          <w:cols w:equalWidth="0" w:num="1">
            <w:col w:w="11220"/>
          </w:cols>
          <w:pgMar w:left="320" w:top="1421" w:right="35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vote of the holders of at least 66 2/3% in voting power of all the then-outstanding shares of stock of our Company entitled to vote thereon, voting together as a single class:</w:t>
      </w:r>
    </w:p>
    <w:p>
      <w:pPr>
        <w:spacing w:after="0" w:line="130" w:lineRule="exact"/>
        <w:rPr>
          <w:sz w:val="20"/>
          <w:szCs w:val="20"/>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 requiring a 66 2/3% supermajority vote for stockholders to amend our Bylaws;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removal of directors;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Section 203 of the DGCL;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 governing forum selection;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347"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i w:val="1"/>
          <w:iCs w:val="1"/>
          <w:color w:val="auto"/>
        </w:rPr>
        <w:t xml:space="preserve">Section 203 of the Delaware General Corporation Law. </w:t>
      </w:r>
      <w:r>
        <w:rPr>
          <w:rFonts w:ascii="Arial" w:cs="Arial" w:eastAsia="Arial" w:hAnsi="Arial"/>
          <w:sz w:val="18"/>
          <w:szCs w:val="18"/>
          <w:color w:val="auto"/>
        </w:rPr>
        <w:t>Section 203 of the DGCL provides that, subject to certain stated exceptions, a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engage in a business combination with any “interested stockholder” (as defined below) for a period of three years following the time that such stockholder became an interested stockholder, unless:</w:t>
      </w:r>
    </w:p>
    <w:p>
      <w:pPr>
        <w:spacing w:after="0" w:line="143" w:lineRule="exact"/>
        <w:rPr>
          <w:sz w:val="20"/>
          <w:szCs w:val="20"/>
          <w:color w:val="auto"/>
        </w:rPr>
      </w:pPr>
    </w:p>
    <w:p>
      <w:pPr>
        <w:ind w:left="1060" w:right="220" w:hanging="48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transaction which resulted in the stockholder becoming an interested stockholder;</w:t>
      </w:r>
    </w:p>
    <w:p>
      <w:pPr>
        <w:spacing w:after="0" w:line="345" w:lineRule="exact"/>
        <w:rPr>
          <w:rFonts w:ascii="Arial" w:cs="Arial" w:eastAsia="Arial" w:hAnsi="Arial"/>
          <w:sz w:val="18"/>
          <w:szCs w:val="18"/>
          <w:color w:val="auto"/>
        </w:rPr>
      </w:pPr>
    </w:p>
    <w:p>
      <w:pPr>
        <w:ind w:left="1060" w:right="160" w:hanging="481"/>
        <w:spacing w:after="0" w:line="279"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w:t>
      </w:r>
    </w:p>
    <w:p>
      <w:pPr>
        <w:spacing w:after="0" w:line="360" w:lineRule="exact"/>
        <w:rPr>
          <w:rFonts w:ascii="Arial" w:cs="Arial" w:eastAsia="Arial" w:hAnsi="Arial"/>
          <w:sz w:val="17"/>
          <w:szCs w:val="17"/>
          <w:color w:val="auto"/>
        </w:rPr>
      </w:pPr>
    </w:p>
    <w:p>
      <w:pPr>
        <w:ind w:left="1060" w:right="580" w:hanging="48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or</w:t>
      </w:r>
    </w:p>
    <w:p>
      <w:pPr>
        <w:spacing w:after="0" w:line="359" w:lineRule="exact"/>
        <w:rPr>
          <w:rFonts w:ascii="Arial" w:cs="Arial" w:eastAsia="Arial" w:hAnsi="Arial"/>
          <w:sz w:val="18"/>
          <w:szCs w:val="18"/>
          <w:color w:val="auto"/>
        </w:rPr>
      </w:pPr>
    </w:p>
    <w:p>
      <w:pPr>
        <w:ind w:left="1060" w:hanging="48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the affirmative vote of 66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00"/>
          </w:cols>
          <w:pgMar w:left="320" w:top="1421" w:right="47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93719493_1</w:t>
      </w:r>
    </w:p>
    <w:p>
      <w:pPr>
        <w:sectPr>
          <w:pgSz w:w="11900" w:h="16838" w:orient="portrait"/>
          <w:cols w:equalWidth="0" w:num="1">
            <w:col w:w="11100"/>
          </w:cols>
          <w:pgMar w:left="320" w:top="1421" w:right="479" w:bottom="1440" w:gutter="0" w:footer="0" w:header="0"/>
          <w:type w:val="continuous"/>
        </w:sectPr>
      </w:pPr>
    </w:p>
    <w:bookmarkStart w:id="105" w:name="page106"/>
    <w:bookmarkEnd w:id="105"/>
    <w:p>
      <w:pPr>
        <w:spacing w:after="0" w:line="19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our Certificate of Incorporation, we opted out of Section 203 of the DGCL and are therefore not subject to Section 203.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Nasdaq under the symbol “ARRY.”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93719493_1</w:t>
      </w:r>
    </w:p>
    <w:p>
      <w:pPr>
        <w:sectPr>
          <w:pgSz w:w="11900" w:h="16838" w:orient="portrait"/>
          <w:cols w:equalWidth="0" w:num="1">
            <w:col w:w="11080"/>
          </w:cols>
          <w:pgMar w:left="320" w:top="1440" w:right="4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Certain Agreed Employment Terms Amending Original Offer</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920" w:type="dxa"/>
            <w:vAlign w:val="bottom"/>
            <w:tcBorders>
              <w:top w:val="single" w:sz="8" w:color="A3A3A3"/>
              <w:left w:val="single" w:sz="8" w:color="A3A3A3"/>
              <w:right w:val="single" w:sz="8" w:color="A3A3A3"/>
            </w:tcBorders>
            <w:shd w:val="clear" w:color="auto" w:fill="D9D9D9"/>
          </w:tcPr>
          <w:p>
            <w:pPr>
              <w:ind w:left="140"/>
              <w:spacing w:after="0"/>
              <w:rPr>
                <w:sz w:val="20"/>
                <w:szCs w:val="20"/>
                <w:color w:val="auto"/>
              </w:rPr>
            </w:pPr>
            <w:r>
              <w:rPr>
                <w:rFonts w:ascii="Arial" w:cs="Arial" w:eastAsia="Arial" w:hAnsi="Arial"/>
                <w:sz w:val="20"/>
                <w:szCs w:val="20"/>
                <w:b w:val="1"/>
                <w:bCs w:val="1"/>
                <w:color w:val="auto"/>
                <w:w w:val="96"/>
              </w:rPr>
              <w:t>Executive and Title</w:t>
            </w:r>
          </w:p>
        </w:tc>
        <w:tc>
          <w:tcPr>
            <w:tcW w:w="1480" w:type="dxa"/>
            <w:vAlign w:val="bottom"/>
            <w:tcBorders>
              <w:top w:val="single" w:sz="8" w:color="A3A3A3"/>
              <w:right w:val="single" w:sz="8" w:color="A3A3A3"/>
            </w:tcBorders>
            <w:shd w:val="clear" w:color="auto" w:fill="D9D9D9"/>
          </w:tcPr>
          <w:p>
            <w:pPr>
              <w:ind w:left="20"/>
              <w:spacing w:after="0"/>
              <w:rPr>
                <w:sz w:val="20"/>
                <w:szCs w:val="20"/>
                <w:color w:val="auto"/>
              </w:rPr>
            </w:pPr>
            <w:r>
              <w:rPr>
                <w:rFonts w:ascii="Arial" w:cs="Arial" w:eastAsia="Arial" w:hAnsi="Arial"/>
                <w:sz w:val="20"/>
                <w:szCs w:val="20"/>
                <w:b w:val="1"/>
                <w:bCs w:val="1"/>
                <w:color w:val="auto"/>
                <w:w w:val="88"/>
              </w:rPr>
              <w:t>Annualized Base</w:t>
            </w:r>
          </w:p>
        </w:tc>
        <w:tc>
          <w:tcPr>
            <w:tcW w:w="1780" w:type="dxa"/>
            <w:vAlign w:val="bottom"/>
            <w:tcBorders>
              <w:top w:val="single" w:sz="8" w:color="A3A3A3"/>
              <w:right w:val="single" w:sz="8" w:color="A3A3A3"/>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Target Annual</w:t>
            </w:r>
          </w:p>
        </w:tc>
        <w:tc>
          <w:tcPr>
            <w:tcW w:w="20" w:type="dxa"/>
            <w:vAlign w:val="bottom"/>
            <w:tcBorders>
              <w:top w:val="single" w:sz="8" w:color="A3A3A3"/>
            </w:tcBorders>
            <w:shd w:val="clear" w:color="auto" w:fill="D9D9D9"/>
          </w:tcPr>
          <w:p>
            <w:pPr>
              <w:spacing w:after="0"/>
              <w:rPr>
                <w:sz w:val="21"/>
                <w:szCs w:val="21"/>
                <w:color w:val="auto"/>
              </w:rPr>
            </w:pPr>
          </w:p>
        </w:tc>
        <w:tc>
          <w:tcPr>
            <w:tcW w:w="2660" w:type="dxa"/>
            <w:vAlign w:val="bottom"/>
            <w:tcBorders>
              <w:top w:val="single" w:sz="8" w:color="A3A3A3"/>
              <w:right w:val="single" w:sz="8" w:color="A3A3A3"/>
            </w:tcBorders>
            <w:gridSpan w:val="2"/>
            <w:shd w:val="clear" w:color="auto" w:fill="D9D9D9"/>
          </w:tcPr>
          <w:p>
            <w:pPr>
              <w:jc w:val="center"/>
              <w:ind w:right="40"/>
              <w:spacing w:after="0"/>
              <w:rPr>
                <w:sz w:val="20"/>
                <w:szCs w:val="20"/>
                <w:color w:val="auto"/>
              </w:rPr>
            </w:pPr>
            <w:r>
              <w:rPr>
                <w:rFonts w:ascii="Arial" w:cs="Arial" w:eastAsia="Arial" w:hAnsi="Arial"/>
                <w:sz w:val="20"/>
                <w:szCs w:val="20"/>
                <w:b w:val="1"/>
                <w:bCs w:val="1"/>
                <w:color w:val="auto"/>
                <w:w w:val="88"/>
              </w:rPr>
              <w:t>Severance - Non-Change in</w:t>
            </w:r>
          </w:p>
        </w:tc>
        <w:tc>
          <w:tcPr>
            <w:tcW w:w="2940" w:type="dxa"/>
            <w:vAlign w:val="bottom"/>
            <w:tcBorders>
              <w:top w:val="single" w:sz="8" w:color="A3A3A3"/>
            </w:tcBorders>
            <w:shd w:val="clear" w:color="auto" w:fill="D9D9D9"/>
          </w:tcPr>
          <w:p>
            <w:pPr>
              <w:ind w:left="220"/>
              <w:spacing w:after="0"/>
              <w:rPr>
                <w:sz w:val="20"/>
                <w:szCs w:val="20"/>
                <w:color w:val="auto"/>
              </w:rPr>
            </w:pPr>
            <w:r>
              <w:rPr>
                <w:rFonts w:ascii="Arial" w:cs="Arial" w:eastAsia="Arial" w:hAnsi="Arial"/>
                <w:sz w:val="20"/>
                <w:szCs w:val="20"/>
                <w:b w:val="1"/>
                <w:bCs w:val="1"/>
                <w:color w:val="auto"/>
                <w:w w:val="96"/>
              </w:rPr>
              <w:t>Change in Control Severance</w:t>
            </w:r>
          </w:p>
        </w:tc>
      </w:tr>
      <w:tr>
        <w:trPr>
          <w:trHeight w:val="229"/>
        </w:trPr>
        <w:tc>
          <w:tcPr>
            <w:tcW w:w="1920" w:type="dxa"/>
            <w:vAlign w:val="bottom"/>
            <w:tcBorders>
              <w:left w:val="single" w:sz="8" w:color="A3A3A3"/>
              <w:right w:val="single" w:sz="8" w:color="A3A3A3"/>
            </w:tcBorders>
            <w:shd w:val="clear" w:color="auto" w:fill="D9D9D9"/>
          </w:tcPr>
          <w:p>
            <w:pPr>
              <w:spacing w:after="0"/>
              <w:rPr>
                <w:sz w:val="19"/>
                <w:szCs w:val="19"/>
                <w:color w:val="auto"/>
              </w:rPr>
            </w:pPr>
          </w:p>
        </w:tc>
        <w:tc>
          <w:tcPr>
            <w:tcW w:w="1480" w:type="dxa"/>
            <w:vAlign w:val="bottom"/>
            <w:tcBorders>
              <w:right w:val="single" w:sz="8" w:color="A3A3A3"/>
            </w:tcBorders>
            <w:shd w:val="clear" w:color="auto" w:fill="D9D9D9"/>
          </w:tcPr>
          <w:p>
            <w:pPr>
              <w:ind w:left="460"/>
              <w:spacing w:after="0"/>
              <w:rPr>
                <w:sz w:val="20"/>
                <w:szCs w:val="20"/>
                <w:color w:val="auto"/>
              </w:rPr>
            </w:pPr>
            <w:r>
              <w:rPr>
                <w:rFonts w:ascii="Arial" w:cs="Arial" w:eastAsia="Arial" w:hAnsi="Arial"/>
                <w:sz w:val="20"/>
                <w:szCs w:val="20"/>
                <w:b w:val="1"/>
                <w:bCs w:val="1"/>
                <w:color w:val="auto"/>
              </w:rPr>
              <w:t>Salary</w:t>
            </w:r>
          </w:p>
        </w:tc>
        <w:tc>
          <w:tcPr>
            <w:tcW w:w="1780" w:type="dxa"/>
            <w:vAlign w:val="bottom"/>
            <w:tcBorders>
              <w:right w:val="single" w:sz="8" w:color="A3A3A3"/>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Bonus (% of</w:t>
            </w:r>
          </w:p>
        </w:tc>
        <w:tc>
          <w:tcPr>
            <w:tcW w:w="20" w:type="dxa"/>
            <w:vAlign w:val="bottom"/>
            <w:shd w:val="clear" w:color="auto" w:fill="D9D9D9"/>
          </w:tcPr>
          <w:p>
            <w:pPr>
              <w:spacing w:after="0"/>
              <w:rPr>
                <w:sz w:val="19"/>
                <w:szCs w:val="19"/>
                <w:color w:val="auto"/>
              </w:rPr>
            </w:pPr>
          </w:p>
        </w:tc>
        <w:tc>
          <w:tcPr>
            <w:tcW w:w="2660" w:type="dxa"/>
            <w:vAlign w:val="bottom"/>
            <w:tcBorders>
              <w:right w:val="single" w:sz="8" w:color="A3A3A3"/>
            </w:tcBorders>
            <w:gridSpan w:val="2"/>
            <w:shd w:val="clear" w:color="auto" w:fill="D9D9D9"/>
          </w:tcPr>
          <w:p>
            <w:pPr>
              <w:jc w:val="center"/>
              <w:ind w:right="40"/>
              <w:spacing w:after="0"/>
              <w:rPr>
                <w:sz w:val="20"/>
                <w:szCs w:val="20"/>
                <w:color w:val="auto"/>
              </w:rPr>
            </w:pPr>
            <w:r>
              <w:rPr>
                <w:rFonts w:ascii="Arial" w:cs="Arial" w:eastAsia="Arial" w:hAnsi="Arial"/>
                <w:sz w:val="20"/>
                <w:szCs w:val="20"/>
                <w:b w:val="1"/>
                <w:bCs w:val="1"/>
                <w:color w:val="auto"/>
                <w:w w:val="92"/>
              </w:rPr>
              <w:t>Control</w:t>
            </w:r>
          </w:p>
        </w:tc>
        <w:tc>
          <w:tcPr>
            <w:tcW w:w="2940" w:type="dxa"/>
            <w:vAlign w:val="bottom"/>
            <w:shd w:val="clear" w:color="auto" w:fill="D9D9D9"/>
          </w:tcPr>
          <w:p>
            <w:pPr>
              <w:spacing w:after="0"/>
              <w:rPr>
                <w:sz w:val="19"/>
                <w:szCs w:val="19"/>
                <w:color w:val="auto"/>
              </w:rPr>
            </w:pPr>
          </w:p>
        </w:tc>
      </w:tr>
      <w:tr>
        <w:trPr>
          <w:trHeight w:val="230"/>
        </w:trPr>
        <w:tc>
          <w:tcPr>
            <w:tcW w:w="1920" w:type="dxa"/>
            <w:vAlign w:val="bottom"/>
            <w:tcBorders>
              <w:left w:val="single" w:sz="8" w:color="A3A3A3"/>
              <w:right w:val="single" w:sz="8" w:color="A3A3A3"/>
            </w:tcBorders>
            <w:shd w:val="clear" w:color="auto" w:fill="D9D9D9"/>
          </w:tcPr>
          <w:p>
            <w:pPr>
              <w:spacing w:after="0"/>
              <w:rPr>
                <w:sz w:val="19"/>
                <w:szCs w:val="19"/>
                <w:color w:val="auto"/>
              </w:rPr>
            </w:pPr>
          </w:p>
        </w:tc>
        <w:tc>
          <w:tcPr>
            <w:tcW w:w="1480" w:type="dxa"/>
            <w:vAlign w:val="bottom"/>
            <w:tcBorders>
              <w:right w:val="single" w:sz="8" w:color="A3A3A3"/>
            </w:tcBorders>
            <w:shd w:val="clear" w:color="auto" w:fill="D9D9D9"/>
          </w:tcPr>
          <w:p>
            <w:pPr>
              <w:spacing w:after="0"/>
              <w:rPr>
                <w:sz w:val="19"/>
                <w:szCs w:val="19"/>
                <w:color w:val="auto"/>
              </w:rPr>
            </w:pPr>
          </w:p>
        </w:tc>
        <w:tc>
          <w:tcPr>
            <w:tcW w:w="1780" w:type="dxa"/>
            <w:vAlign w:val="bottom"/>
            <w:tcBorders>
              <w:right w:val="single" w:sz="8" w:color="A3A3A3"/>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7"/>
              </w:rPr>
              <w:t>Annualized Base</w:t>
            </w:r>
          </w:p>
        </w:tc>
        <w:tc>
          <w:tcPr>
            <w:tcW w:w="20" w:type="dxa"/>
            <w:vAlign w:val="bottom"/>
            <w:shd w:val="clear" w:color="auto" w:fill="D9D9D9"/>
          </w:tcPr>
          <w:p>
            <w:pPr>
              <w:spacing w:after="0"/>
              <w:rPr>
                <w:sz w:val="19"/>
                <w:szCs w:val="19"/>
                <w:color w:val="auto"/>
              </w:rPr>
            </w:pPr>
          </w:p>
        </w:tc>
        <w:tc>
          <w:tcPr>
            <w:tcW w:w="1740" w:type="dxa"/>
            <w:vAlign w:val="bottom"/>
            <w:shd w:val="clear" w:color="auto" w:fill="D9D9D9"/>
          </w:tcPr>
          <w:p>
            <w:pPr>
              <w:spacing w:after="0"/>
              <w:rPr>
                <w:sz w:val="19"/>
                <w:szCs w:val="19"/>
                <w:color w:val="auto"/>
              </w:rPr>
            </w:pPr>
          </w:p>
        </w:tc>
        <w:tc>
          <w:tcPr>
            <w:tcW w:w="920" w:type="dxa"/>
            <w:vAlign w:val="bottom"/>
            <w:tcBorders>
              <w:right w:val="single" w:sz="8" w:color="A3A3A3"/>
            </w:tcBorders>
            <w:shd w:val="clear" w:color="auto" w:fill="D9D9D9"/>
          </w:tcPr>
          <w:p>
            <w:pPr>
              <w:spacing w:after="0"/>
              <w:rPr>
                <w:sz w:val="19"/>
                <w:szCs w:val="19"/>
                <w:color w:val="auto"/>
              </w:rPr>
            </w:pPr>
          </w:p>
        </w:tc>
        <w:tc>
          <w:tcPr>
            <w:tcW w:w="2940" w:type="dxa"/>
            <w:vAlign w:val="bottom"/>
            <w:shd w:val="clear" w:color="auto" w:fill="D9D9D9"/>
          </w:tcPr>
          <w:p>
            <w:pPr>
              <w:spacing w:after="0"/>
              <w:rPr>
                <w:sz w:val="19"/>
                <w:szCs w:val="19"/>
                <w:color w:val="auto"/>
              </w:rPr>
            </w:pPr>
          </w:p>
        </w:tc>
      </w:tr>
      <w:tr>
        <w:trPr>
          <w:trHeight w:val="284"/>
        </w:trPr>
        <w:tc>
          <w:tcPr>
            <w:tcW w:w="1920" w:type="dxa"/>
            <w:vAlign w:val="bottom"/>
            <w:tcBorders>
              <w:left w:val="single" w:sz="8" w:color="A3A3A3"/>
              <w:bottom w:val="single" w:sz="8" w:color="D9D9D9"/>
              <w:right w:val="single" w:sz="8" w:color="A3A3A3"/>
            </w:tcBorders>
            <w:shd w:val="clear" w:color="auto" w:fill="D9D9D9"/>
          </w:tcPr>
          <w:p>
            <w:pPr>
              <w:spacing w:after="0"/>
              <w:rPr>
                <w:sz w:val="24"/>
                <w:szCs w:val="24"/>
                <w:color w:val="auto"/>
              </w:rPr>
            </w:pPr>
          </w:p>
        </w:tc>
        <w:tc>
          <w:tcPr>
            <w:tcW w:w="1480" w:type="dxa"/>
            <w:vAlign w:val="bottom"/>
            <w:tcBorders>
              <w:bottom w:val="single" w:sz="8" w:color="D9D9D9"/>
              <w:right w:val="single" w:sz="8" w:color="A3A3A3"/>
            </w:tcBorders>
            <w:shd w:val="clear" w:color="auto" w:fill="D9D9D9"/>
          </w:tcPr>
          <w:p>
            <w:pPr>
              <w:spacing w:after="0"/>
              <w:rPr>
                <w:sz w:val="24"/>
                <w:szCs w:val="24"/>
                <w:color w:val="auto"/>
              </w:rPr>
            </w:pPr>
          </w:p>
        </w:tc>
        <w:tc>
          <w:tcPr>
            <w:tcW w:w="1780" w:type="dxa"/>
            <w:vAlign w:val="bottom"/>
            <w:tcBorders>
              <w:bottom w:val="single" w:sz="8" w:color="D9D9D9"/>
              <w:right w:val="single" w:sz="8" w:color="A3A3A3"/>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Salary)</w:t>
            </w:r>
          </w:p>
        </w:tc>
        <w:tc>
          <w:tcPr>
            <w:tcW w:w="20" w:type="dxa"/>
            <w:vAlign w:val="bottom"/>
            <w:tcBorders>
              <w:bottom w:val="single" w:sz="8" w:color="D9D9D9"/>
            </w:tcBorders>
            <w:shd w:val="clear" w:color="auto" w:fill="D9D9D9"/>
          </w:tcPr>
          <w:p>
            <w:pPr>
              <w:spacing w:after="0"/>
              <w:rPr>
                <w:sz w:val="24"/>
                <w:szCs w:val="24"/>
                <w:color w:val="auto"/>
              </w:rPr>
            </w:pPr>
          </w:p>
        </w:tc>
        <w:tc>
          <w:tcPr>
            <w:tcW w:w="1740" w:type="dxa"/>
            <w:vAlign w:val="bottom"/>
            <w:tcBorders>
              <w:bottom w:val="single" w:sz="8" w:color="D9D9D9"/>
            </w:tcBorders>
            <w:shd w:val="clear" w:color="auto" w:fill="D9D9D9"/>
          </w:tcPr>
          <w:p>
            <w:pPr>
              <w:spacing w:after="0"/>
              <w:rPr>
                <w:sz w:val="24"/>
                <w:szCs w:val="24"/>
                <w:color w:val="auto"/>
              </w:rPr>
            </w:pPr>
          </w:p>
        </w:tc>
        <w:tc>
          <w:tcPr>
            <w:tcW w:w="920" w:type="dxa"/>
            <w:vAlign w:val="bottom"/>
            <w:tcBorders>
              <w:bottom w:val="single" w:sz="8" w:color="D9D9D9"/>
              <w:right w:val="single" w:sz="8" w:color="A3A3A3"/>
            </w:tcBorders>
            <w:shd w:val="clear" w:color="auto" w:fill="D9D9D9"/>
          </w:tcPr>
          <w:p>
            <w:pPr>
              <w:spacing w:after="0"/>
              <w:rPr>
                <w:sz w:val="24"/>
                <w:szCs w:val="24"/>
                <w:color w:val="auto"/>
              </w:rPr>
            </w:pPr>
          </w:p>
        </w:tc>
        <w:tc>
          <w:tcPr>
            <w:tcW w:w="2940" w:type="dxa"/>
            <w:vAlign w:val="bottom"/>
            <w:tcBorders>
              <w:bottom w:val="single" w:sz="8" w:color="D9D9D9"/>
            </w:tcBorders>
            <w:shd w:val="clear" w:color="auto" w:fill="D9D9D9"/>
          </w:tcPr>
          <w:p>
            <w:pPr>
              <w:spacing w:after="0"/>
              <w:rPr>
                <w:sz w:val="24"/>
                <w:szCs w:val="24"/>
                <w:color w:val="auto"/>
              </w:rPr>
            </w:pPr>
          </w:p>
        </w:tc>
      </w:tr>
      <w:tr>
        <w:trPr>
          <w:trHeight w:val="209"/>
        </w:trPr>
        <w:tc>
          <w:tcPr>
            <w:tcW w:w="1920" w:type="dxa"/>
            <w:vAlign w:val="bottom"/>
            <w:tcBorders>
              <w:top w:val="single" w:sz="8" w:color="A3A3A3"/>
              <w:left w:val="single" w:sz="8" w:color="A3A3A3"/>
              <w:right w:val="single" w:sz="8" w:color="A3A3A3"/>
            </w:tcBorders>
          </w:tcPr>
          <w:p>
            <w:pPr>
              <w:ind w:left="40"/>
              <w:spacing w:after="0" w:line="209" w:lineRule="exact"/>
              <w:rPr>
                <w:sz w:val="20"/>
                <w:szCs w:val="20"/>
                <w:color w:val="auto"/>
              </w:rPr>
            </w:pPr>
            <w:r>
              <w:rPr>
                <w:rFonts w:ascii="Arial" w:cs="Arial" w:eastAsia="Arial" w:hAnsi="Arial"/>
                <w:sz w:val="20"/>
                <w:szCs w:val="20"/>
                <w:color w:val="auto"/>
              </w:rPr>
              <w:t>Jim Fusaro (CEO)</w:t>
            </w:r>
          </w:p>
        </w:tc>
        <w:tc>
          <w:tcPr>
            <w:tcW w:w="1480" w:type="dxa"/>
            <w:vAlign w:val="bottom"/>
            <w:tcBorders>
              <w:top w:val="single" w:sz="8" w:color="A3A3A3"/>
              <w:right w:val="single" w:sz="8" w:color="A3A3A3"/>
            </w:tcBorders>
          </w:tcPr>
          <w:p>
            <w:pPr>
              <w:spacing w:after="0" w:line="209" w:lineRule="exact"/>
              <w:rPr>
                <w:sz w:val="20"/>
                <w:szCs w:val="20"/>
                <w:color w:val="auto"/>
              </w:rPr>
            </w:pPr>
            <w:r>
              <w:rPr>
                <w:rFonts w:ascii="Arial" w:cs="Arial" w:eastAsia="Arial" w:hAnsi="Arial"/>
                <w:sz w:val="20"/>
                <w:szCs w:val="20"/>
                <w:color w:val="auto"/>
              </w:rPr>
              <w:t>$650,000</w:t>
            </w:r>
          </w:p>
        </w:tc>
        <w:tc>
          <w:tcPr>
            <w:tcW w:w="1780" w:type="dxa"/>
            <w:vAlign w:val="bottom"/>
            <w:tcBorders>
              <w:top w:val="single" w:sz="8" w:color="A3A3A3"/>
              <w:right w:val="single" w:sz="8" w:color="A3A3A3"/>
            </w:tcBorders>
          </w:tcPr>
          <w:p>
            <w:pPr>
              <w:jc w:val="right"/>
              <w:ind w:right="1201"/>
              <w:spacing w:after="0" w:line="209" w:lineRule="exact"/>
              <w:rPr>
                <w:sz w:val="20"/>
                <w:szCs w:val="20"/>
                <w:color w:val="auto"/>
              </w:rPr>
            </w:pPr>
            <w:r>
              <w:rPr>
                <w:rFonts w:ascii="Arial" w:cs="Arial" w:eastAsia="Arial" w:hAnsi="Arial"/>
                <w:sz w:val="20"/>
                <w:szCs w:val="20"/>
                <w:color w:val="auto"/>
                <w:w w:val="89"/>
              </w:rPr>
              <w:t>100%</w:t>
            </w:r>
          </w:p>
        </w:tc>
        <w:tc>
          <w:tcPr>
            <w:tcW w:w="2680" w:type="dxa"/>
            <w:vAlign w:val="bottom"/>
            <w:tcBorders>
              <w:top w:val="single" w:sz="8" w:color="A3A3A3"/>
              <w:right w:val="single" w:sz="8" w:color="A3A3A3"/>
            </w:tcBorders>
            <w:gridSpan w:val="3"/>
          </w:tcPr>
          <w:p>
            <w:pPr>
              <w:ind w:left="20"/>
              <w:spacing w:after="0" w:line="209" w:lineRule="exact"/>
              <w:rPr>
                <w:sz w:val="20"/>
                <w:szCs w:val="20"/>
                <w:color w:val="auto"/>
              </w:rPr>
            </w:pPr>
            <w:r>
              <w:rPr>
                <w:rFonts w:ascii="Arial" w:cs="Arial" w:eastAsia="Arial" w:hAnsi="Arial"/>
                <w:sz w:val="20"/>
                <w:szCs w:val="20"/>
                <w:color w:val="auto"/>
              </w:rPr>
              <w:t>18 months base salary</w:t>
            </w:r>
          </w:p>
        </w:tc>
        <w:tc>
          <w:tcPr>
            <w:tcW w:w="2940" w:type="dxa"/>
            <w:vAlign w:val="bottom"/>
            <w:tcBorders>
              <w:top w:val="single" w:sz="8" w:color="A3A3A3"/>
            </w:tcBorders>
          </w:tcPr>
          <w:p>
            <w:pPr>
              <w:spacing w:after="0"/>
              <w:rPr>
                <w:sz w:val="20"/>
                <w:szCs w:val="20"/>
                <w:color w:val="auto"/>
              </w:rPr>
            </w:pPr>
            <w:r>
              <w:rPr>
                <w:rFonts w:ascii="Arial" w:cs="Arial" w:eastAsia="Arial" w:hAnsi="Arial"/>
                <w:sz w:val="18"/>
                <w:szCs w:val="18"/>
                <w:color w:val="auto"/>
                <w:w w:val="97"/>
              </w:rPr>
              <w:t>24  months  base  salary,  plus  target</w:t>
            </w:r>
          </w:p>
        </w:tc>
      </w:tr>
      <w:tr>
        <w:trPr>
          <w:trHeight w:val="223"/>
        </w:trPr>
        <w:tc>
          <w:tcPr>
            <w:tcW w:w="1920" w:type="dxa"/>
            <w:vAlign w:val="bottom"/>
            <w:tcBorders>
              <w:left w:val="single" w:sz="8" w:color="A3A3A3"/>
              <w:right w:val="single" w:sz="8" w:color="A3A3A3"/>
            </w:tcBorders>
          </w:tcPr>
          <w:p>
            <w:pPr>
              <w:spacing w:after="0"/>
              <w:rPr>
                <w:sz w:val="19"/>
                <w:szCs w:val="19"/>
                <w:color w:val="auto"/>
              </w:rPr>
            </w:pPr>
          </w:p>
        </w:tc>
        <w:tc>
          <w:tcPr>
            <w:tcW w:w="1480" w:type="dxa"/>
            <w:vAlign w:val="bottom"/>
            <w:tcBorders>
              <w:right w:val="single" w:sz="8" w:color="A3A3A3"/>
            </w:tcBorders>
          </w:tcPr>
          <w:p>
            <w:pPr>
              <w:spacing w:after="0"/>
              <w:rPr>
                <w:sz w:val="19"/>
                <w:szCs w:val="19"/>
                <w:color w:val="auto"/>
              </w:rPr>
            </w:pPr>
          </w:p>
        </w:tc>
        <w:tc>
          <w:tcPr>
            <w:tcW w:w="1780" w:type="dxa"/>
            <w:vAlign w:val="bottom"/>
            <w:tcBorders>
              <w:right w:val="single" w:sz="8" w:color="A3A3A3"/>
            </w:tcBorders>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920" w:type="dxa"/>
            <w:vAlign w:val="bottom"/>
            <w:tcBorders>
              <w:right w:val="single" w:sz="8" w:color="A3A3A3"/>
            </w:tcBorders>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Annual Bonus</w:t>
            </w:r>
          </w:p>
        </w:tc>
      </w:tr>
      <w:tr>
        <w:trPr>
          <w:trHeight w:val="702"/>
        </w:trPr>
        <w:tc>
          <w:tcPr>
            <w:tcW w:w="1920" w:type="dxa"/>
            <w:vAlign w:val="bottom"/>
            <w:tcBorders>
              <w:left w:val="single" w:sz="8" w:color="A3A3A3"/>
              <w:right w:val="single" w:sz="8" w:color="A3A3A3"/>
            </w:tcBorders>
          </w:tcPr>
          <w:p>
            <w:pPr>
              <w:spacing w:after="0"/>
              <w:rPr>
                <w:sz w:val="24"/>
                <w:szCs w:val="24"/>
                <w:color w:val="auto"/>
              </w:rPr>
            </w:pPr>
          </w:p>
        </w:tc>
        <w:tc>
          <w:tcPr>
            <w:tcW w:w="1480" w:type="dxa"/>
            <w:vAlign w:val="bottom"/>
            <w:tcBorders>
              <w:right w:val="single" w:sz="8" w:color="A3A3A3"/>
            </w:tcBorders>
          </w:tcPr>
          <w:p>
            <w:pPr>
              <w:spacing w:after="0"/>
              <w:rPr>
                <w:sz w:val="24"/>
                <w:szCs w:val="24"/>
                <w:color w:val="auto"/>
              </w:rPr>
            </w:pPr>
          </w:p>
        </w:tc>
        <w:tc>
          <w:tcPr>
            <w:tcW w:w="1780" w:type="dxa"/>
            <w:vAlign w:val="bottom"/>
            <w:tcBorders>
              <w:right w:val="single" w:sz="8" w:color="A3A3A3"/>
            </w:tcBorders>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Borders>
              <w:right w:val="single" w:sz="8" w:color="A3A3A3"/>
            </w:tcBorders>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Exhibit 10.14</w:t>
      </w:r>
    </w:p>
    <w:p>
      <w:pPr>
        <w:spacing w:after="0" w:line="347" w:lineRule="exact"/>
        <w:rPr>
          <w:sz w:val="20"/>
          <w:szCs w:val="20"/>
          <w:color w:val="auto"/>
        </w:rPr>
      </w:pPr>
    </w:p>
    <w:p>
      <w:pPr>
        <w:ind w:left="9560"/>
        <w:spacing w:after="0"/>
        <w:rPr>
          <w:sz w:val="20"/>
          <w:szCs w:val="20"/>
          <w:color w:val="auto"/>
        </w:rPr>
      </w:pPr>
      <w:r>
        <w:rPr>
          <w:rFonts w:ascii="Arial" w:cs="Arial" w:eastAsia="Arial" w:hAnsi="Arial"/>
          <w:sz w:val="19"/>
          <w:szCs w:val="19"/>
          <w:i w:val="1"/>
          <w:iCs w:val="1"/>
          <w:color w:val="auto"/>
        </w:rPr>
        <w:t>Execution Version</w:t>
      </w:r>
    </w:p>
    <w:p>
      <w:pPr>
        <w:spacing w:after="0" w:line="200" w:lineRule="exact"/>
        <w:rPr>
          <w:sz w:val="20"/>
          <w:szCs w:val="20"/>
          <w:color w:val="auto"/>
        </w:rPr>
      </w:pPr>
    </w:p>
    <w:p>
      <w:pPr>
        <w:spacing w:after="0" w:line="390"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b w:val="1"/>
          <w:bCs w:val="1"/>
          <w:color w:val="auto"/>
        </w:rPr>
        <w:t>AMENDMENT NO. 1</w:t>
      </w:r>
      <w:r>
        <w:rPr>
          <w:rFonts w:ascii="Arial" w:cs="Arial" w:eastAsia="Arial" w:hAnsi="Arial"/>
          <w:sz w:val="19"/>
          <w:szCs w:val="19"/>
          <w:color w:val="auto"/>
        </w:rPr>
        <w:t>, dated as of February 23,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Credit Agreement dated as of October</w:t>
      </w:r>
      <w:r>
        <w:rPr>
          <w:rFonts w:ascii="Arial" w:cs="Arial" w:eastAsia="Arial" w:hAnsi="Arial"/>
          <w:sz w:val="19"/>
          <w:szCs w:val="19"/>
          <w:b w:val="1"/>
          <w:bCs w:val="1"/>
          <w:color w:val="auto"/>
        </w:rPr>
        <w:t xml:space="preserve"> </w:t>
      </w:r>
      <w:r>
        <w:rPr>
          <w:rFonts w:ascii="Arial" w:cs="Arial" w:eastAsia="Arial" w:hAnsi="Arial"/>
          <w:sz w:val="19"/>
          <w:szCs w:val="19"/>
          <w:color w:val="auto"/>
        </w:rPr>
        <w:t>14, 2020, by and among ARRAY TECH, INC. (f/k/a Array Technologies, Inc.), a New Mexico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ATI INVESTMENT SUB, INC.,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GOLDMAN SACHS BANK USA, as Administrative Agent, Collateral Agent and each L/C Issuer and lender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and not otherwise defined herein shall have the meanings assigned to such terms in the Credit Agreement.</w:t>
      </w:r>
    </w:p>
    <w:p>
      <w:pPr>
        <w:spacing w:after="0" w:line="30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WHEREAS, the Borrower desires to amend the Credit Agreement on the terms set forth</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herein;</w:t>
      </w:r>
    </w:p>
    <w:p>
      <w:pPr>
        <w:spacing w:after="0" w:line="308"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WHEREAS, (a) Section 2.18 of the Credit Agreement provides that the Borrower may obtain Refinancing Term Loans pursuant to a Refinancing Amendment, the proceeds of which shall be used to prepay in full Initial Term Loans outstanding under the Credit Agreement as of the Amendment No. 1 Effective Date (as defined below) (immediately prior to giving effect to this Amendment) (the “</w:t>
      </w:r>
      <w:r>
        <w:rPr>
          <w:rFonts w:ascii="Arial" w:cs="Arial" w:eastAsia="Arial" w:hAnsi="Arial"/>
          <w:sz w:val="20"/>
          <w:szCs w:val="20"/>
          <w:u w:val="single" w:color="auto"/>
          <w:color w:val="auto"/>
        </w:rPr>
        <w:t>Existing Term Loans</w:t>
      </w:r>
      <w:r>
        <w:rPr>
          <w:rFonts w:ascii="Arial" w:cs="Arial" w:eastAsia="Arial" w:hAnsi="Arial"/>
          <w:sz w:val="20"/>
          <w:szCs w:val="20"/>
          <w:color w:val="auto"/>
        </w:rPr>
        <w:t>”; and the Initial Term Lenders holding such Existing Term Loans, the “</w:t>
      </w:r>
      <w:r>
        <w:rPr>
          <w:rFonts w:ascii="Arial" w:cs="Arial" w:eastAsia="Arial" w:hAnsi="Arial"/>
          <w:sz w:val="20"/>
          <w:szCs w:val="20"/>
          <w:u w:val="single" w:color="auto"/>
          <w:color w:val="auto"/>
        </w:rPr>
        <w:t>Existing Term Lenders</w:t>
      </w:r>
      <w:r>
        <w:rPr>
          <w:rFonts w:ascii="Arial" w:cs="Arial" w:eastAsia="Arial" w:hAnsi="Arial"/>
          <w:sz w:val="20"/>
          <w:szCs w:val="20"/>
          <w:color w:val="auto"/>
        </w:rPr>
        <w:t>”); and (b) Section 2.18 of the Credit Agreement further provides that any Refinancing Amendment may, without the consent of any other Lenders, effect such amendments to the Credit Agreement and the other Loan Documents as may be necessary or appropriate, to effect the incurrence of the Refinancing Term Loans;</w:t>
      </w:r>
    </w:p>
    <w:p>
      <w:pPr>
        <w:spacing w:after="0" w:line="233"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WHEREAS, (a) Goldman Sachs Bank USA (“</w:t>
      </w:r>
      <w:r>
        <w:rPr>
          <w:rFonts w:ascii="Arial" w:cs="Arial" w:eastAsia="Arial" w:hAnsi="Arial"/>
          <w:sz w:val="19"/>
          <w:szCs w:val="19"/>
          <w:u w:val="single" w:color="auto"/>
          <w:color w:val="auto"/>
        </w:rPr>
        <w:t>GS Bank</w:t>
      </w:r>
      <w:r>
        <w:rPr>
          <w:rFonts w:ascii="Arial" w:cs="Arial" w:eastAsia="Arial" w:hAnsi="Arial"/>
          <w:sz w:val="19"/>
          <w:szCs w:val="19"/>
          <w:color w:val="auto"/>
        </w:rPr>
        <w:t>”) has agreed to act in the roles and pursuant to the titles set forth in the Engagement Letter, dated as of February 12, 2021, between the Borrower and GS Bank in respect of such Refinancing Term Loans (in such capacity, the “</w:t>
      </w:r>
      <w:r>
        <w:rPr>
          <w:rFonts w:ascii="Arial" w:cs="Arial" w:eastAsia="Arial" w:hAnsi="Arial"/>
          <w:sz w:val="19"/>
          <w:szCs w:val="19"/>
          <w:u w:val="single" w:color="auto"/>
          <w:color w:val="auto"/>
        </w:rPr>
        <w:t>Lead-Left Arranger</w:t>
      </w:r>
      <w:r>
        <w:rPr>
          <w:rFonts w:ascii="Arial" w:cs="Arial" w:eastAsia="Arial" w:hAnsi="Arial"/>
          <w:sz w:val="19"/>
          <w:szCs w:val="19"/>
          <w:color w:val="auto"/>
        </w:rPr>
        <w:t>”) and (b) the Lead-Left Arranger shall act as lead arranger and bookrunner in respect of such Refinancing Term Loans (acting in its capacity in such roles and titles, the “</w:t>
      </w:r>
      <w:r>
        <w:rPr>
          <w:rFonts w:ascii="Arial" w:cs="Arial" w:eastAsia="Arial" w:hAnsi="Arial"/>
          <w:sz w:val="19"/>
          <w:szCs w:val="19"/>
          <w:u w:val="single" w:color="auto"/>
          <w:color w:val="auto"/>
        </w:rPr>
        <w:t>Lead Arranger</w:t>
      </w:r>
      <w:r>
        <w:rPr>
          <w:rFonts w:ascii="Arial" w:cs="Arial" w:eastAsia="Arial" w:hAnsi="Arial"/>
          <w:sz w:val="19"/>
          <w:szCs w:val="19"/>
          <w:color w:val="auto"/>
        </w:rPr>
        <w:t>”);</w:t>
      </w:r>
    </w:p>
    <w:p>
      <w:pPr>
        <w:spacing w:after="0" w:line="298" w:lineRule="exact"/>
        <w:rPr>
          <w:sz w:val="20"/>
          <w:szCs w:val="20"/>
          <w:color w:val="auto"/>
        </w:rPr>
      </w:pPr>
    </w:p>
    <w:p>
      <w:pPr>
        <w:jc w:val="both"/>
        <w:ind w:left="140" w:firstLine="1296"/>
        <w:spacing w:after="0" w:line="273" w:lineRule="auto"/>
        <w:rPr>
          <w:sz w:val="20"/>
          <w:szCs w:val="20"/>
          <w:color w:val="auto"/>
        </w:rPr>
      </w:pPr>
      <w:r>
        <w:rPr>
          <w:rFonts w:ascii="Arial" w:cs="Arial" w:eastAsia="Arial" w:hAnsi="Arial"/>
          <w:sz w:val="18"/>
          <w:szCs w:val="18"/>
          <w:color w:val="auto"/>
        </w:rPr>
        <w:t>WHEREAS, (a) the Lender party hereto as the New Fronting Term Lender (as defined below) has agreed to provide Refinancing Term Loans (such Refinancing Term Loans, collectively with the Refinancing Term Loans provided pursuant to clause (b) below, the “</w:t>
      </w:r>
      <w:r>
        <w:rPr>
          <w:rFonts w:ascii="Arial" w:cs="Arial" w:eastAsia="Arial" w:hAnsi="Arial"/>
          <w:sz w:val="18"/>
          <w:szCs w:val="18"/>
          <w:u w:val="single" w:color="auto"/>
          <w:color w:val="auto"/>
        </w:rPr>
        <w:t>New Term Loans</w:t>
      </w:r>
      <w:r>
        <w:rPr>
          <w:rFonts w:ascii="Arial" w:cs="Arial" w:eastAsia="Arial" w:hAnsi="Arial"/>
          <w:sz w:val="18"/>
          <w:szCs w:val="18"/>
          <w:color w:val="auto"/>
        </w:rPr>
        <w:t xml:space="preserve">”) in an aggregate principal amount equal to the outstanding principal amount of Existing Term Loans in effect immediately prior to the Amendment No. 1 Effective Date </w:t>
      </w:r>
      <w:r>
        <w:rPr>
          <w:rFonts w:ascii="Arial" w:cs="Arial" w:eastAsia="Arial" w:hAnsi="Arial"/>
          <w:sz w:val="18"/>
          <w:szCs w:val="18"/>
          <w:b w:val="1"/>
          <w:bCs w:val="1"/>
          <w:i w:val="1"/>
          <w:iCs w:val="1"/>
          <w:color w:val="auto"/>
        </w:rPr>
        <w:t>minus</w:t>
      </w:r>
      <w:r>
        <w:rPr>
          <w:rFonts w:ascii="Arial" w:cs="Arial" w:eastAsia="Arial" w:hAnsi="Arial"/>
          <w:sz w:val="18"/>
          <w:szCs w:val="18"/>
          <w:color w:val="auto"/>
        </w:rPr>
        <w:t xml:space="preserve"> the aggregate Rollover Amount (as defined below) (such New Fronting Term Lender, in such capacity, the “</w:t>
      </w:r>
      <w:r>
        <w:rPr>
          <w:rFonts w:ascii="Arial" w:cs="Arial" w:eastAsia="Arial" w:hAnsi="Arial"/>
          <w:sz w:val="18"/>
          <w:szCs w:val="18"/>
          <w:u w:val="single" w:color="auto"/>
          <w:color w:val="auto"/>
        </w:rPr>
        <w:t>New Fronting Term Lender</w:t>
      </w:r>
      <w:r>
        <w:rPr>
          <w:rFonts w:ascii="Arial" w:cs="Arial" w:eastAsia="Arial" w:hAnsi="Arial"/>
          <w:sz w:val="18"/>
          <w:szCs w:val="18"/>
          <w:color w:val="auto"/>
        </w:rPr>
        <w:t xml:space="preserve">”) and (b) each Lender party hereto as a Rollover Lender (as defined below) has agreed to have all of its Existing Term Loans outstanding immediately prior to the Amendment No. 1 Effective Date converted into a like principal amount of New Term Loans,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effective as of the Amendment No. 1 Effective Date, in accordance with the terms and conditions set forth herein and in the Credit Agreement; and</w:t>
      </w:r>
    </w:p>
    <w:p>
      <w:pPr>
        <w:spacing w:after="0" w:line="195" w:lineRule="exact"/>
        <w:rPr>
          <w:sz w:val="20"/>
          <w:szCs w:val="20"/>
          <w:color w:val="auto"/>
        </w:rPr>
      </w:pPr>
    </w:p>
    <w:p>
      <w:pPr>
        <w:jc w:val="both"/>
        <w:ind w:left="140" w:firstLine="1295"/>
        <w:spacing w:after="0" w:line="246" w:lineRule="auto"/>
        <w:rPr>
          <w:sz w:val="20"/>
          <w:szCs w:val="20"/>
          <w:color w:val="auto"/>
        </w:rPr>
      </w:pPr>
      <w:r>
        <w:rPr>
          <w:rFonts w:ascii="Arial" w:cs="Arial" w:eastAsia="Arial" w:hAnsi="Arial"/>
          <w:sz w:val="20"/>
          <w:szCs w:val="20"/>
          <w:color w:val="auto"/>
        </w:rPr>
        <w:t>WHEREAS, the New Term Lenders have agreed to provide New Term Loans (or in the case of the Rollover Lenders, convert Existing Term Loans to New Term Loans) and (ii) the Borrower has requested, and each of the New Term Lenders have agreed to, an amendment to the Credit Agreement pursuant to which certain related provisions of the Credit Agreement will be amended as set forth herein.</w:t>
      </w:r>
    </w:p>
    <w:p>
      <w:pPr>
        <w:spacing w:after="0" w:line="218" w:lineRule="exact"/>
        <w:rPr>
          <w:sz w:val="20"/>
          <w:szCs w:val="20"/>
          <w:color w:val="auto"/>
        </w:rPr>
      </w:pPr>
    </w:p>
    <w:p>
      <w:pPr>
        <w:jc w:val="both"/>
        <w:ind w:left="140" w:right="20" w:firstLine="1295"/>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b w:val="1"/>
          <w:bCs w:val="1"/>
          <w:u w:val="single" w:color="auto"/>
          <w:color w:val="auto"/>
        </w:rPr>
        <w:t>New Term Loans; Amendment</w:t>
      </w:r>
      <w:r>
        <w:rPr>
          <w:rFonts w:ascii="Arial" w:cs="Arial" w:eastAsia="Arial" w:hAnsi="Arial"/>
          <w:sz w:val="18"/>
          <w:szCs w:val="18"/>
          <w:color w:val="auto"/>
        </w:rPr>
        <w:t>.</w:t>
      </w:r>
    </w:p>
    <w:p>
      <w:pPr>
        <w:spacing w:after="0" w:line="330" w:lineRule="exact"/>
        <w:rPr>
          <w:sz w:val="20"/>
          <w:szCs w:val="20"/>
          <w:color w:val="auto"/>
        </w:rPr>
      </w:pPr>
    </w:p>
    <w:p>
      <w:pPr>
        <w:jc w:val="both"/>
        <w:ind w:left="780" w:firstLine="649"/>
        <w:spacing w:after="0" w:line="269" w:lineRule="auto"/>
        <w:tabs>
          <w:tab w:leader="none" w:pos="19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With effect from and including the Amendment No. 1 Effective Date, each New Term Lender shall become party to the Amended Credit Agreement as a “Lender”, an “Initial Lender” and a “Term Lender”, shall have a commitment to provide Refinancing Term Loans in accordance with the terms hereof (i) in the case of the New Fronting Term Lender, in an aggregate principal amount equal to the outstanding principal amount of Existing Term Loans in effect im- mediately prior to the Amendment No. 1 Effective Date </w:t>
      </w:r>
      <w:r>
        <w:rPr>
          <w:rFonts w:ascii="Arial" w:cs="Arial" w:eastAsia="Arial" w:hAnsi="Arial"/>
          <w:sz w:val="18"/>
          <w:szCs w:val="18"/>
          <w:b w:val="1"/>
          <w:bCs w:val="1"/>
          <w:i w:val="1"/>
          <w:iCs w:val="1"/>
          <w:color w:val="auto"/>
        </w:rPr>
        <w:t>minus</w:t>
      </w:r>
      <w:r>
        <w:rPr>
          <w:rFonts w:ascii="Arial" w:cs="Arial" w:eastAsia="Arial" w:hAnsi="Arial"/>
          <w:sz w:val="18"/>
          <w:szCs w:val="18"/>
          <w:color w:val="auto"/>
        </w:rPr>
        <w:t xml:space="preserve"> the aggregate Rollover Amount for all other New Term Lenders and (ii) in the case of each Rollover Lender, in the amount equal to such Lender’s Rollover Amount (each such commitment, a “</w:t>
      </w:r>
      <w:r>
        <w:rPr>
          <w:rFonts w:ascii="Arial" w:cs="Arial" w:eastAsia="Arial" w:hAnsi="Arial"/>
          <w:sz w:val="18"/>
          <w:szCs w:val="18"/>
          <w:u w:val="single" w:color="auto"/>
          <w:color w:val="auto"/>
        </w:rPr>
        <w:t>New 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as applicable, and shall have all of the rights and obligations of a “Lender”, “Initial Term Lender” and “Term Lender” under the Amended Credit Agreement and the other Loan Documents. On the Amendment No. 1 Effective Date, each Existing Term Lender (in its capacity as such, but not in any other capacity) shall cease to be a Lender party to the Credit Agreement (and, for the avoidance of doubt, shall not be a party to the Amended Credit Agreement with respect to Initial Term Loans (except to the extent that it shall subsequently become party thereto (i) pursuant to an Assignment and Assumption entered into with any Lender in accordance with the terms of the Amended Credit Agreement, (ii) with respect to any Rollover Lender, pursuant to a “cashless roll” in accordance with this Amendment or (iii) through other means in accordance with the terms and provisions of the Amended Credit Agreement)), and all accrued and unpaid fees and other amounts payable under the Credit Agreement for the account of each Existing Term Lender shall be due and payable on such date.</w:t>
      </w:r>
    </w:p>
    <w:p>
      <w:pPr>
        <w:spacing w:after="0" w:line="219" w:lineRule="exact"/>
        <w:rPr>
          <w:rFonts w:ascii="Arial" w:cs="Arial" w:eastAsia="Arial" w:hAnsi="Arial"/>
          <w:sz w:val="18"/>
          <w:szCs w:val="18"/>
          <w:color w:val="auto"/>
        </w:rPr>
      </w:pPr>
    </w:p>
    <w:p>
      <w:pPr>
        <w:ind w:left="2060" w:hanging="631"/>
        <w:spacing w:after="0"/>
        <w:tabs>
          <w:tab w:leader="none" w:pos="2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On the Amendment No. 1 Effective Date,</w:t>
      </w:r>
    </w:p>
    <w:p>
      <w:pPr>
        <w:spacing w:after="0" w:line="242" w:lineRule="exact"/>
        <w:rPr>
          <w:rFonts w:ascii="Arial" w:cs="Arial" w:eastAsia="Arial" w:hAnsi="Arial"/>
          <w:sz w:val="20"/>
          <w:szCs w:val="20"/>
          <w:color w:val="auto"/>
        </w:rPr>
      </w:pPr>
    </w:p>
    <w:p>
      <w:pPr>
        <w:jc w:val="both"/>
        <w:ind w:left="1420" w:firstLine="283"/>
        <w:spacing w:after="0" w:line="246" w:lineRule="auto"/>
        <w:tabs>
          <w:tab w:leader="none" w:pos="1935" w:val="left"/>
        </w:tabs>
        <w:numPr>
          <w:ilvl w:val="3"/>
          <w:numId w:val="41"/>
        </w:numPr>
        <w:rPr>
          <w:rFonts w:ascii="Arial" w:cs="Arial" w:eastAsia="Arial" w:hAnsi="Arial"/>
          <w:sz w:val="20"/>
          <w:szCs w:val="20"/>
          <w:color w:val="auto"/>
        </w:rPr>
      </w:pPr>
      <w:r>
        <w:rPr>
          <w:rFonts w:ascii="Arial" w:cs="Arial" w:eastAsia="Arial" w:hAnsi="Arial"/>
          <w:sz w:val="20"/>
          <w:szCs w:val="20"/>
          <w:color w:val="auto"/>
        </w:rPr>
        <w:t>each New Term Lender, severally and not jointly, shall make (or in the case of any Rollover Lender, be deemed to make) a Refinancing Term Loan to the Borrower in accordance with this Section 1(b) and Section 2.18 of the Credit Agreement by delivering (or in the case of any Rollover Lender, being deemed to deliver) to the Administrative Agent immediately available funds in an amount equal to its New Term Loan Commitment;</w:t>
      </w:r>
    </w:p>
    <w:p>
      <w:pPr>
        <w:spacing w:after="0" w:line="231" w:lineRule="exact"/>
        <w:rPr>
          <w:rFonts w:ascii="Arial" w:cs="Arial" w:eastAsia="Arial" w:hAnsi="Arial"/>
          <w:sz w:val="20"/>
          <w:szCs w:val="20"/>
          <w:color w:val="auto"/>
        </w:rPr>
      </w:pPr>
    </w:p>
    <w:p>
      <w:pPr>
        <w:jc w:val="both"/>
        <w:ind w:left="1420" w:firstLine="173"/>
        <w:spacing w:after="0" w:line="272" w:lineRule="auto"/>
        <w:tabs>
          <w:tab w:leader="none" w:pos="1934"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the Borrower shall prepay in full the Existing Term Loans by (A) delivering to the Administrative Agent funds in an amount equal to the excess, if any, of (1) the ag- gregate of the Existing Term Lender Amounts (as defined below) for all of the Existing Term Lenders (except to the extent otherwise agreed by any Existing Term Lender) </w:t>
      </w:r>
      <w:r>
        <w:rPr>
          <w:rFonts w:ascii="Arial" w:cs="Arial" w:eastAsia="Arial" w:hAnsi="Arial"/>
          <w:sz w:val="18"/>
          <w:szCs w:val="18"/>
          <w:u w:val="single" w:color="auto"/>
          <w:color w:val="auto"/>
        </w:rPr>
        <w:t>over</w:t>
      </w:r>
    </w:p>
    <w:p>
      <w:pPr>
        <w:jc w:val="both"/>
        <w:ind w:left="1420"/>
        <w:spacing w:after="0"/>
        <w:rPr>
          <w:rFonts w:ascii="Arial" w:cs="Arial" w:eastAsia="Arial" w:hAnsi="Arial"/>
          <w:sz w:val="18"/>
          <w:szCs w:val="18"/>
          <w:color w:val="auto"/>
        </w:rPr>
      </w:pPr>
      <w:r>
        <w:rPr>
          <w:rFonts w:ascii="Arial" w:cs="Arial" w:eastAsia="Arial" w:hAnsi="Arial"/>
          <w:sz w:val="20"/>
          <w:szCs w:val="20"/>
          <w:color w:val="auto"/>
        </w:rPr>
        <w:t>(2) the sum of the New Lender Net Funding Amount (as defined below) plus (without duplication of any New Lender Net Funding Amount) the Rollover Amount (such excess, the “</w:t>
      </w:r>
      <w:r>
        <w:rPr>
          <w:rFonts w:ascii="Arial" w:cs="Arial" w:eastAsia="Arial" w:hAnsi="Arial"/>
          <w:sz w:val="20"/>
          <w:szCs w:val="20"/>
          <w:u w:val="single" w:color="auto"/>
          <w:color w:val="auto"/>
        </w:rPr>
        <w:t>Borrower’s Payment</w:t>
      </w:r>
      <w:r>
        <w:rPr>
          <w:rFonts w:ascii="Arial" w:cs="Arial" w:eastAsia="Arial" w:hAnsi="Arial"/>
          <w:sz w:val="20"/>
          <w:szCs w:val="20"/>
          <w:color w:val="auto"/>
        </w:rPr>
        <w:t>”); and (B) directing the Administrative Agent to apply the funds made available to the Administrative Agent pursuant to Section 1(b)(i) hereof, net of fees and expenses as agreed by the Borrower and the Administrative Agent not otherwise paid by or on behalf of the Borrower (the “</w:t>
      </w:r>
      <w:r>
        <w:rPr>
          <w:rFonts w:ascii="Arial" w:cs="Arial" w:eastAsia="Arial" w:hAnsi="Arial"/>
          <w:sz w:val="20"/>
          <w:szCs w:val="20"/>
          <w:u w:val="single" w:color="auto"/>
          <w:color w:val="auto"/>
        </w:rPr>
        <w:t>New Lender Net Funding Amount</w:t>
      </w:r>
      <w:r>
        <w:rPr>
          <w:rFonts w:ascii="Arial" w:cs="Arial" w:eastAsia="Arial" w:hAnsi="Arial"/>
          <w:sz w:val="20"/>
          <w:szCs w:val="20"/>
          <w:color w:val="auto"/>
        </w:rPr>
        <w:t>”), along with the Borrower’s Payment, if any, and the Rollover Amount to prepay in full the Existing Term Loans; and</w:t>
      </w:r>
    </w:p>
    <w:p>
      <w:pPr>
        <w:spacing w:after="0" w:line="237" w:lineRule="exact"/>
        <w:rPr>
          <w:rFonts w:ascii="Arial" w:cs="Arial" w:eastAsia="Arial" w:hAnsi="Arial"/>
          <w:sz w:val="18"/>
          <w:szCs w:val="18"/>
          <w:color w:val="auto"/>
        </w:rPr>
      </w:pPr>
    </w:p>
    <w:p>
      <w:pPr>
        <w:jc w:val="both"/>
        <w:ind w:left="1420" w:firstLine="64"/>
        <w:spacing w:after="0" w:line="250" w:lineRule="auto"/>
        <w:tabs>
          <w:tab w:leader="none" w:pos="1933"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Administrative Agent shall apply the Borrower’s Payment to pay to each Existing Term Lender an amount equal to such Existing Term Lender’s Existing Term Lender Amount (except as otherwise agreed by such Existing Term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780" w:firstLine="648"/>
        <w:spacing w:after="0" w:line="246" w:lineRule="auto"/>
        <w:rPr>
          <w:sz w:val="20"/>
          <w:szCs w:val="20"/>
          <w:color w:val="auto"/>
        </w:rPr>
      </w:pPr>
      <w:r>
        <w:rPr>
          <w:rFonts w:ascii="Arial" w:cs="Arial" w:eastAsia="Arial" w:hAnsi="Arial"/>
          <w:sz w:val="20"/>
          <w:szCs w:val="20"/>
          <w:color w:val="auto"/>
        </w:rPr>
        <w:t>The transactions described in this Section 1(b) shall be deemed to occur immediately prior to the effectiveness of the amendment of the Credit Agreement pursuant to Section 1(d) hereof. The New Term Loan Commitments provided for hereunder shall terminate on the Amendment No. 1 Effective Date immediately upon the borrowing of the New Term Loans pursuant to Section 1(b).</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60" w:lineRule="auto"/>
        <w:rPr>
          <w:sz w:val="20"/>
          <w:szCs w:val="20"/>
          <w:color w:val="auto"/>
        </w:rPr>
      </w:pPr>
      <w:r>
        <w:rPr>
          <w:rFonts w:ascii="Arial" w:cs="Arial" w:eastAsia="Arial" w:hAnsi="Arial"/>
          <w:sz w:val="19"/>
          <w:szCs w:val="19"/>
          <w:color w:val="auto"/>
        </w:rPr>
        <w:t>For purposes of this Amendment, the “</w:t>
      </w:r>
      <w:r>
        <w:rPr>
          <w:rFonts w:ascii="Arial" w:cs="Arial" w:eastAsia="Arial" w:hAnsi="Arial"/>
          <w:sz w:val="19"/>
          <w:szCs w:val="19"/>
          <w:u w:val="single" w:color="auto"/>
          <w:color w:val="auto"/>
        </w:rPr>
        <w:t>Existing Term Lender Amount</w:t>
      </w:r>
      <w:r>
        <w:rPr>
          <w:rFonts w:ascii="Arial" w:cs="Arial" w:eastAsia="Arial" w:hAnsi="Arial"/>
          <w:sz w:val="19"/>
          <w:szCs w:val="19"/>
          <w:color w:val="auto"/>
        </w:rPr>
        <w:t xml:space="preserve">” shall mean, for each Exist- ing Term Lender, the sum of (i) the aggregate principal amount of Existing Term Loans owing to such Existing Term Lender on the Amendment No. 1 Effective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all accrued and unpaid interest and other amounts due and payable in accordance with the Credit Agreement on such Ex- isting Term Lender’s Existing Term Loans as of the Amendment No. 1 Effective Date (including, for the avoidance of doubt, premiums payable pursuant to Section 2.05(a)(iv) of the Credit Agree- ment).</w:t>
      </w:r>
    </w:p>
    <w:p>
      <w:pPr>
        <w:spacing w:after="0" w:line="221" w:lineRule="exact"/>
        <w:rPr>
          <w:sz w:val="20"/>
          <w:szCs w:val="20"/>
          <w:color w:val="auto"/>
        </w:rPr>
      </w:pPr>
    </w:p>
    <w:p>
      <w:pPr>
        <w:jc w:val="both"/>
        <w:ind w:left="780" w:firstLine="649"/>
        <w:spacing w:after="0" w:line="269" w:lineRule="auto"/>
        <w:tabs>
          <w:tab w:leader="none" w:pos="19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Existing Term Lender may elect for a “cashless roll” of 100% (or such lesser amount as may be determined by the Lead-Left Arranger and separately notified to such Existing Term Lender by the Lead-Left Arranger prior to the Amendment No. 1 Effective Date) of its Ex- isting Term Loans into New Term Loans in the same principal amount by executing its appropriate signature page to this Amendment and delivering such signature page to the Lead-Left Arranger (such electing Existing Term Lenders, the “</w:t>
      </w:r>
      <w:r>
        <w:rPr>
          <w:rFonts w:ascii="Arial" w:cs="Arial" w:eastAsia="Arial" w:hAnsi="Arial"/>
          <w:sz w:val="18"/>
          <w:szCs w:val="18"/>
          <w:u w:val="single" w:color="auto"/>
          <w:color w:val="auto"/>
        </w:rPr>
        <w:t>Rollover Lenders</w:t>
      </w:r>
      <w:r>
        <w:rPr>
          <w:rFonts w:ascii="Arial" w:cs="Arial" w:eastAsia="Arial" w:hAnsi="Arial"/>
          <w:sz w:val="18"/>
          <w:szCs w:val="18"/>
          <w:color w:val="auto"/>
        </w:rPr>
        <w:t>” and, together with the New Fronting Term Lender, the “</w:t>
      </w:r>
      <w:r>
        <w:rPr>
          <w:rFonts w:ascii="Arial" w:cs="Arial" w:eastAsia="Arial" w:hAnsi="Arial"/>
          <w:sz w:val="18"/>
          <w:szCs w:val="18"/>
          <w:u w:val="single" w:color="auto"/>
          <w:color w:val="auto"/>
        </w:rPr>
        <w:t>New Term Lenders</w:t>
      </w:r>
      <w:r>
        <w:rPr>
          <w:rFonts w:ascii="Arial" w:cs="Arial" w:eastAsia="Arial" w:hAnsi="Arial"/>
          <w:sz w:val="18"/>
          <w:szCs w:val="18"/>
          <w:color w:val="auto"/>
        </w:rPr>
        <w:t>”). It is understood and agreed that (i) simultaneously with the deemed making of New Term Loans by each Rollover Lender and the payment to such Rollover Lender of all accrued and unpaid fees and other amounts in respect of the Existing Term Loan in respect of such Rollover Amount (as defined below), such elected amount (or such lesser amount as may be determined by the Lead-Left Arranger and separately notified to such Rollover Lender by the Lead-Left Arranger prior to the Amendment No. 1 Effective Date) of the Existing Term Loans held by such Rollover Lender (the “</w:t>
      </w:r>
      <w:r>
        <w:rPr>
          <w:rFonts w:ascii="Arial" w:cs="Arial" w:eastAsia="Arial" w:hAnsi="Arial"/>
          <w:sz w:val="18"/>
          <w:szCs w:val="18"/>
          <w:u w:val="single" w:color="auto"/>
          <w:color w:val="auto"/>
        </w:rPr>
        <w:t>Rollover Amount</w:t>
      </w:r>
      <w:r>
        <w:rPr>
          <w:rFonts w:ascii="Arial" w:cs="Arial" w:eastAsia="Arial" w:hAnsi="Arial"/>
          <w:sz w:val="18"/>
          <w:szCs w:val="18"/>
          <w:color w:val="auto"/>
        </w:rPr>
        <w:t>”) shall be deemed to be extinguished, repaid and no longer outstanding and such Rollover Lender shall thereafter hold a New Term Loan in an aggregate principal amount equal to such Rollover Lender’s Rollover Amount, (ii) no Rollo- ver Lender shall receive any prepayment being made to other Existing Term Lenders holding Ex- isting Term Loans from the proceeds of the New Term Loans to the extent of such Rollover Lender’s Rollover Amount and (iii) any Existing Term Loan held by a Rollover Lender that is not so allocated to such Rollover Lender as a Rollover Amount shall be repaid in full on the Amend- ment No. 1 Effective Date together with all accrued and unpaid amounts owing to such Existing Term Lender in respect of such amount.</w:t>
      </w:r>
    </w:p>
    <w:p>
      <w:pPr>
        <w:spacing w:after="0" w:line="203" w:lineRule="exact"/>
        <w:rPr>
          <w:rFonts w:ascii="Arial" w:cs="Arial" w:eastAsia="Arial" w:hAnsi="Arial"/>
          <w:sz w:val="18"/>
          <w:szCs w:val="18"/>
          <w:color w:val="auto"/>
        </w:rPr>
      </w:pPr>
    </w:p>
    <w:p>
      <w:pPr>
        <w:jc w:val="both"/>
        <w:ind w:left="780" w:firstLine="649"/>
        <w:spacing w:after="0" w:line="246" w:lineRule="auto"/>
        <w:tabs>
          <w:tab w:leader="none" w:pos="1941"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The Credit Agreement is, effective as of the Amendment No. 1 Effective Date (as defined below),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99" w:lineRule="exact"/>
        <w:rPr>
          <w:rFonts w:ascii="Arial" w:cs="Arial" w:eastAsia="Arial" w:hAnsi="Arial"/>
          <w:sz w:val="20"/>
          <w:szCs w:val="20"/>
          <w:color w:val="auto"/>
        </w:rPr>
      </w:pPr>
    </w:p>
    <w:p>
      <w:pPr>
        <w:jc w:val="both"/>
        <w:ind w:left="780" w:firstLine="649"/>
        <w:spacing w:after="0" w:line="259" w:lineRule="auto"/>
        <w:tabs>
          <w:tab w:leader="none" w:pos="1943"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This Amendment shall constitute a “Refinancing Amendment” for all purposes of the Credit Agreement. With effect from the effectiveness of this Amendment, each New Term Loan made on the Amendment No. 1 Effective Date in accordance with Section 1(b) shall consti- tute, for all purposes of the Amended Credit Agreement, an Initial Term Loan made pursuant to the Amended Credit Agreement and this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New Term Loan shall constitute an “Initial Term Loan” for all purposes of the Amended Credit Agreement, and all pro- visions of the Amended Credit Agreement applicable to Initial Term Loans shall continue to be applicable to such New Term Loans.</w:t>
      </w:r>
    </w:p>
    <w:p>
      <w:pPr>
        <w:spacing w:after="0" w:line="218" w:lineRule="exact"/>
        <w:rPr>
          <w:rFonts w:ascii="Arial" w:cs="Arial" w:eastAsia="Arial" w:hAnsi="Arial"/>
          <w:sz w:val="19"/>
          <w:szCs w:val="19"/>
          <w:color w:val="auto"/>
        </w:rPr>
      </w:pPr>
    </w:p>
    <w:p>
      <w:pPr>
        <w:jc w:val="both"/>
        <w:ind w:left="780" w:right="180" w:firstLine="649"/>
        <w:spacing w:after="0" w:line="250" w:lineRule="auto"/>
        <w:tabs>
          <w:tab w:leader="none" w:pos="1941" w:val="left"/>
        </w:tabs>
        <w:numPr>
          <w:ilvl w:val="0"/>
          <w:numId w:val="42"/>
        </w:numPr>
        <w:rPr>
          <w:rFonts w:ascii="Arial" w:cs="Arial" w:eastAsia="Arial" w:hAnsi="Arial"/>
          <w:sz w:val="20"/>
          <w:szCs w:val="20"/>
          <w:color w:val="auto"/>
        </w:rPr>
      </w:pPr>
      <w:r>
        <w:rPr>
          <w:rFonts w:ascii="Arial" w:cs="Arial" w:eastAsia="Arial" w:hAnsi="Arial"/>
          <w:sz w:val="20"/>
          <w:szCs w:val="20"/>
          <w:color w:val="auto"/>
        </w:rPr>
        <w:t>Each undersigned Existing Term Lender, as to itself, hereby waives any indem- nity claim for LIBOR breakage costs under Section 3.04 of the Credit Agreement in connection with the amendment of the Applicable Rate with respect to its Existing Term Loans.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40" w:firstLine="1296"/>
        <w:spacing w:after="0" w:line="25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The Borrower hereby represents and warrants that as of the Amendment No. 1 Effective Date (as defined below), after giving effect to this Amendment, (i) no Default or Event of Default has occurred and is continuing, or would result from this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3" w:lineRule="auto"/>
        <w:rPr>
          <w:sz w:val="20"/>
          <w:szCs w:val="20"/>
          <w:color w:val="auto"/>
        </w:rPr>
      </w:pPr>
      <w:r>
        <w:rPr>
          <w:rFonts w:ascii="Arial" w:cs="Arial" w:eastAsia="Arial" w:hAnsi="Arial"/>
          <w:sz w:val="20"/>
          <w:szCs w:val="20"/>
          <w:color w:val="auto"/>
        </w:rPr>
        <w:t xml:space="preserve">Amendment and the incurrence of the New Term Loans and (ii) the representations and warranties of the Borrower and each other Loan Party contained in the Credit Agreement or in the other Loan Documents are true and correct in all material respects with the same effect as though such representations and warranties had been made on and as of the date hereof;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to the extent that such representations and warranties specifically refer to an earlier date, such representations and warranties were true and correct in all material respects as of such earlier date;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227"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b w:val="1"/>
          <w:bCs w:val="1"/>
          <w:u w:val="single" w:color="auto"/>
          <w:color w:val="auto"/>
        </w:rPr>
        <w:t>Effectiveness</w:t>
      </w:r>
      <w:r>
        <w:rPr>
          <w:rFonts w:ascii="Arial" w:cs="Arial" w:eastAsia="Arial" w:hAnsi="Arial"/>
          <w:sz w:val="16"/>
          <w:szCs w:val="16"/>
          <w:color w:val="auto"/>
        </w:rPr>
        <w:t>. This Amendment shall become effective on the date (such date, the “</w:t>
      </w:r>
      <w:r>
        <w:rPr>
          <w:rFonts w:ascii="Arial" w:cs="Arial" w:eastAsia="Arial" w:hAnsi="Arial"/>
          <w:sz w:val="16"/>
          <w:szCs w:val="16"/>
          <w:u w:val="single" w:color="auto"/>
          <w:color w:val="auto"/>
        </w:rPr>
        <w:t>Amendment No. 1</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that the following conditions have been satisfied:</w:t>
      </w:r>
    </w:p>
    <w:p>
      <w:pPr>
        <w:spacing w:after="0" w:line="308" w:lineRule="exact"/>
        <w:rPr>
          <w:sz w:val="20"/>
          <w:szCs w:val="20"/>
          <w:color w:val="auto"/>
        </w:rPr>
      </w:pPr>
    </w:p>
    <w:p>
      <w:pPr>
        <w:ind w:left="780" w:right="20" w:firstLine="650"/>
        <w:spacing w:after="0" w:line="260" w:lineRule="auto"/>
        <w:tabs>
          <w:tab w:leader="none" w:pos="19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Consents</w:t>
      </w:r>
      <w:r>
        <w:rPr>
          <w:rFonts w:ascii="Arial" w:cs="Arial" w:eastAsia="Arial" w:hAnsi="Arial"/>
          <w:sz w:val="20"/>
          <w:szCs w:val="20"/>
          <w:color w:val="auto"/>
        </w:rPr>
        <w:t>. The Administrative Agent shall have received executed signature pages hereto from the New Fronting Term Lender, each Rollover Lender and each Loan Party;</w:t>
      </w:r>
    </w:p>
    <w:p>
      <w:pPr>
        <w:spacing w:after="0" w:line="203" w:lineRule="exact"/>
        <w:rPr>
          <w:rFonts w:ascii="Arial" w:cs="Arial" w:eastAsia="Arial" w:hAnsi="Arial"/>
          <w:sz w:val="20"/>
          <w:szCs w:val="20"/>
          <w:color w:val="auto"/>
        </w:rPr>
      </w:pPr>
    </w:p>
    <w:p>
      <w:pPr>
        <w:jc w:val="both"/>
        <w:ind w:left="780" w:firstLine="649"/>
        <w:spacing w:after="0" w:line="246" w:lineRule="auto"/>
        <w:tabs>
          <w:tab w:leader="none" w:pos="1942"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Borrower shall have paid to the Lead Arranger and the Adminis- trative Agent all fees and expenses due to be paid on the Amendment No. 1 Effective Date, includ- ing all reasonable and documented out-of-pocket expenses required to be paid or reimbursed under Section 10.04 of the Credit Agreement for which invoices have been presented at least one Business Day prior to the Amendment No. 1 Effective Date;</w:t>
      </w:r>
    </w:p>
    <w:p>
      <w:pPr>
        <w:spacing w:after="0" w:line="231" w:lineRule="exact"/>
        <w:rPr>
          <w:rFonts w:ascii="Arial" w:cs="Arial" w:eastAsia="Arial" w:hAnsi="Arial"/>
          <w:sz w:val="20"/>
          <w:szCs w:val="20"/>
          <w:color w:val="auto"/>
        </w:rPr>
      </w:pPr>
    </w:p>
    <w:p>
      <w:pPr>
        <w:jc w:val="both"/>
        <w:ind w:left="780" w:firstLine="650"/>
        <w:spacing w:after="0" w:line="250" w:lineRule="auto"/>
        <w:tabs>
          <w:tab w:leader="none" w:pos="19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a legal opinion from each of (x) Kirkland &amp; Ellis LLP, New York counsel to the Loan Parties and (y) Modrall Sperling, New Mexico counsel to the Loan Parties, each addressed to the Agents and the New Term Lenders;</w:t>
      </w:r>
    </w:p>
    <w:p>
      <w:pPr>
        <w:spacing w:after="0" w:line="226" w:lineRule="exact"/>
        <w:rPr>
          <w:rFonts w:ascii="Arial" w:cs="Arial" w:eastAsia="Arial" w:hAnsi="Arial"/>
          <w:sz w:val="20"/>
          <w:szCs w:val="20"/>
          <w:color w:val="auto"/>
        </w:rPr>
      </w:pPr>
    </w:p>
    <w:p>
      <w:pPr>
        <w:jc w:val="both"/>
        <w:ind w:left="780" w:firstLine="650"/>
        <w:spacing w:after="0" w:line="269" w:lineRule="auto"/>
        <w:tabs>
          <w:tab w:leader="none" w:pos="194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Lead Arranger and the Administrative Agent shall have received (i) a certificate dated as of the Amendment No. 1 Effective Date and executed by a Re- sponsible Officer of each of the Loan Parties, certifying (A)(x) that attached thereto is a true and complete copy of the articles or certificate of incorporation or other comparable organizational documents of such Loan Party, certified by the relevant authority of the jurisdiction of organization of such Loan Party and a true and complete copy of the bylaws, operating or comparable governing document of such Loan Party, if applicable, or (y) that such documents or agreements have not been amended since those delivered as of the Closing Date (except as otherwise attached to such certificate and certified therein as being the only amendments thereto as of such date) and (B)(x) that attached thereto is a true and complete copy of resolutions or written consents of its sharehold- ers or board of directors or other relevant governing body, as the case may be, authorizing the execution, delivery and performance of this Amendment and the other Loan Documents (if any) to which it is a party, and that such resolutions or written consents have not been modified, rescinded or amended and are in full force and effect without amendment, modification or rescission, and (y) as to the incumbency and genuineness of the signature of the officers, directors, managers or other authorized signatories of each Loan Party executing this Amendment and the other Loan Docu- ments (if any) to which it is a party and (ii) certificates as to the good standing (where relevant) of each Loan Party as of a recent date, from the relevant authority of the jurisdiction of organization of such Loan Party;</w:t>
      </w:r>
    </w:p>
    <w:p>
      <w:pPr>
        <w:spacing w:after="0" w:line="208" w:lineRule="exact"/>
        <w:rPr>
          <w:rFonts w:ascii="Arial" w:cs="Arial" w:eastAsia="Arial" w:hAnsi="Arial"/>
          <w:sz w:val="18"/>
          <w:szCs w:val="18"/>
          <w:color w:val="auto"/>
        </w:rPr>
      </w:pPr>
    </w:p>
    <w:p>
      <w:pPr>
        <w:jc w:val="both"/>
        <w:ind w:left="780" w:firstLine="650"/>
        <w:spacing w:after="0" w:line="291" w:lineRule="auto"/>
        <w:tabs>
          <w:tab w:leader="none" w:pos="194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Closing Certificates</w:t>
      </w:r>
      <w:r>
        <w:rPr>
          <w:rFonts w:ascii="Arial" w:cs="Arial" w:eastAsia="Arial" w:hAnsi="Arial"/>
          <w:sz w:val="18"/>
          <w:szCs w:val="18"/>
          <w:color w:val="auto"/>
        </w:rPr>
        <w:t>. The Lead Arranger and the Administrative Agent shall have received a certificate dated as of the Amendment No. 1 Effective Date and executed by a Respon- sible Officer of the Borrower certifying, after giving effect to this Amendment, that, as of the Amendment No. 1 Effective Date, the representations and warranties of each Loan Party</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contained in Section 2 hereof shall be true and correct in all material respects (or, to the extent qualified by materiality, in all respects) on and as of the Amendment No. 1 Effective Date;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50"/>
        <w:spacing w:after="0" w:line="276" w:lineRule="auto"/>
        <w:tabs>
          <w:tab w:leader="none" w:pos="194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KYC</w:t>
      </w:r>
      <w:r>
        <w:rPr>
          <w:rFonts w:ascii="Arial" w:cs="Arial" w:eastAsia="Arial" w:hAnsi="Arial"/>
          <w:sz w:val="18"/>
          <w:szCs w:val="18"/>
          <w:color w:val="auto"/>
        </w:rPr>
        <w:t>. The Lead Arranger and the Administrative Agent shall have received at least three (3) business days prior to the Amendment No. 1 Effective Date all documentation and other information about the Loan Parties reasonably requested by the Lead Arranger (on behalf of any Lender) or the Administrative Agent in writing at least ten (10) Business Days in advance of the Amendment No. 1 Effective Date, which documentation or other information is required by regulatory authorities under applicable “know your customer” and anti-money laundering rules and regulations, including without limitation the USA PATRIOT Act and a beneficial ownership cer- tificate to the extent required under 31 C.F.R. §1010.230;</w:t>
      </w:r>
    </w:p>
    <w:p>
      <w:pPr>
        <w:spacing w:after="0" w:line="205" w:lineRule="exact"/>
        <w:rPr>
          <w:rFonts w:ascii="Arial" w:cs="Arial" w:eastAsia="Arial" w:hAnsi="Arial"/>
          <w:sz w:val="18"/>
          <w:szCs w:val="18"/>
          <w:color w:val="auto"/>
        </w:rPr>
      </w:pPr>
    </w:p>
    <w:p>
      <w:pPr>
        <w:ind w:left="1940" w:hanging="510"/>
        <w:spacing w:after="0"/>
        <w:tabs>
          <w:tab w:leader="none" w:pos="19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Borrower’s Payment</w:t>
      </w:r>
      <w:r>
        <w:rPr>
          <w:rFonts w:ascii="Arial" w:cs="Arial" w:eastAsia="Arial" w:hAnsi="Arial"/>
          <w:sz w:val="20"/>
          <w:szCs w:val="20"/>
          <w:color w:val="auto"/>
        </w:rPr>
        <w:t>. The Administrative Agent shall have received the Bor- rower’s Payment; and</w:t>
      </w:r>
    </w:p>
    <w:p>
      <w:pPr>
        <w:spacing w:after="0" w:line="242" w:lineRule="exact"/>
        <w:rPr>
          <w:rFonts w:ascii="Arial" w:cs="Arial" w:eastAsia="Arial" w:hAnsi="Arial"/>
          <w:sz w:val="20"/>
          <w:szCs w:val="20"/>
          <w:color w:val="auto"/>
        </w:rPr>
      </w:pPr>
    </w:p>
    <w:p>
      <w:pPr>
        <w:ind w:left="780" w:right="20" w:firstLine="650"/>
        <w:spacing w:after="0" w:line="260" w:lineRule="auto"/>
        <w:tabs>
          <w:tab w:leader="none" w:pos="194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The Administrative Agent shall have received a Request for Credit Extension with respect to the New Term Loans.</w:t>
      </w:r>
    </w:p>
    <w:p>
      <w:pPr>
        <w:spacing w:after="0" w:line="211" w:lineRule="exact"/>
        <w:rPr>
          <w:sz w:val="20"/>
          <w:szCs w:val="20"/>
          <w:color w:val="auto"/>
        </w:rPr>
      </w:pPr>
    </w:p>
    <w:p>
      <w:pPr>
        <w:jc w:val="both"/>
        <w:ind w:left="140" w:firstLine="1296"/>
        <w:spacing w:after="0" w:line="271"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xml:space="preserve">. This Amendment may be executed in one or more counterparts, each of which shall be deemed an original, but all of which together shall constitute one and the same instrument. Delivery by telecopier or other electronic transmission of an executed counterpart of a signature page to this Amendment shall be effective as delivery of an original executed counterpart of this Amendment. The Administrative Agent may also require that any such documents and signatures delivered by telecopier or other electronic transmission be confirmed by a manually signed original thereof;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failure to request or deliver the same shall not limit the effectiveness of any document or signature delivered by telecopier or other electronic transmission.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0" w:lineRule="exact"/>
        <w:rPr>
          <w:sz w:val="20"/>
          <w:szCs w:val="20"/>
          <w:color w:val="auto"/>
        </w:rPr>
      </w:pPr>
    </w:p>
    <w:p>
      <w:pPr>
        <w:jc w:val="both"/>
        <w:ind w:left="140" w:right="20" w:firstLine="1296"/>
        <w:spacing w:after="0" w:line="267"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The headings of this Amendment are for purposes of reference only and shall not limit or otherwise affect the meaning hereof.</w:t>
      </w:r>
    </w:p>
    <w:p>
      <w:pPr>
        <w:spacing w:after="0" w:line="190"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b w:val="1"/>
          <w:bCs w:val="1"/>
          <w:u w:val="single" w:color="auto"/>
          <w:color w:val="auto"/>
        </w:rPr>
        <w:t>Effect of Amendment; Reaffirmation</w:t>
      </w:r>
      <w:r>
        <w:rPr>
          <w:rFonts w:ascii="Arial" w:cs="Arial" w:eastAsia="Arial" w:hAnsi="Arial"/>
          <w:sz w:val="18"/>
          <w:szCs w:val="18"/>
          <w:color w:val="auto"/>
        </w:rPr>
        <w:t>.</w:t>
      </w:r>
    </w:p>
    <w:p>
      <w:pPr>
        <w:spacing w:after="0" w:line="343" w:lineRule="exact"/>
        <w:rPr>
          <w:sz w:val="20"/>
          <w:szCs w:val="20"/>
          <w:color w:val="auto"/>
        </w:rPr>
      </w:pPr>
    </w:p>
    <w:p>
      <w:pPr>
        <w:jc w:val="both"/>
        <w:ind w:left="140" w:firstLine="1289"/>
        <w:spacing w:after="0" w:line="270" w:lineRule="auto"/>
        <w:tabs>
          <w:tab w:leader="none" w:pos="19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expressly set forth herein, (i) this Amendment shall not by implication or otherwise limit, impair, constitute a waiver of or otherwise affect the rights and remedies of the Lenders, the Administrative Agent or the Collateral Agent, in each case under the Credit Agreement or any other Loan Document, and (ii) shall not alter, modify, amend or in any way affect any of the terms, conditions, obligations, covenants or agreements contained in the Credit Agreement or any other Loan Document. Ex- cept as expressly set forth herein, each and every term, condition, obligation, covenant and agreement con- tained in the Credit Agreement or any other Loan Document is hereby ratified and re-affirmed in all respects and shall continue in full force and effect and each Loan Party party hereto reaffirms its obligations under the Loan Documents to which it is party and the grant of its Liens on the Collateral made by it pursuant to the Collateral Documents. This Amendment shall constitute a Loan Document for purposes of the Credit Agreement and the provisions of Sections 10.01, 10.13, 10.14 and 10.15 shall be deemed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 From and after the Amendment No. 1 Effective Date, all references to the Credit Agreement in any Loan Document and all references in the Credit Agreement to “this Agreement,” “here- under,” “hereof” or words of like import referring to the Credit Agreement, shall, unless expressly provided otherwise, refer to the Amended Credit Agreement. Each of the Loan</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Parties hereby consents to this Amendment and confirms that all obligations of such Loan Party under the Loan Documents to which such Loan Party is a party shall continue to apply to the Amended Credit Agreement.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40" w:firstLine="1289"/>
        <w:spacing w:after="0" w:line="257" w:lineRule="auto"/>
        <w:tabs>
          <w:tab w:leader="none" w:pos="195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Loan Party hereby (i) affirms and confirms its guarantee of (or, in the case of the Borrower, its principal obligation with respect to) of the Secured Obligations pursuant to the Guar- antee, (ii) affirms and confirms its prior pledges and grants of Liens on the Collateral to secure the Se- cured Obligations and other commitments under the Collateral Documents to which it is a party and (iii) agrees that (x) the Guarantee and each Collateral Document to which it is a party shall continue to be in full force and effect in accordance with and subject to the terms and conditions and such Guarantee and Collateral Documents, after giving effect to this Amendment and (y) all guarantees, Liens, pledges, grants and other commitments thereunder shall continue to be in full force and effect and shall secure the Se- cured Obligations (after giving effect to this Amendment) including, without limitation, the New Term Loans, and shall accrue to the benefit of the Agents and the other Secured Parties.</w:t>
      </w:r>
    </w:p>
    <w:p>
      <w:pPr>
        <w:spacing w:after="0" w:line="215" w:lineRule="exact"/>
        <w:rPr>
          <w:sz w:val="20"/>
          <w:szCs w:val="20"/>
          <w:color w:val="auto"/>
        </w:rPr>
      </w:pPr>
    </w:p>
    <w:p>
      <w:pPr>
        <w:jc w:val="both"/>
        <w:ind w:left="140" w:firstLine="1296"/>
        <w:spacing w:after="0" w:line="27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No Novation.</w:t>
      </w:r>
      <w:r>
        <w:rPr>
          <w:rFonts w:ascii="Arial" w:cs="Arial" w:eastAsia="Arial" w:hAnsi="Arial"/>
          <w:sz w:val="18"/>
          <w:szCs w:val="18"/>
          <w:color w:val="auto"/>
        </w:rPr>
        <w:t xml:space="preserve">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discharge or release the Lien or priority of any Collateral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 and except to the extent repaid as provided herein.</w:t>
      </w:r>
    </w:p>
    <w:p>
      <w:pPr>
        <w:spacing w:after="0" w:line="189" w:lineRule="exact"/>
        <w:rPr>
          <w:sz w:val="20"/>
          <w:szCs w:val="20"/>
          <w:color w:val="auto"/>
        </w:rPr>
      </w:pPr>
    </w:p>
    <w:p>
      <w:pPr>
        <w:jc w:val="both"/>
        <w:ind w:left="140" w:firstLine="1296"/>
        <w:spacing w:after="0" w:line="245"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xml:space="preserve"> The execution and delivery of this Amendment by the Borrower and the satisfaction of all conditions precedent to effectiveness of this Amendment pursuant to Section 3 hereof shall be deemed to satisfy any requirement for, and constitute any notice required to be delivered to the Administrative Agent under the Credit Agreement (other than delivery of a Request for Credit Extension). The New Term Loans shall be funded with a single Interest Period which shall be the same as the Interest Period of the existing Initial Term Loans as in effect immediately prior to the Amendment No. 1 Effective Date, and the New Term Lenders hereby consent to such Interest Period.</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3"/>
          <w:szCs w:val="13"/>
          <w:color w:val="auto"/>
        </w:rPr>
        <w:t>#94164940v4</w:t>
      </w:r>
    </w:p>
    <w:p>
      <w:pPr>
        <w:sectPr>
          <w:pgSz w:w="11900" w:h="16838" w:orient="portrait"/>
          <w:cols w:equalWidth="0" w:num="1">
            <w:col w:w="11120"/>
          </w:cols>
          <w:pgMar w:left="320" w:top="121" w:right="45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960"/>
        <w:spacing w:after="0"/>
        <w:rPr>
          <w:sz w:val="20"/>
          <w:szCs w:val="20"/>
          <w:color w:val="auto"/>
        </w:rPr>
      </w:pPr>
      <w:r>
        <w:rPr>
          <w:rFonts w:ascii="Arial" w:cs="Arial" w:eastAsia="Arial" w:hAnsi="Arial"/>
          <w:sz w:val="22"/>
          <w:szCs w:val="22"/>
          <w:i w:val="1"/>
          <w:iCs w:val="1"/>
          <w:color w:val="auto"/>
        </w:rPr>
        <w:t>Execution Version</w:t>
      </w:r>
    </w:p>
    <w:p>
      <w:pPr>
        <w:spacing w:after="0" w:line="76" w:lineRule="exact"/>
        <w:rPr>
          <w:sz w:val="20"/>
          <w:szCs w:val="20"/>
          <w:color w:val="auto"/>
        </w:rPr>
      </w:pPr>
    </w:p>
    <w:p>
      <w:pPr>
        <w:ind w:left="140" w:firstLine="1295"/>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198"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ATI INVESTMENT SUB, INC.,</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 Delaware corporation, as Holdings</w:t>
      </w:r>
    </w:p>
    <w:p>
      <w:pPr>
        <w:spacing w:after="0" w:line="200" w:lineRule="exact"/>
        <w:rPr>
          <w:sz w:val="20"/>
          <w:szCs w:val="20"/>
          <w:color w:val="auto"/>
        </w:rPr>
      </w:pPr>
    </w:p>
    <w:p>
      <w:pPr>
        <w:spacing w:after="0" w:line="270" w:lineRule="exact"/>
        <w:rPr>
          <w:sz w:val="20"/>
          <w:szCs w:val="20"/>
          <w:color w:val="auto"/>
        </w:rPr>
      </w:pPr>
    </w:p>
    <w:p>
      <w:pPr>
        <w:ind w:left="4020"/>
        <w:spacing w:after="0"/>
        <w:tabs>
          <w:tab w:leader="none" w:pos="5820" w:val="left"/>
        </w:tabs>
        <w:rPr>
          <w:sz w:val="20"/>
          <w:szCs w:val="20"/>
          <w:color w:val="auto"/>
        </w:rPr>
      </w:pPr>
      <w:r>
        <w:rPr>
          <w:rFonts w:ascii="Arial" w:cs="Arial" w:eastAsia="Arial" w:hAnsi="Arial"/>
          <w:sz w:val="20"/>
          <w:szCs w:val="20"/>
          <w:color w:val="auto"/>
        </w:rPr>
        <w:t>By: _/s/ Nipul Patel</w:t>
      </w:r>
      <w:r>
        <w:rPr>
          <w:sz w:val="20"/>
          <w:szCs w:val="20"/>
          <w:color w:val="auto"/>
        </w:rPr>
        <w:tab/>
      </w:r>
      <w:r>
        <w:rPr>
          <w:rFonts w:ascii="Arial" w:cs="Arial" w:eastAsia="Arial" w:hAnsi="Arial"/>
          <w:sz w:val="18"/>
          <w:szCs w:val="18"/>
          <w:color w:val="auto"/>
        </w:rPr>
        <w:t>Name: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8445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ind w:left="4020"/>
        <w:spacing w:after="0"/>
        <w:tabs>
          <w:tab w:leader="none" w:pos="4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50"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ARRAY TECH, INC.,</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 New Mexico corporation, (f/k/a Array Technologies, Inc.), as</w:t>
      </w:r>
    </w:p>
    <w:p>
      <w:pPr>
        <w:ind w:left="4020"/>
        <w:spacing w:after="0"/>
        <w:rPr>
          <w:sz w:val="20"/>
          <w:szCs w:val="20"/>
          <w:color w:val="auto"/>
        </w:rPr>
      </w:pPr>
      <w:r>
        <w:rPr>
          <w:rFonts w:ascii="Arial" w:cs="Arial" w:eastAsia="Arial" w:hAnsi="Arial"/>
          <w:sz w:val="20"/>
          <w:szCs w:val="20"/>
          <w:color w:val="auto"/>
        </w:rPr>
        <w:t>the Borrower</w:t>
      </w:r>
    </w:p>
    <w:p>
      <w:pPr>
        <w:spacing w:after="0" w:line="200" w:lineRule="exact"/>
        <w:rPr>
          <w:sz w:val="20"/>
          <w:szCs w:val="20"/>
          <w:color w:val="auto"/>
        </w:rPr>
      </w:pPr>
    </w:p>
    <w:p>
      <w:pPr>
        <w:spacing w:after="0" w:line="283" w:lineRule="exact"/>
        <w:rPr>
          <w:sz w:val="20"/>
          <w:szCs w:val="20"/>
          <w:color w:val="auto"/>
        </w:rPr>
      </w:pPr>
    </w:p>
    <w:p>
      <w:pPr>
        <w:ind w:left="4020"/>
        <w:spacing w:after="0"/>
        <w:tabs>
          <w:tab w:leader="none" w:pos="5820" w:val="left"/>
        </w:tabs>
        <w:rPr>
          <w:sz w:val="20"/>
          <w:szCs w:val="20"/>
          <w:color w:val="auto"/>
        </w:rPr>
      </w:pPr>
      <w:r>
        <w:rPr>
          <w:rFonts w:ascii="Arial" w:cs="Arial" w:eastAsia="Arial" w:hAnsi="Arial"/>
          <w:sz w:val="20"/>
          <w:szCs w:val="20"/>
          <w:color w:val="auto"/>
        </w:rPr>
        <w:t>By: _/s/ Nipul Patel</w:t>
      </w:r>
      <w:r>
        <w:rPr>
          <w:sz w:val="20"/>
          <w:szCs w:val="20"/>
          <w:color w:val="auto"/>
        </w:rPr>
        <w:tab/>
      </w:r>
      <w:r>
        <w:rPr>
          <w:rFonts w:ascii="Arial" w:cs="Arial" w:eastAsia="Arial" w:hAnsi="Arial"/>
          <w:sz w:val="18"/>
          <w:szCs w:val="18"/>
          <w:color w:val="auto"/>
        </w:rPr>
        <w:t>Name: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8445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ind w:left="4020"/>
        <w:spacing w:after="0"/>
        <w:tabs>
          <w:tab w:leader="none" w:pos="4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ARRAY TECHNOLOGIES PATENT HOLDING CO., LLC,</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 New Mexico limited liability company, as a Guarantor</w:t>
      </w:r>
    </w:p>
    <w:p>
      <w:pPr>
        <w:spacing w:after="0" w:line="200" w:lineRule="exact"/>
        <w:rPr>
          <w:sz w:val="20"/>
          <w:szCs w:val="20"/>
          <w:color w:val="auto"/>
        </w:rPr>
      </w:pPr>
    </w:p>
    <w:p>
      <w:pPr>
        <w:spacing w:after="0" w:line="283" w:lineRule="exact"/>
        <w:rPr>
          <w:sz w:val="20"/>
          <w:szCs w:val="20"/>
          <w:color w:val="auto"/>
        </w:rPr>
      </w:pPr>
    </w:p>
    <w:p>
      <w:pPr>
        <w:ind w:left="4020"/>
        <w:spacing w:after="0"/>
        <w:tabs>
          <w:tab w:leader="none" w:pos="5820" w:val="left"/>
        </w:tabs>
        <w:rPr>
          <w:sz w:val="20"/>
          <w:szCs w:val="20"/>
          <w:color w:val="auto"/>
        </w:rPr>
      </w:pPr>
      <w:r>
        <w:rPr>
          <w:rFonts w:ascii="Arial" w:cs="Arial" w:eastAsia="Arial" w:hAnsi="Arial"/>
          <w:sz w:val="20"/>
          <w:szCs w:val="20"/>
          <w:color w:val="auto"/>
        </w:rPr>
        <w:t>By: _/s/ Nipul Patel</w:t>
      </w:r>
      <w:r>
        <w:rPr>
          <w:sz w:val="20"/>
          <w:szCs w:val="20"/>
          <w:color w:val="auto"/>
        </w:rPr>
        <w:tab/>
      </w:r>
      <w:r>
        <w:rPr>
          <w:rFonts w:ascii="Arial" w:cs="Arial" w:eastAsia="Arial" w:hAnsi="Arial"/>
          <w:sz w:val="18"/>
          <w:szCs w:val="18"/>
          <w:color w:val="auto"/>
        </w:rPr>
        <w:t>Name: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-14605</wp:posOffset>
            </wp:positionV>
            <wp:extent cx="8445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ind w:left="4020"/>
        <w:spacing w:after="0"/>
        <w:tabs>
          <w:tab w:leader="none" w:pos="4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 TO</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1</w:t>
      </w:r>
    </w:p>
    <w:p>
      <w:pPr>
        <w:sectPr>
          <w:pgSz w:w="11900" w:h="16838" w:orient="portrait"/>
          <w:cols w:equalWidth="0" w:num="1">
            <w:col w:w="10480"/>
          </w:cols>
          <w:pgMar w:left="320" w:top="121" w:right="109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305" w:lineRule="exact"/>
        <w:rPr>
          <w:sz w:val="20"/>
          <w:szCs w:val="20"/>
          <w:color w:val="auto"/>
        </w:rPr>
      </w:pPr>
    </w:p>
    <w:p>
      <w:pPr>
        <w:jc w:val="right"/>
        <w:ind w:right="3999"/>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39"/>
          </w:cols>
          <w:pgMar w:left="320" w:top="121" w:right="1440"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A As amended by Amendment</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20"/>
          <w:szCs w:val="20"/>
          <w:b w:val="1"/>
          <w:bCs w:val="1"/>
          <w:i w:val="1"/>
          <w:iCs w:val="1"/>
          <w:color w:val="auto"/>
        </w:rPr>
        <w:t>No. 1 dated as of 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835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CREDIT AGREEMENT</w:t>
      </w: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by and among</w:t>
      </w: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ARRAY TECHNOLOGIES, INC.,</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as Borrower,</w:t>
      </w: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ATI INVESTMENT SUB, INC.,</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as Holdings,</w:t>
      </w: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GOLDMAN SACHS BANK USA,</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as Administrative Agent and Collateral Agent,</w:t>
      </w: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THE LENDERS PARTY HERETO FROM TIME TO TIME,</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237"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GOLDMAN SACHS BANK USA,</w:t>
      </w:r>
    </w:p>
    <w:p>
      <w:pPr>
        <w:spacing w:after="0" w:line="26"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BARCLAYS BANK PLC, CREDIT SUISSE LOAN</w:t>
      </w:r>
    </w:p>
    <w:p>
      <w:pPr>
        <w:spacing w:after="0" w:line="10"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FUNDING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GUGGENHEIM SECURITIES, LLC MUFG UNION BANK,</w:t>
      </w:r>
    </w:p>
    <w:p>
      <w:pPr>
        <w:ind w:left="5420"/>
        <w:spacing w:after="0" w:line="233" w:lineRule="auto"/>
        <w:rPr>
          <w:sz w:val="20"/>
          <w:szCs w:val="20"/>
          <w:color w:val="auto"/>
        </w:rPr>
      </w:pPr>
      <w:r>
        <w:rPr>
          <w:rFonts w:ascii="Arial" w:cs="Arial" w:eastAsia="Arial" w:hAnsi="Arial"/>
          <w:sz w:val="22"/>
          <w:szCs w:val="22"/>
          <w:b w:val="1"/>
          <w:bCs w:val="1"/>
          <w:color w:val="auto"/>
        </w:rPr>
        <w:t>N.A.</w:t>
      </w:r>
    </w:p>
    <w:p>
      <w:pPr>
        <w:jc w:val="center"/>
        <w:ind w:right="-379"/>
        <w:spacing w:after="0" w:line="233" w:lineRule="auto"/>
        <w:rPr>
          <w:sz w:val="20"/>
          <w:szCs w:val="20"/>
          <w:color w:val="auto"/>
        </w:rPr>
      </w:pPr>
      <w:r>
        <w:rPr>
          <w:rFonts w:ascii="Arial" w:cs="Arial" w:eastAsia="Arial" w:hAnsi="Arial"/>
          <w:sz w:val="22"/>
          <w:szCs w:val="22"/>
          <w:b w:val="1"/>
          <w:bCs w:val="1"/>
          <w:color w:val="auto"/>
        </w:rPr>
        <w:t>NOMURA SECURITIES INTERNATIONAL, INC.</w:t>
      </w:r>
    </w:p>
    <w:p>
      <w:pPr>
        <w:jc w:val="center"/>
        <w:ind w:right="-379"/>
        <w:spacing w:after="0" w:line="223" w:lineRule="auto"/>
        <w:rPr>
          <w:sz w:val="20"/>
          <w:szCs w:val="20"/>
          <w:color w:val="auto"/>
        </w:rPr>
      </w:pPr>
      <w:r>
        <w:rPr>
          <w:rFonts w:ascii="Arial" w:cs="Arial" w:eastAsia="Arial" w:hAnsi="Arial"/>
          <w:sz w:val="20"/>
          <w:szCs w:val="20"/>
          <w:color w:val="auto"/>
        </w:rPr>
        <w:t>and</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UBS SECURITIES LLC</w:t>
      </w:r>
    </w:p>
    <w:p>
      <w:pPr>
        <w:spacing w:after="0" w:line="9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as Lead Arranger and Bookrunner Dated as of October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53835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KE 75109064.2</w:t>
      </w:r>
    </w:p>
    <w:p>
      <w:pPr>
        <w:sectPr>
          <w:pgSz w:w="11900" w:h="16838" w:orient="portrait"/>
          <w:cols w:equalWidth="0" w:num="1">
            <w:col w:w="10880"/>
          </w:cols>
          <w:pgMar w:left="320" w:top="121" w:right="69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#94164975v6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KE 75109064.2</w:t>
      </w:r>
    </w:p>
    <w:p>
      <w:pPr>
        <w:sectPr>
          <w:pgSz w:w="11900" w:h="16838" w:orient="portrait"/>
          <w:cols w:equalWidth="0" w:num="1">
            <w:col w:w="10139"/>
          </w:cols>
          <w:pgMar w:left="320" w:top="121" w:right="1440"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ARTICLE I</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Definitions and Accounting Terms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1.01</w:t>
            </w:r>
          </w:p>
        </w:tc>
        <w:tc>
          <w:tcPr>
            <w:tcW w:w="1360" w:type="dxa"/>
            <w:vAlign w:val="bottom"/>
            <w:gridSpan w:val="3"/>
          </w:tcPr>
          <w:p>
            <w:pPr>
              <w:ind w:left="100"/>
              <w:spacing w:after="0"/>
              <w:rPr>
                <w:sz w:val="20"/>
                <w:szCs w:val="20"/>
                <w:color w:val="auto"/>
              </w:rPr>
            </w:pPr>
            <w:r>
              <w:rPr>
                <w:rFonts w:ascii="Arial" w:cs="Arial" w:eastAsia="Arial" w:hAnsi="Arial"/>
                <w:sz w:val="20"/>
                <w:szCs w:val="20"/>
                <w:color w:val="auto"/>
                <w:w w:val="94"/>
              </w:rPr>
              <w:t>Defined Terms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1.02</w:t>
            </w:r>
          </w:p>
        </w:tc>
        <w:tc>
          <w:tcPr>
            <w:tcW w:w="2520" w:type="dxa"/>
            <w:vAlign w:val="bottom"/>
            <w:gridSpan w:val="6"/>
          </w:tcPr>
          <w:p>
            <w:pPr>
              <w:ind w:left="100"/>
              <w:spacing w:after="0"/>
              <w:rPr>
                <w:sz w:val="20"/>
                <w:szCs w:val="20"/>
                <w:color w:val="auto"/>
              </w:rPr>
            </w:pPr>
            <w:r>
              <w:rPr>
                <w:rFonts w:ascii="Arial" w:cs="Arial" w:eastAsia="Arial" w:hAnsi="Arial"/>
                <w:sz w:val="20"/>
                <w:szCs w:val="20"/>
                <w:color w:val="auto"/>
                <w:w w:val="94"/>
              </w:rPr>
              <w:t>Other Interpretive Provisions</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89</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1.03</w:t>
            </w:r>
          </w:p>
        </w:tc>
        <w:tc>
          <w:tcPr>
            <w:tcW w:w="1760" w:type="dxa"/>
            <w:vAlign w:val="bottom"/>
            <w:gridSpan w:val="4"/>
          </w:tcPr>
          <w:p>
            <w:pPr>
              <w:ind w:left="100"/>
              <w:spacing w:after="0" w:line="216" w:lineRule="exact"/>
              <w:rPr>
                <w:sz w:val="20"/>
                <w:szCs w:val="20"/>
                <w:color w:val="auto"/>
              </w:rPr>
            </w:pPr>
            <w:r>
              <w:rPr>
                <w:rFonts w:ascii="Arial" w:cs="Arial" w:eastAsia="Arial" w:hAnsi="Arial"/>
                <w:sz w:val="20"/>
                <w:szCs w:val="20"/>
                <w:color w:val="auto"/>
              </w:rPr>
              <w:t>Accounting Terms</w:t>
            </w:r>
          </w:p>
        </w:tc>
        <w:tc>
          <w:tcPr>
            <w:tcW w:w="520" w:type="dxa"/>
            <w:vAlign w:val="bottom"/>
          </w:tcPr>
          <w:p>
            <w:pPr>
              <w:jc w:val="right"/>
              <w:ind w:right="221"/>
              <w:spacing w:after="0" w:line="216" w:lineRule="exact"/>
              <w:rPr>
                <w:sz w:val="20"/>
                <w:szCs w:val="20"/>
                <w:color w:val="auto"/>
              </w:rPr>
            </w:pPr>
            <w:r>
              <w:rPr>
                <w:rFonts w:ascii="Arial" w:cs="Arial" w:eastAsia="Arial" w:hAnsi="Arial"/>
                <w:sz w:val="20"/>
                <w:szCs w:val="20"/>
                <w:color w:val="auto"/>
                <w:w w:val="80"/>
              </w:rPr>
              <w:t>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1.04</w:t>
            </w:r>
          </w:p>
        </w:tc>
        <w:tc>
          <w:tcPr>
            <w:tcW w:w="960" w:type="dxa"/>
            <w:vAlign w:val="bottom"/>
            <w:gridSpan w:val="2"/>
          </w:tcPr>
          <w:p>
            <w:pPr>
              <w:ind w:left="100"/>
              <w:spacing w:after="0" w:line="216" w:lineRule="exact"/>
              <w:rPr>
                <w:sz w:val="20"/>
                <w:szCs w:val="20"/>
                <w:color w:val="auto"/>
              </w:rPr>
            </w:pPr>
            <w:r>
              <w:rPr>
                <w:rFonts w:ascii="Arial" w:cs="Arial" w:eastAsia="Arial" w:hAnsi="Arial"/>
                <w:sz w:val="20"/>
                <w:szCs w:val="20"/>
                <w:color w:val="auto"/>
                <w:w w:val="98"/>
              </w:rPr>
              <w:t>Rounding</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90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4620" w:type="dxa"/>
            <w:vAlign w:val="bottom"/>
            <w:gridSpan w:val="9"/>
          </w:tcPr>
          <w:p>
            <w:pPr>
              <w:spacing w:after="0"/>
              <w:rPr>
                <w:sz w:val="20"/>
                <w:szCs w:val="20"/>
                <w:color w:val="auto"/>
              </w:rPr>
            </w:pPr>
            <w:r>
              <w:rPr>
                <w:rFonts w:ascii="Arial" w:cs="Arial" w:eastAsia="Arial" w:hAnsi="Arial"/>
                <w:sz w:val="20"/>
                <w:szCs w:val="20"/>
                <w:color w:val="auto"/>
                <w:w w:val="92"/>
              </w:rPr>
              <w:t>Section 1.05  References to Agreements, Laws, Etc.  90</w:t>
            </w: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1.06</w:t>
            </w:r>
          </w:p>
        </w:tc>
        <w:tc>
          <w:tcPr>
            <w:tcW w:w="1360" w:type="dxa"/>
            <w:vAlign w:val="bottom"/>
            <w:gridSpan w:val="3"/>
          </w:tcPr>
          <w:p>
            <w:pPr>
              <w:ind w:left="100"/>
              <w:spacing w:after="0"/>
              <w:rPr>
                <w:sz w:val="20"/>
                <w:szCs w:val="20"/>
                <w:color w:val="auto"/>
              </w:rPr>
            </w:pPr>
            <w:r>
              <w:rPr>
                <w:rFonts w:ascii="Arial" w:cs="Arial" w:eastAsia="Arial" w:hAnsi="Arial"/>
                <w:sz w:val="20"/>
                <w:szCs w:val="20"/>
                <w:color w:val="auto"/>
              </w:rPr>
              <w:t>Times of Day</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90</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1.07</w:t>
            </w:r>
          </w:p>
        </w:tc>
        <w:tc>
          <w:tcPr>
            <w:tcW w:w="2920" w:type="dxa"/>
            <w:vAlign w:val="bottom"/>
            <w:gridSpan w:val="7"/>
          </w:tcPr>
          <w:p>
            <w:pPr>
              <w:ind w:left="100"/>
              <w:spacing w:after="0"/>
              <w:rPr>
                <w:sz w:val="20"/>
                <w:szCs w:val="20"/>
                <w:color w:val="auto"/>
              </w:rPr>
            </w:pPr>
            <w:r>
              <w:rPr>
                <w:rFonts w:ascii="Arial" w:cs="Arial" w:eastAsia="Arial" w:hAnsi="Arial"/>
                <w:sz w:val="20"/>
                <w:szCs w:val="20"/>
                <w:color w:val="auto"/>
                <w:w w:val="90"/>
              </w:rPr>
              <w:t>Timing of Payment or Performance</w:t>
            </w:r>
          </w:p>
        </w:tc>
        <w:tc>
          <w:tcPr>
            <w:tcW w:w="620" w:type="dxa"/>
            <w:vAlign w:val="bottom"/>
          </w:tcPr>
          <w:p>
            <w:pPr>
              <w:jc w:val="right"/>
              <w:ind w:right="141"/>
              <w:spacing w:after="0"/>
              <w:rPr>
                <w:sz w:val="20"/>
                <w:szCs w:val="20"/>
                <w:color w:val="auto"/>
              </w:rPr>
            </w:pPr>
            <w:r>
              <w:rPr>
                <w:rFonts w:ascii="Arial" w:cs="Arial" w:eastAsia="Arial" w:hAnsi="Arial"/>
                <w:sz w:val="20"/>
                <w:szCs w:val="20"/>
                <w:color w:val="auto"/>
              </w:rPr>
              <w:t>90</w:t>
            </w: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1.08</w:t>
            </w:r>
          </w:p>
        </w:tc>
        <w:tc>
          <w:tcPr>
            <w:tcW w:w="3540" w:type="dxa"/>
            <w:vAlign w:val="bottom"/>
            <w:gridSpan w:val="8"/>
          </w:tcPr>
          <w:p>
            <w:pPr>
              <w:ind w:left="100"/>
              <w:spacing w:after="0" w:line="216" w:lineRule="exact"/>
              <w:rPr>
                <w:sz w:val="20"/>
                <w:szCs w:val="20"/>
                <w:color w:val="auto"/>
              </w:rPr>
            </w:pPr>
            <w:r>
              <w:rPr>
                <w:rFonts w:ascii="Arial" w:cs="Arial" w:eastAsia="Arial" w:hAnsi="Arial"/>
                <w:sz w:val="20"/>
                <w:szCs w:val="20"/>
                <w:color w:val="auto"/>
              </w:rPr>
              <w:t>Currency Equivalents Generally  90</w:t>
            </w: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1.09</w:t>
            </w:r>
          </w:p>
        </w:tc>
        <w:tc>
          <w:tcPr>
            <w:tcW w:w="2520" w:type="dxa"/>
            <w:vAlign w:val="bottom"/>
            <w:gridSpan w:val="6"/>
          </w:tcPr>
          <w:p>
            <w:pPr>
              <w:ind w:left="100"/>
              <w:spacing w:after="0" w:line="216" w:lineRule="exact"/>
              <w:rPr>
                <w:sz w:val="20"/>
                <w:szCs w:val="20"/>
                <w:color w:val="auto"/>
              </w:rPr>
            </w:pPr>
            <w:r>
              <w:rPr>
                <w:rFonts w:ascii="Arial" w:cs="Arial" w:eastAsia="Arial" w:hAnsi="Arial"/>
                <w:sz w:val="20"/>
                <w:szCs w:val="20"/>
                <w:color w:val="auto"/>
                <w:w w:val="88"/>
              </w:rPr>
              <w:t>Certain Calculations and Tests</w:t>
            </w:r>
          </w:p>
        </w:tc>
        <w:tc>
          <w:tcPr>
            <w:tcW w:w="400" w:type="dxa"/>
            <w:vAlign w:val="bottom"/>
          </w:tcPr>
          <w:p>
            <w:pPr>
              <w:ind w:left="180"/>
              <w:spacing w:after="0" w:line="216" w:lineRule="exact"/>
              <w:rPr>
                <w:sz w:val="20"/>
                <w:szCs w:val="20"/>
                <w:color w:val="auto"/>
              </w:rPr>
            </w:pPr>
            <w:r>
              <w:rPr>
                <w:rFonts w:ascii="Arial" w:cs="Arial" w:eastAsia="Arial" w:hAnsi="Arial"/>
                <w:sz w:val="20"/>
                <w:szCs w:val="20"/>
                <w:color w:val="auto"/>
                <w:w w:val="89"/>
              </w:rPr>
              <w:t>91</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1.10</w:t>
            </w:r>
          </w:p>
        </w:tc>
        <w:tc>
          <w:tcPr>
            <w:tcW w:w="3540" w:type="dxa"/>
            <w:vAlign w:val="bottom"/>
            <w:gridSpan w:val="8"/>
          </w:tcPr>
          <w:p>
            <w:pPr>
              <w:ind w:left="100"/>
              <w:spacing w:after="0"/>
              <w:rPr>
                <w:sz w:val="20"/>
                <w:szCs w:val="20"/>
                <w:color w:val="auto"/>
              </w:rPr>
            </w:pPr>
            <w:r>
              <w:rPr>
                <w:rFonts w:ascii="Arial" w:cs="Arial" w:eastAsia="Arial" w:hAnsi="Arial"/>
                <w:sz w:val="20"/>
                <w:szCs w:val="20"/>
                <w:color w:val="auto"/>
                <w:w w:val="95"/>
              </w:rPr>
              <w:t>Interest Rates; Eurocurrency Notification</w:t>
            </w:r>
          </w:p>
        </w:tc>
        <w:tc>
          <w:tcPr>
            <w:tcW w:w="940" w:type="dxa"/>
            <w:vAlign w:val="bottom"/>
          </w:tcPr>
          <w:p>
            <w:pPr>
              <w:jc w:val="right"/>
              <w:ind w:right="621"/>
              <w:spacing w:after="0"/>
              <w:rPr>
                <w:sz w:val="20"/>
                <w:szCs w:val="20"/>
                <w:color w:val="auto"/>
              </w:rPr>
            </w:pPr>
            <w:r>
              <w:rPr>
                <w:rFonts w:ascii="Arial" w:cs="Arial" w:eastAsia="Arial" w:hAnsi="Arial"/>
                <w:sz w:val="20"/>
                <w:szCs w:val="20"/>
                <w:color w:val="auto"/>
                <w:w w:val="89"/>
              </w:rPr>
              <w:t>93</w:t>
            </w:r>
          </w:p>
        </w:tc>
        <w:tc>
          <w:tcPr>
            <w:tcW w:w="180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1.11</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Divisions</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94</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45"/>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gridSpan w:val="2"/>
          </w:tcPr>
          <w:p>
            <w:pPr>
              <w:jc w:val="center"/>
              <w:ind w:right="921"/>
              <w:spacing w:after="0"/>
              <w:rPr>
                <w:rFonts w:ascii="Arial" w:cs="Arial" w:eastAsia="Arial" w:hAnsi="Arial"/>
                <w:sz w:val="20"/>
                <w:szCs w:val="20"/>
                <w:u w:val="single" w:color="auto"/>
                <w:color w:val="0000FF"/>
                <w:w w:val="98"/>
              </w:rPr>
            </w:pPr>
            <w:hyperlink w:anchor="page311">
              <w:r>
                <w:rPr>
                  <w:rFonts w:ascii="Arial" w:cs="Arial" w:eastAsia="Arial" w:hAnsi="Arial"/>
                  <w:sz w:val="20"/>
                  <w:szCs w:val="20"/>
                  <w:u w:val="single" w:color="auto"/>
                  <w:color w:val="0000FF"/>
                  <w:w w:val="98"/>
                </w:rPr>
                <w:t>ARTICLE II</w:t>
              </w:r>
            </w:hyperlink>
          </w:p>
        </w:tc>
      </w:tr>
      <w:tr>
        <w:trPr>
          <w:trHeight w:val="459"/>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jc w:val="center"/>
              <w:spacing w:after="0"/>
              <w:rPr>
                <w:sz w:val="20"/>
                <w:szCs w:val="20"/>
                <w:color w:val="auto"/>
              </w:rPr>
            </w:pPr>
            <w:r>
              <w:rPr>
                <w:rFonts w:ascii="Arial" w:cs="Arial" w:eastAsia="Arial" w:hAnsi="Arial"/>
                <w:sz w:val="20"/>
                <w:szCs w:val="20"/>
                <w:color w:val="auto"/>
                <w:w w:val="89"/>
              </w:rPr>
              <w:t>The Commitments and Credit Extensions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2.01</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88"/>
              </w:rPr>
              <w:t>The Loans</w:t>
            </w:r>
          </w:p>
        </w:tc>
        <w:tc>
          <w:tcPr>
            <w:tcW w:w="400" w:type="dxa"/>
            <w:vAlign w:val="bottom"/>
          </w:tcPr>
          <w:p>
            <w:pPr>
              <w:jc w:val="right"/>
              <w:spacing w:after="0"/>
              <w:rPr>
                <w:sz w:val="20"/>
                <w:szCs w:val="20"/>
                <w:color w:val="auto"/>
              </w:rPr>
            </w:pPr>
            <w:r>
              <w:rPr>
                <w:rFonts w:ascii="Arial" w:cs="Arial" w:eastAsia="Arial" w:hAnsi="Arial"/>
                <w:sz w:val="20"/>
                <w:szCs w:val="20"/>
                <w:color w:val="auto"/>
              </w:rPr>
              <w:t>94</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2.02</w:t>
            </w:r>
          </w:p>
        </w:tc>
        <w:tc>
          <w:tcPr>
            <w:tcW w:w="4480" w:type="dxa"/>
            <w:vAlign w:val="bottom"/>
            <w:gridSpan w:val="9"/>
          </w:tcPr>
          <w:p>
            <w:pPr>
              <w:ind w:left="100"/>
              <w:spacing w:after="0"/>
              <w:rPr>
                <w:sz w:val="20"/>
                <w:szCs w:val="20"/>
                <w:color w:val="auto"/>
              </w:rPr>
            </w:pPr>
            <w:r>
              <w:rPr>
                <w:rFonts w:ascii="Arial" w:cs="Arial" w:eastAsia="Arial" w:hAnsi="Arial"/>
                <w:sz w:val="20"/>
                <w:szCs w:val="20"/>
                <w:color w:val="auto"/>
                <w:w w:val="92"/>
              </w:rPr>
              <w:t>Borrowings, Conversions and Continuations of Loans</w:t>
            </w:r>
          </w:p>
        </w:tc>
        <w:tc>
          <w:tcPr>
            <w:tcW w:w="1800" w:type="dxa"/>
            <w:vAlign w:val="bottom"/>
          </w:tcPr>
          <w:p>
            <w:pPr>
              <w:ind w:left="80"/>
              <w:spacing w:after="0"/>
              <w:rPr>
                <w:sz w:val="20"/>
                <w:szCs w:val="20"/>
                <w:color w:val="auto"/>
              </w:rPr>
            </w:pPr>
            <w:r>
              <w:rPr>
                <w:rFonts w:ascii="Arial" w:cs="Arial" w:eastAsia="Arial" w:hAnsi="Arial"/>
                <w:sz w:val="20"/>
                <w:szCs w:val="20"/>
                <w:color w:val="auto"/>
              </w:rPr>
              <w:t>95</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2.03</w:t>
            </w:r>
          </w:p>
        </w:tc>
        <w:tc>
          <w:tcPr>
            <w:tcW w:w="2280" w:type="dxa"/>
            <w:vAlign w:val="bottom"/>
            <w:gridSpan w:val="5"/>
          </w:tcPr>
          <w:p>
            <w:pPr>
              <w:ind w:left="100"/>
              <w:spacing w:after="0"/>
              <w:rPr>
                <w:sz w:val="20"/>
                <w:szCs w:val="20"/>
                <w:color w:val="auto"/>
              </w:rPr>
            </w:pPr>
            <w:r>
              <w:rPr>
                <w:rFonts w:ascii="Arial" w:cs="Arial" w:eastAsia="Arial" w:hAnsi="Arial"/>
                <w:sz w:val="20"/>
                <w:szCs w:val="20"/>
                <w:color w:val="auto"/>
              </w:rPr>
              <w:t>Letters of Credit  96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2.04</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86"/>
              </w:rPr>
              <w:t>[Reserved]</w:t>
            </w:r>
          </w:p>
        </w:tc>
        <w:tc>
          <w:tcPr>
            <w:tcW w:w="800" w:type="dxa"/>
            <w:vAlign w:val="bottom"/>
            <w:gridSpan w:val="2"/>
          </w:tcPr>
          <w:p>
            <w:pPr>
              <w:jc w:val="right"/>
              <w:ind w:right="201"/>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2.05</w:t>
            </w:r>
          </w:p>
        </w:tc>
        <w:tc>
          <w:tcPr>
            <w:tcW w:w="1360" w:type="dxa"/>
            <w:vAlign w:val="bottom"/>
            <w:gridSpan w:val="3"/>
          </w:tcPr>
          <w:p>
            <w:pPr>
              <w:ind w:left="100"/>
              <w:spacing w:after="0" w:line="216" w:lineRule="exact"/>
              <w:rPr>
                <w:sz w:val="20"/>
                <w:szCs w:val="20"/>
                <w:color w:val="auto"/>
              </w:rPr>
            </w:pPr>
            <w:r>
              <w:rPr>
                <w:rFonts w:ascii="Arial" w:cs="Arial" w:eastAsia="Arial" w:hAnsi="Arial"/>
                <w:sz w:val="20"/>
                <w:szCs w:val="20"/>
                <w:color w:val="auto"/>
              </w:rPr>
              <w:t>Prepayments.</w:t>
            </w:r>
          </w:p>
        </w:tc>
        <w:tc>
          <w:tcPr>
            <w:tcW w:w="400" w:type="dxa"/>
            <w:vAlign w:val="bottom"/>
          </w:tcPr>
          <w:p>
            <w:pPr>
              <w:jc w:val="right"/>
              <w:ind w:right="1"/>
              <w:spacing w:after="0" w:line="216" w:lineRule="exact"/>
              <w:rPr>
                <w:sz w:val="20"/>
                <w:szCs w:val="20"/>
                <w:color w:val="auto"/>
              </w:rPr>
            </w:pPr>
            <w:r>
              <w:rPr>
                <w:rFonts w:ascii="Arial" w:cs="Arial" w:eastAsia="Arial" w:hAnsi="Arial"/>
                <w:sz w:val="20"/>
                <w:szCs w:val="20"/>
                <w:color w:val="auto"/>
                <w:w w:val="83"/>
              </w:rPr>
              <w:t>104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2.06</w:t>
            </w:r>
          </w:p>
        </w:tc>
        <w:tc>
          <w:tcPr>
            <w:tcW w:w="3540" w:type="dxa"/>
            <w:vAlign w:val="bottom"/>
            <w:gridSpan w:val="8"/>
          </w:tcPr>
          <w:p>
            <w:pPr>
              <w:ind w:left="100"/>
              <w:spacing w:after="0" w:line="216" w:lineRule="exact"/>
              <w:rPr>
                <w:sz w:val="20"/>
                <w:szCs w:val="20"/>
                <w:color w:val="auto"/>
              </w:rPr>
            </w:pPr>
            <w:r>
              <w:rPr>
                <w:rFonts w:ascii="Arial" w:cs="Arial" w:eastAsia="Arial" w:hAnsi="Arial"/>
                <w:sz w:val="20"/>
                <w:szCs w:val="20"/>
                <w:color w:val="auto"/>
                <w:w w:val="91"/>
              </w:rPr>
              <w:t>Termination or Reduction of Commitments</w:t>
            </w:r>
          </w:p>
        </w:tc>
        <w:tc>
          <w:tcPr>
            <w:tcW w:w="940" w:type="dxa"/>
            <w:vAlign w:val="bottom"/>
          </w:tcPr>
          <w:p>
            <w:pPr>
              <w:jc w:val="right"/>
              <w:ind w:right="361"/>
              <w:spacing w:after="0" w:line="216" w:lineRule="exact"/>
              <w:rPr>
                <w:sz w:val="20"/>
                <w:szCs w:val="20"/>
                <w:color w:val="auto"/>
              </w:rPr>
            </w:pPr>
            <w:r>
              <w:rPr>
                <w:rFonts w:ascii="Arial" w:cs="Arial" w:eastAsia="Arial" w:hAnsi="Arial"/>
                <w:sz w:val="20"/>
                <w:szCs w:val="20"/>
                <w:color w:val="auto"/>
              </w:rPr>
              <w:t>110</w:t>
            </w:r>
          </w:p>
        </w:tc>
        <w:tc>
          <w:tcPr>
            <w:tcW w:w="18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2.07</w:t>
            </w:r>
          </w:p>
        </w:tc>
        <w:tc>
          <w:tcPr>
            <w:tcW w:w="1760" w:type="dxa"/>
            <w:vAlign w:val="bottom"/>
            <w:gridSpan w:val="4"/>
          </w:tcPr>
          <w:p>
            <w:pPr>
              <w:ind w:left="100"/>
              <w:spacing w:after="0"/>
              <w:rPr>
                <w:sz w:val="20"/>
                <w:szCs w:val="20"/>
                <w:color w:val="auto"/>
              </w:rPr>
            </w:pPr>
            <w:r>
              <w:rPr>
                <w:rFonts w:ascii="Arial" w:cs="Arial" w:eastAsia="Arial" w:hAnsi="Arial"/>
                <w:sz w:val="20"/>
                <w:szCs w:val="20"/>
                <w:color w:val="auto"/>
                <w:w w:val="88"/>
              </w:rPr>
              <w:t>Repayment of Loans</w:t>
            </w:r>
          </w:p>
        </w:tc>
        <w:tc>
          <w:tcPr>
            <w:tcW w:w="520" w:type="dxa"/>
            <w:vAlign w:val="bottom"/>
          </w:tcPr>
          <w:p>
            <w:pPr>
              <w:ind w:left="180"/>
              <w:spacing w:after="0"/>
              <w:rPr>
                <w:sz w:val="20"/>
                <w:szCs w:val="20"/>
                <w:color w:val="auto"/>
              </w:rPr>
            </w:pPr>
            <w:r>
              <w:rPr>
                <w:rFonts w:ascii="Arial" w:cs="Arial" w:eastAsia="Arial" w:hAnsi="Arial"/>
                <w:sz w:val="20"/>
                <w:szCs w:val="20"/>
                <w:color w:val="auto"/>
                <w:w w:val="95"/>
              </w:rPr>
              <w:t>111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2.08</w:t>
            </w:r>
          </w:p>
        </w:tc>
        <w:tc>
          <w:tcPr>
            <w:tcW w:w="1360" w:type="dxa"/>
            <w:vAlign w:val="bottom"/>
            <w:gridSpan w:val="3"/>
          </w:tcPr>
          <w:p>
            <w:pPr>
              <w:ind w:left="100"/>
              <w:spacing w:after="0"/>
              <w:rPr>
                <w:sz w:val="20"/>
                <w:szCs w:val="20"/>
                <w:color w:val="auto"/>
              </w:rPr>
            </w:pPr>
            <w:r>
              <w:rPr>
                <w:rFonts w:ascii="Arial" w:cs="Arial" w:eastAsia="Arial" w:hAnsi="Arial"/>
                <w:sz w:val="20"/>
                <w:szCs w:val="20"/>
                <w:color w:val="auto"/>
              </w:rPr>
              <w:t>Interest  112</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2.09</w:t>
            </w:r>
          </w:p>
        </w:tc>
        <w:tc>
          <w:tcPr>
            <w:tcW w:w="600" w:type="dxa"/>
            <w:vAlign w:val="bottom"/>
          </w:tcPr>
          <w:p>
            <w:pPr>
              <w:ind w:left="100"/>
              <w:spacing w:after="0"/>
              <w:rPr>
                <w:sz w:val="20"/>
                <w:szCs w:val="20"/>
                <w:color w:val="auto"/>
              </w:rPr>
            </w:pPr>
            <w:r>
              <w:rPr>
                <w:rFonts w:ascii="Arial" w:cs="Arial" w:eastAsia="Arial" w:hAnsi="Arial"/>
                <w:sz w:val="20"/>
                <w:szCs w:val="20"/>
                <w:color w:val="auto"/>
              </w:rPr>
              <w:t>Fees</w:t>
            </w:r>
          </w:p>
        </w:tc>
        <w:tc>
          <w:tcPr>
            <w:tcW w:w="360" w:type="dxa"/>
            <w:vAlign w:val="bottom"/>
          </w:tcPr>
          <w:p>
            <w:pPr>
              <w:jc w:val="right"/>
              <w:spacing w:after="0"/>
              <w:rPr>
                <w:sz w:val="20"/>
                <w:szCs w:val="20"/>
                <w:color w:val="auto"/>
              </w:rPr>
            </w:pPr>
            <w:r>
              <w:rPr>
                <w:rFonts w:ascii="Arial" w:cs="Arial" w:eastAsia="Arial" w:hAnsi="Arial"/>
                <w:sz w:val="20"/>
                <w:szCs w:val="20"/>
                <w:color w:val="auto"/>
              </w:rPr>
              <w:t>112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2.10</w:t>
            </w:r>
          </w:p>
        </w:tc>
        <w:tc>
          <w:tcPr>
            <w:tcW w:w="2920" w:type="dxa"/>
            <w:vAlign w:val="bottom"/>
            <w:gridSpan w:val="7"/>
          </w:tcPr>
          <w:p>
            <w:pPr>
              <w:ind w:left="100"/>
              <w:spacing w:after="0" w:line="216" w:lineRule="exact"/>
              <w:rPr>
                <w:sz w:val="20"/>
                <w:szCs w:val="20"/>
                <w:color w:val="auto"/>
              </w:rPr>
            </w:pPr>
            <w:r>
              <w:rPr>
                <w:rFonts w:ascii="Arial" w:cs="Arial" w:eastAsia="Arial" w:hAnsi="Arial"/>
                <w:sz w:val="20"/>
                <w:szCs w:val="20"/>
                <w:color w:val="auto"/>
                <w:w w:val="94"/>
              </w:rPr>
              <w:t>Computation of Interest and Fees</w:t>
            </w:r>
          </w:p>
        </w:tc>
        <w:tc>
          <w:tcPr>
            <w:tcW w:w="620" w:type="dxa"/>
            <w:vAlign w:val="bottom"/>
          </w:tcPr>
          <w:p>
            <w:pPr>
              <w:jc w:val="right"/>
              <w:ind w:right="221"/>
              <w:spacing w:after="0" w:line="216" w:lineRule="exact"/>
              <w:rPr>
                <w:sz w:val="20"/>
                <w:szCs w:val="20"/>
                <w:color w:val="auto"/>
              </w:rPr>
            </w:pPr>
            <w:r>
              <w:rPr>
                <w:rFonts w:ascii="Arial" w:cs="Arial" w:eastAsia="Arial" w:hAnsi="Arial"/>
                <w:sz w:val="20"/>
                <w:szCs w:val="20"/>
                <w:color w:val="auto"/>
                <w:w w:val="83"/>
              </w:rPr>
              <w:t>112</w:t>
            </w: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2.11</w:t>
            </w:r>
          </w:p>
        </w:tc>
        <w:tc>
          <w:tcPr>
            <w:tcW w:w="2280" w:type="dxa"/>
            <w:vAlign w:val="bottom"/>
            <w:gridSpan w:val="5"/>
          </w:tcPr>
          <w:p>
            <w:pPr>
              <w:ind w:left="100"/>
              <w:spacing w:after="0" w:line="216" w:lineRule="exact"/>
              <w:rPr>
                <w:sz w:val="20"/>
                <w:szCs w:val="20"/>
                <w:color w:val="auto"/>
              </w:rPr>
            </w:pPr>
            <w:r>
              <w:rPr>
                <w:rFonts w:ascii="Arial" w:cs="Arial" w:eastAsia="Arial" w:hAnsi="Arial"/>
                <w:sz w:val="20"/>
                <w:szCs w:val="20"/>
                <w:color w:val="auto"/>
                <w:w w:val="93"/>
              </w:rPr>
              <w:t>Evidence of Indebtedness</w:t>
            </w:r>
          </w:p>
        </w:tc>
        <w:tc>
          <w:tcPr>
            <w:tcW w:w="640" w:type="dxa"/>
            <w:vAlign w:val="bottom"/>
            <w:gridSpan w:val="2"/>
          </w:tcPr>
          <w:p>
            <w:pPr>
              <w:jc w:val="right"/>
              <w:ind w:right="201"/>
              <w:spacing w:after="0" w:line="216" w:lineRule="exact"/>
              <w:rPr>
                <w:sz w:val="20"/>
                <w:szCs w:val="20"/>
                <w:color w:val="auto"/>
              </w:rPr>
            </w:pPr>
            <w:r>
              <w:rPr>
                <w:rFonts w:ascii="Arial" w:cs="Arial" w:eastAsia="Arial" w:hAnsi="Arial"/>
                <w:sz w:val="20"/>
                <w:szCs w:val="20"/>
                <w:color w:val="auto"/>
                <w:w w:val="95"/>
              </w:rPr>
              <w:t>113</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2.12</w:t>
            </w:r>
          </w:p>
        </w:tc>
        <w:tc>
          <w:tcPr>
            <w:tcW w:w="1760" w:type="dxa"/>
            <w:vAlign w:val="bottom"/>
            <w:gridSpan w:val="4"/>
          </w:tcPr>
          <w:p>
            <w:pPr>
              <w:ind w:left="100"/>
              <w:spacing w:after="0"/>
              <w:rPr>
                <w:sz w:val="20"/>
                <w:szCs w:val="20"/>
                <w:color w:val="auto"/>
              </w:rPr>
            </w:pPr>
            <w:r>
              <w:rPr>
                <w:rFonts w:ascii="Arial" w:cs="Arial" w:eastAsia="Arial" w:hAnsi="Arial"/>
                <w:sz w:val="20"/>
                <w:szCs w:val="20"/>
                <w:color w:val="auto"/>
                <w:w w:val="91"/>
              </w:rPr>
              <w:t>Payments Generally</w:t>
            </w: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113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2.13</w:t>
            </w:r>
          </w:p>
        </w:tc>
        <w:tc>
          <w:tcPr>
            <w:tcW w:w="1760" w:type="dxa"/>
            <w:vAlign w:val="bottom"/>
            <w:gridSpan w:val="4"/>
          </w:tcPr>
          <w:p>
            <w:pPr>
              <w:ind w:left="100"/>
              <w:spacing w:after="0"/>
              <w:rPr>
                <w:sz w:val="20"/>
                <w:szCs w:val="20"/>
                <w:color w:val="auto"/>
              </w:rPr>
            </w:pPr>
            <w:r>
              <w:rPr>
                <w:rFonts w:ascii="Arial" w:cs="Arial" w:eastAsia="Arial" w:hAnsi="Arial"/>
                <w:sz w:val="20"/>
                <w:szCs w:val="20"/>
                <w:color w:val="auto"/>
                <w:w w:val="88"/>
              </w:rPr>
              <w:t>Sharing of Payments</w:t>
            </w:r>
          </w:p>
        </w:tc>
        <w:tc>
          <w:tcPr>
            <w:tcW w:w="520" w:type="dxa"/>
            <w:vAlign w:val="bottom"/>
          </w:tcPr>
          <w:p>
            <w:pPr>
              <w:ind w:left="180"/>
              <w:spacing w:after="0"/>
              <w:rPr>
                <w:sz w:val="20"/>
                <w:szCs w:val="20"/>
                <w:color w:val="auto"/>
              </w:rPr>
            </w:pPr>
            <w:r>
              <w:rPr>
                <w:rFonts w:ascii="Arial" w:cs="Arial" w:eastAsia="Arial" w:hAnsi="Arial"/>
                <w:sz w:val="20"/>
                <w:szCs w:val="20"/>
                <w:color w:val="auto"/>
                <w:w w:val="95"/>
              </w:rPr>
              <w:t>115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2.14</w:t>
            </w:r>
          </w:p>
        </w:tc>
        <w:tc>
          <w:tcPr>
            <w:tcW w:w="2520" w:type="dxa"/>
            <w:vAlign w:val="bottom"/>
            <w:gridSpan w:val="6"/>
          </w:tcPr>
          <w:p>
            <w:pPr>
              <w:ind w:left="100"/>
              <w:spacing w:after="0"/>
              <w:rPr>
                <w:sz w:val="20"/>
                <w:szCs w:val="20"/>
                <w:color w:val="auto"/>
              </w:rPr>
            </w:pPr>
            <w:r>
              <w:rPr>
                <w:rFonts w:ascii="Arial" w:cs="Arial" w:eastAsia="Arial" w:hAnsi="Arial"/>
                <w:sz w:val="20"/>
                <w:szCs w:val="20"/>
                <w:color w:val="auto"/>
                <w:w w:val="89"/>
              </w:rPr>
              <w:t>Incremental Credit Extensions</w:t>
            </w:r>
          </w:p>
        </w:tc>
        <w:tc>
          <w:tcPr>
            <w:tcW w:w="1020" w:type="dxa"/>
            <w:vAlign w:val="bottom"/>
            <w:gridSpan w:val="2"/>
          </w:tcPr>
          <w:p>
            <w:pPr>
              <w:ind w:left="180"/>
              <w:spacing w:after="0"/>
              <w:rPr>
                <w:sz w:val="20"/>
                <w:szCs w:val="20"/>
                <w:color w:val="auto"/>
              </w:rPr>
            </w:pPr>
            <w:r>
              <w:rPr>
                <w:rFonts w:ascii="Arial" w:cs="Arial" w:eastAsia="Arial" w:hAnsi="Arial"/>
                <w:sz w:val="20"/>
                <w:szCs w:val="20"/>
                <w:color w:val="auto"/>
              </w:rPr>
              <w:t>116</w:t>
            </w: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2.15</w:t>
            </w:r>
          </w:p>
        </w:tc>
        <w:tc>
          <w:tcPr>
            <w:tcW w:w="6280" w:type="dxa"/>
            <w:vAlign w:val="bottom"/>
            <w:gridSpan w:val="10"/>
          </w:tcPr>
          <w:p>
            <w:pPr>
              <w:ind w:left="100"/>
              <w:spacing w:after="0"/>
              <w:rPr>
                <w:sz w:val="20"/>
                <w:szCs w:val="20"/>
                <w:color w:val="auto"/>
              </w:rPr>
            </w:pPr>
            <w:r>
              <w:rPr>
                <w:rFonts w:ascii="Arial" w:cs="Arial" w:eastAsia="Arial" w:hAnsi="Arial"/>
                <w:sz w:val="20"/>
                <w:szCs w:val="20"/>
                <w:color w:val="auto"/>
              </w:rPr>
              <w:t>Extensions of Term Loans and Revolving Credit Commitments  120</w:t>
            </w: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2.16</w:t>
            </w:r>
          </w:p>
        </w:tc>
        <w:tc>
          <w:tcPr>
            <w:tcW w:w="1760" w:type="dxa"/>
            <w:vAlign w:val="bottom"/>
            <w:gridSpan w:val="4"/>
          </w:tcPr>
          <w:p>
            <w:pPr>
              <w:ind w:left="100"/>
              <w:spacing w:after="0" w:line="216" w:lineRule="exact"/>
              <w:rPr>
                <w:sz w:val="20"/>
                <w:szCs w:val="20"/>
                <w:color w:val="auto"/>
              </w:rPr>
            </w:pPr>
            <w:r>
              <w:rPr>
                <w:rFonts w:ascii="Arial" w:cs="Arial" w:eastAsia="Arial" w:hAnsi="Arial"/>
                <w:sz w:val="20"/>
                <w:szCs w:val="20"/>
                <w:color w:val="auto"/>
                <w:w w:val="97"/>
              </w:rPr>
              <w:t>Defaulting Lenders</w:t>
            </w:r>
          </w:p>
        </w:tc>
        <w:tc>
          <w:tcPr>
            <w:tcW w:w="520" w:type="dxa"/>
            <w:vAlign w:val="bottom"/>
          </w:tcPr>
          <w:p>
            <w:pPr>
              <w:jc w:val="right"/>
              <w:ind w:right="61"/>
              <w:spacing w:after="0" w:line="216" w:lineRule="exact"/>
              <w:rPr>
                <w:sz w:val="20"/>
                <w:szCs w:val="20"/>
                <w:color w:val="auto"/>
              </w:rPr>
            </w:pPr>
            <w:r>
              <w:rPr>
                <w:rFonts w:ascii="Arial" w:cs="Arial" w:eastAsia="Arial" w:hAnsi="Arial"/>
                <w:sz w:val="20"/>
                <w:szCs w:val="20"/>
                <w:color w:val="auto"/>
              </w:rPr>
              <w:t>122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2.17</w:t>
            </w:r>
          </w:p>
        </w:tc>
        <w:tc>
          <w:tcPr>
            <w:tcW w:w="2280" w:type="dxa"/>
            <w:vAlign w:val="bottom"/>
            <w:gridSpan w:val="5"/>
          </w:tcPr>
          <w:p>
            <w:pPr>
              <w:ind w:left="100"/>
              <w:spacing w:after="0" w:line="216" w:lineRule="exact"/>
              <w:rPr>
                <w:sz w:val="20"/>
                <w:szCs w:val="20"/>
                <w:color w:val="auto"/>
              </w:rPr>
            </w:pPr>
            <w:r>
              <w:rPr>
                <w:rFonts w:ascii="Arial" w:cs="Arial" w:eastAsia="Arial" w:hAnsi="Arial"/>
                <w:sz w:val="20"/>
                <w:szCs w:val="20"/>
                <w:color w:val="auto"/>
                <w:w w:val="90"/>
              </w:rPr>
              <w:t>Permitted Debt Exchanges</w:t>
            </w:r>
          </w:p>
        </w:tc>
        <w:tc>
          <w:tcPr>
            <w:tcW w:w="64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123</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2.18</w:t>
            </w:r>
          </w:p>
        </w:tc>
        <w:tc>
          <w:tcPr>
            <w:tcW w:w="2520" w:type="dxa"/>
            <w:vAlign w:val="bottom"/>
            <w:gridSpan w:val="6"/>
          </w:tcPr>
          <w:p>
            <w:pPr>
              <w:ind w:left="100"/>
              <w:spacing w:after="0"/>
              <w:rPr>
                <w:sz w:val="20"/>
                <w:szCs w:val="20"/>
                <w:color w:val="auto"/>
              </w:rPr>
            </w:pPr>
            <w:r>
              <w:rPr>
                <w:rFonts w:ascii="Arial" w:cs="Arial" w:eastAsia="Arial" w:hAnsi="Arial"/>
                <w:sz w:val="20"/>
                <w:szCs w:val="20"/>
                <w:color w:val="auto"/>
              </w:rPr>
              <w:t>Refinancing Facilities  126</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46"/>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gridSpan w:val="2"/>
          </w:tcPr>
          <w:p>
            <w:pPr>
              <w:jc w:val="center"/>
              <w:ind w:right="921"/>
              <w:spacing w:after="0"/>
              <w:rPr>
                <w:rFonts w:ascii="Arial" w:cs="Arial" w:eastAsia="Arial" w:hAnsi="Arial"/>
                <w:sz w:val="20"/>
                <w:szCs w:val="20"/>
                <w:u w:val="single" w:color="auto"/>
                <w:color w:val="0000FF"/>
              </w:rPr>
            </w:pPr>
            <w:hyperlink w:anchor="page374">
              <w:r>
                <w:rPr>
                  <w:rFonts w:ascii="Arial" w:cs="Arial" w:eastAsia="Arial" w:hAnsi="Arial"/>
                  <w:sz w:val="20"/>
                  <w:szCs w:val="20"/>
                  <w:u w:val="single" w:color="auto"/>
                  <w:color w:val="0000FF"/>
                </w:rPr>
                <w:t>ARTICLE III</w:t>
              </w:r>
            </w:hyperlink>
          </w:p>
        </w:tc>
      </w:tr>
      <w:tr>
        <w:trPr>
          <w:trHeight w:val="459"/>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jc w:val="center"/>
              <w:spacing w:after="0"/>
              <w:rPr>
                <w:sz w:val="20"/>
                <w:szCs w:val="20"/>
                <w:color w:val="auto"/>
              </w:rPr>
            </w:pPr>
            <w:r>
              <w:rPr>
                <w:rFonts w:ascii="Arial" w:cs="Arial" w:eastAsia="Arial" w:hAnsi="Arial"/>
                <w:sz w:val="20"/>
                <w:szCs w:val="20"/>
                <w:color w:val="auto"/>
                <w:w w:val="89"/>
              </w:rPr>
              <w:t>Taxes, Increased Costs Protection and Illegality</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3.01</w:t>
            </w:r>
          </w:p>
        </w:tc>
        <w:tc>
          <w:tcPr>
            <w:tcW w:w="600" w:type="dxa"/>
            <w:vAlign w:val="bottom"/>
          </w:tcPr>
          <w:p>
            <w:pPr>
              <w:ind w:left="100"/>
              <w:spacing w:after="0"/>
              <w:rPr>
                <w:sz w:val="20"/>
                <w:szCs w:val="20"/>
                <w:color w:val="auto"/>
              </w:rPr>
            </w:pPr>
            <w:r>
              <w:rPr>
                <w:rFonts w:ascii="Arial" w:cs="Arial" w:eastAsia="Arial" w:hAnsi="Arial"/>
                <w:sz w:val="20"/>
                <w:szCs w:val="20"/>
                <w:color w:val="auto"/>
                <w:w w:val="88"/>
              </w:rPr>
              <w:t>Taxes</w:t>
            </w:r>
          </w:p>
        </w:tc>
        <w:tc>
          <w:tcPr>
            <w:tcW w:w="760" w:type="dxa"/>
            <w:vAlign w:val="bottom"/>
            <w:gridSpan w:val="2"/>
          </w:tcPr>
          <w:p>
            <w:pPr>
              <w:jc w:val="right"/>
              <w:ind w:right="201"/>
              <w:spacing w:after="0"/>
              <w:rPr>
                <w:sz w:val="20"/>
                <w:szCs w:val="20"/>
                <w:color w:val="auto"/>
              </w:rPr>
            </w:pPr>
            <w:r>
              <w:rPr>
                <w:rFonts w:ascii="Arial" w:cs="Arial" w:eastAsia="Arial" w:hAnsi="Arial"/>
                <w:sz w:val="20"/>
                <w:szCs w:val="20"/>
                <w:color w:val="auto"/>
              </w:rPr>
              <w:t>127</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3.02</w:t>
            </w:r>
          </w:p>
        </w:tc>
        <w:tc>
          <w:tcPr>
            <w:tcW w:w="2520" w:type="dxa"/>
            <w:vAlign w:val="bottom"/>
            <w:gridSpan w:val="6"/>
          </w:tcPr>
          <w:p>
            <w:pPr>
              <w:ind w:left="100"/>
              <w:spacing w:after="0"/>
              <w:rPr>
                <w:sz w:val="20"/>
                <w:szCs w:val="20"/>
                <w:color w:val="auto"/>
              </w:rPr>
            </w:pPr>
            <w:r>
              <w:rPr>
                <w:rFonts w:ascii="Arial" w:cs="Arial" w:eastAsia="Arial" w:hAnsi="Arial"/>
                <w:sz w:val="20"/>
                <w:szCs w:val="20"/>
                <w:color w:val="auto"/>
                <w:w w:val="97"/>
              </w:rPr>
              <w:t>Inability to Determine Rates</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131</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360" w:type="dxa"/>
            <w:vAlign w:val="bottom"/>
            <w:gridSpan w:val="11"/>
          </w:tcPr>
          <w:p>
            <w:pPr>
              <w:spacing w:after="0"/>
              <w:rPr>
                <w:sz w:val="20"/>
                <w:szCs w:val="20"/>
                <w:color w:val="auto"/>
              </w:rPr>
            </w:pPr>
            <w:r>
              <w:rPr>
                <w:rFonts w:ascii="Arial" w:cs="Arial" w:eastAsia="Arial" w:hAnsi="Arial"/>
                <w:sz w:val="20"/>
                <w:szCs w:val="20"/>
                <w:color w:val="auto"/>
                <w:w w:val="99"/>
              </w:rPr>
              <w:t>Section 3.03  Increased Cost and Reduced Return; Capital Adequacy; Reserves on</w:t>
            </w:r>
          </w:p>
        </w:tc>
      </w:tr>
      <w:tr>
        <w:trPr>
          <w:trHeight w:val="250"/>
        </w:trPr>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20" w:type="dxa"/>
            <w:vAlign w:val="bottom"/>
            <w:gridSpan w:val="6"/>
          </w:tcPr>
          <w:p>
            <w:pPr>
              <w:jc w:val="center"/>
              <w:ind w:right="1"/>
              <w:spacing w:after="0"/>
              <w:rPr>
                <w:sz w:val="20"/>
                <w:szCs w:val="20"/>
                <w:color w:val="auto"/>
              </w:rPr>
            </w:pPr>
            <w:r>
              <w:rPr>
                <w:rFonts w:ascii="Arial" w:cs="Arial" w:eastAsia="Arial" w:hAnsi="Arial"/>
                <w:sz w:val="20"/>
                <w:szCs w:val="20"/>
                <w:color w:val="auto"/>
                <w:w w:val="89"/>
              </w:rPr>
              <w:t>Eurocurrency Rate Loans</w:t>
            </w:r>
          </w:p>
        </w:tc>
        <w:tc>
          <w:tcPr>
            <w:tcW w:w="620" w:type="dxa"/>
            <w:vAlign w:val="bottom"/>
          </w:tcPr>
          <w:p>
            <w:pPr>
              <w:jc w:val="right"/>
              <w:ind w:right="221"/>
              <w:spacing w:after="0"/>
              <w:rPr>
                <w:sz w:val="20"/>
                <w:szCs w:val="20"/>
                <w:color w:val="auto"/>
              </w:rPr>
            </w:pPr>
            <w:r>
              <w:rPr>
                <w:rFonts w:ascii="Arial" w:cs="Arial" w:eastAsia="Arial" w:hAnsi="Arial"/>
                <w:sz w:val="20"/>
                <w:szCs w:val="20"/>
                <w:color w:val="auto"/>
                <w:w w:val="83"/>
              </w:rPr>
              <w:t>132</w:t>
            </w:r>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11"/>
        </w:trPr>
        <w:tc>
          <w:tcPr>
            <w:tcW w:w="1080" w:type="dxa"/>
            <w:vAlign w:val="bottom"/>
          </w:tcPr>
          <w:p>
            <w:pPr>
              <w:spacing w:after="0"/>
              <w:rPr>
                <w:sz w:val="20"/>
                <w:szCs w:val="20"/>
                <w:color w:val="auto"/>
              </w:rPr>
            </w:pPr>
            <w:r>
              <w:rPr>
                <w:rFonts w:ascii="Arial" w:cs="Arial" w:eastAsia="Arial" w:hAnsi="Arial"/>
                <w:sz w:val="20"/>
                <w:szCs w:val="20"/>
                <w:color w:val="auto"/>
                <w:w w:val="95"/>
              </w:rPr>
              <w:t>Section 3.04</w:t>
            </w:r>
          </w:p>
        </w:tc>
        <w:tc>
          <w:tcPr>
            <w:tcW w:w="1360" w:type="dxa"/>
            <w:vAlign w:val="bottom"/>
            <w:gridSpan w:val="3"/>
          </w:tcPr>
          <w:p>
            <w:pPr>
              <w:ind w:left="100"/>
              <w:spacing w:after="0"/>
              <w:rPr>
                <w:sz w:val="20"/>
                <w:szCs w:val="20"/>
                <w:color w:val="auto"/>
              </w:rPr>
            </w:pPr>
            <w:r>
              <w:rPr>
                <w:rFonts w:ascii="Arial" w:cs="Arial" w:eastAsia="Arial" w:hAnsi="Arial"/>
                <w:sz w:val="20"/>
                <w:szCs w:val="20"/>
                <w:color w:val="auto"/>
                <w:w w:val="87"/>
              </w:rPr>
              <w:t>Funding Losses</w:t>
            </w:r>
          </w:p>
        </w:tc>
        <w:tc>
          <w:tcPr>
            <w:tcW w:w="920" w:type="dxa"/>
            <w:vAlign w:val="bottom"/>
            <w:gridSpan w:val="2"/>
          </w:tcPr>
          <w:p>
            <w:pPr>
              <w:jc w:val="right"/>
              <w:ind w:right="341"/>
              <w:spacing w:after="0"/>
              <w:rPr>
                <w:sz w:val="20"/>
                <w:szCs w:val="20"/>
                <w:color w:val="auto"/>
              </w:rPr>
            </w:pPr>
            <w:r>
              <w:rPr>
                <w:rFonts w:ascii="Arial" w:cs="Arial" w:eastAsia="Arial" w:hAnsi="Arial"/>
                <w:sz w:val="20"/>
                <w:szCs w:val="20"/>
                <w:color w:val="auto"/>
              </w:rPr>
              <w:t>133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3.05</w:t>
            </w:r>
          </w:p>
        </w:tc>
        <w:tc>
          <w:tcPr>
            <w:tcW w:w="4480" w:type="dxa"/>
            <w:vAlign w:val="bottom"/>
            <w:gridSpan w:val="9"/>
          </w:tcPr>
          <w:p>
            <w:pPr>
              <w:ind w:left="100"/>
              <w:spacing w:after="0" w:line="216" w:lineRule="exact"/>
              <w:rPr>
                <w:sz w:val="20"/>
                <w:szCs w:val="20"/>
                <w:color w:val="auto"/>
              </w:rPr>
            </w:pPr>
            <w:r>
              <w:rPr>
                <w:rFonts w:ascii="Arial" w:cs="Arial" w:eastAsia="Arial" w:hAnsi="Arial"/>
                <w:sz w:val="20"/>
                <w:szCs w:val="20"/>
                <w:color w:val="auto"/>
                <w:w w:val="93"/>
              </w:rPr>
              <w:t>Matters Applicable to All Requests for Compensation</w:t>
            </w:r>
          </w:p>
        </w:tc>
        <w:tc>
          <w:tcPr>
            <w:tcW w:w="1800" w:type="dxa"/>
            <w:vAlign w:val="bottom"/>
          </w:tcPr>
          <w:p>
            <w:pPr>
              <w:ind w:left="80"/>
              <w:spacing w:after="0" w:line="216" w:lineRule="exact"/>
              <w:rPr>
                <w:sz w:val="20"/>
                <w:szCs w:val="20"/>
                <w:color w:val="auto"/>
              </w:rPr>
            </w:pPr>
            <w:r>
              <w:rPr>
                <w:rFonts w:ascii="Arial" w:cs="Arial" w:eastAsia="Arial" w:hAnsi="Arial"/>
                <w:sz w:val="20"/>
                <w:szCs w:val="20"/>
                <w:color w:val="auto"/>
              </w:rPr>
              <w:t>133</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3.06</w:t>
            </w:r>
          </w:p>
        </w:tc>
        <w:tc>
          <w:tcPr>
            <w:tcW w:w="4480" w:type="dxa"/>
            <w:vAlign w:val="bottom"/>
            <w:gridSpan w:val="9"/>
          </w:tcPr>
          <w:p>
            <w:pPr>
              <w:ind w:left="100"/>
              <w:spacing w:after="0"/>
              <w:rPr>
                <w:sz w:val="20"/>
                <w:szCs w:val="20"/>
                <w:color w:val="auto"/>
              </w:rPr>
            </w:pPr>
            <w:r>
              <w:rPr>
                <w:rFonts w:ascii="Arial" w:cs="Arial" w:eastAsia="Arial" w:hAnsi="Arial"/>
                <w:sz w:val="20"/>
                <w:szCs w:val="20"/>
                <w:color w:val="auto"/>
                <w:w w:val="90"/>
              </w:rPr>
              <w:t>Replacement of Lenders under Certain Circumstances</w:t>
            </w:r>
          </w:p>
        </w:tc>
        <w:tc>
          <w:tcPr>
            <w:tcW w:w="1800" w:type="dxa"/>
            <w:vAlign w:val="bottom"/>
          </w:tcPr>
          <w:p>
            <w:pPr>
              <w:jc w:val="right"/>
              <w:ind w:right="1301"/>
              <w:spacing w:after="0"/>
              <w:rPr>
                <w:sz w:val="20"/>
                <w:szCs w:val="20"/>
                <w:color w:val="auto"/>
              </w:rPr>
            </w:pPr>
            <w:r>
              <w:rPr>
                <w:rFonts w:ascii="Arial" w:cs="Arial" w:eastAsia="Arial" w:hAnsi="Arial"/>
                <w:sz w:val="20"/>
                <w:szCs w:val="20"/>
                <w:color w:val="auto"/>
              </w:rPr>
              <w:t>134</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3.07</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Survival</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w w:val="83"/>
              </w:rPr>
              <w:t>135</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pacing w:after="0" w:line="195" w:lineRule="exact"/>
        <w:rPr>
          <w:sz w:val="20"/>
          <w:szCs w:val="20"/>
          <w:color w:val="auto"/>
        </w:rPr>
      </w:pPr>
    </w:p>
    <w:p>
      <w:pPr>
        <w:jc w:val="center"/>
        <w:ind w:right="-1100"/>
        <w:spacing w:after="0"/>
        <w:rPr>
          <w:rFonts w:ascii="Arial" w:cs="Arial" w:eastAsia="Arial" w:hAnsi="Arial"/>
          <w:sz w:val="20"/>
          <w:szCs w:val="20"/>
          <w:u w:val="single" w:color="auto"/>
          <w:color w:val="0000FF"/>
        </w:rPr>
      </w:pPr>
      <w:hyperlink w:anchor="page392">
        <w:r>
          <w:rPr>
            <w:rFonts w:ascii="Arial" w:cs="Arial" w:eastAsia="Arial" w:hAnsi="Arial"/>
            <w:sz w:val="20"/>
            <w:szCs w:val="20"/>
            <w:u w:val="single" w:color="auto"/>
            <w:color w:val="0000FF"/>
          </w:rPr>
          <w:t>ARTICLE IV</w:t>
        </w:r>
      </w:hyperlink>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Conditions Precedent to Credit Extensions</w:t>
      </w:r>
    </w:p>
    <w:p>
      <w:pPr>
        <w:sectPr>
          <w:pgSz w:w="11900" w:h="16838" w:orient="portrait"/>
          <w:cols w:equalWidth="0" w:num="1">
            <w:col w:w="10139"/>
          </w:cols>
          <w:pgMar w:left="320" w:top="121"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color w:val="auto"/>
        </w:rPr>
        <w:t>#94164975v6</w:t>
      </w:r>
    </w:p>
    <w:p>
      <w:pPr>
        <w:sectPr>
          <w:pgSz w:w="11900" w:h="16838" w:orient="portrait"/>
          <w:cols w:equalWidth="0" w:num="1">
            <w:col w:w="10139"/>
          </w:cols>
          <w:pgMar w:left="320" w:top="121"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Arial" w:cs="Arial" w:eastAsia="Arial" w:hAnsi="Arial"/>
                <w:sz w:val="20"/>
                <w:szCs w:val="20"/>
                <w:color w:val="auto"/>
                <w:w w:val="89"/>
              </w:rPr>
              <w:t>Section 4.01</w:t>
            </w:r>
          </w:p>
        </w:tc>
        <w:tc>
          <w:tcPr>
            <w:tcW w:w="3260" w:type="dxa"/>
            <w:vAlign w:val="bottom"/>
            <w:gridSpan w:val="2"/>
          </w:tcPr>
          <w:p>
            <w:pPr>
              <w:ind w:left="40"/>
              <w:spacing w:after="0"/>
              <w:rPr>
                <w:sz w:val="20"/>
                <w:szCs w:val="20"/>
                <w:color w:val="auto"/>
              </w:rPr>
            </w:pPr>
            <w:r>
              <w:rPr>
                <w:rFonts w:ascii="Arial" w:cs="Arial" w:eastAsia="Arial" w:hAnsi="Arial"/>
                <w:sz w:val="20"/>
                <w:szCs w:val="20"/>
                <w:color w:val="auto"/>
              </w:rPr>
              <w:t>Closing Date Conditions  136</w:t>
            </w:r>
          </w:p>
        </w:tc>
      </w:tr>
      <w:tr>
        <w:trPr>
          <w:trHeight w:val="250"/>
        </w:trPr>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4"/>
          </w:tcPr>
          <w:p>
            <w:pPr>
              <w:ind w:left="40"/>
              <w:spacing w:after="0"/>
              <w:rPr>
                <w:sz w:val="20"/>
                <w:szCs w:val="20"/>
                <w:color w:val="auto"/>
              </w:rPr>
            </w:pPr>
            <w:r>
              <w:rPr>
                <w:rFonts w:ascii="Arial" w:cs="Arial" w:eastAsia="Arial" w:hAnsi="Arial"/>
                <w:sz w:val="20"/>
                <w:szCs w:val="20"/>
                <w:color w:val="auto"/>
                <w:w w:val="95"/>
              </w:rPr>
              <w:t>Section 4.02</w:t>
            </w:r>
          </w:p>
        </w:tc>
        <w:tc>
          <w:tcPr>
            <w:tcW w:w="4100" w:type="dxa"/>
            <w:vAlign w:val="bottom"/>
            <w:gridSpan w:val="3"/>
          </w:tcPr>
          <w:p>
            <w:pPr>
              <w:jc w:val="right"/>
              <w:spacing w:after="0"/>
              <w:rPr>
                <w:sz w:val="20"/>
                <w:szCs w:val="20"/>
                <w:color w:val="auto"/>
              </w:rPr>
            </w:pPr>
            <w:r>
              <w:rPr>
                <w:rFonts w:ascii="Arial" w:cs="Arial" w:eastAsia="Arial" w:hAnsi="Arial"/>
                <w:sz w:val="20"/>
                <w:szCs w:val="20"/>
                <w:color w:val="auto"/>
                <w:w w:val="93"/>
              </w:rPr>
              <w:t>Conditions to Subsequent Credit Extensions  138</w:t>
            </w:r>
          </w:p>
        </w:tc>
      </w:tr>
      <w:tr>
        <w:trPr>
          <w:trHeight w:val="446"/>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gridSpan w:val="2"/>
          </w:tcPr>
          <w:p>
            <w:pPr>
              <w:jc w:val="center"/>
              <w:ind w:right="1821"/>
              <w:spacing w:after="0"/>
              <w:rPr>
                <w:rFonts w:ascii="Arial" w:cs="Arial" w:eastAsia="Arial" w:hAnsi="Arial"/>
                <w:sz w:val="20"/>
                <w:szCs w:val="20"/>
                <w:u w:val="single" w:color="auto"/>
                <w:color w:val="0000FF"/>
                <w:w w:val="98"/>
              </w:rPr>
            </w:pPr>
            <w:hyperlink w:anchor="page397">
              <w:r>
                <w:rPr>
                  <w:rFonts w:ascii="Arial" w:cs="Arial" w:eastAsia="Arial" w:hAnsi="Arial"/>
                  <w:sz w:val="20"/>
                  <w:szCs w:val="20"/>
                  <w:u w:val="single" w:color="auto"/>
                  <w:color w:val="0000FF"/>
                  <w:w w:val="98"/>
                </w:rPr>
                <w:t>ARTICLE V</w:t>
              </w:r>
            </w:hyperlink>
          </w:p>
        </w:tc>
      </w:tr>
      <w:tr>
        <w:trPr>
          <w:trHeight w:val="459"/>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3"/>
          </w:tcPr>
          <w:p>
            <w:pPr>
              <w:jc w:val="center"/>
              <w:ind w:right="981"/>
              <w:spacing w:after="0"/>
              <w:rPr>
                <w:sz w:val="20"/>
                <w:szCs w:val="20"/>
                <w:color w:val="auto"/>
              </w:rPr>
            </w:pPr>
            <w:r>
              <w:rPr>
                <w:rFonts w:ascii="Arial" w:cs="Arial" w:eastAsia="Arial" w:hAnsi="Arial"/>
                <w:sz w:val="20"/>
                <w:szCs w:val="20"/>
                <w:color w:val="auto"/>
                <w:w w:val="87"/>
              </w:rPr>
              <w:t>Representations and Warranties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5.01</w:t>
            </w:r>
          </w:p>
        </w:tc>
        <w:tc>
          <w:tcPr>
            <w:tcW w:w="7000" w:type="dxa"/>
            <w:vAlign w:val="bottom"/>
            <w:gridSpan w:val="11"/>
          </w:tcPr>
          <w:p>
            <w:pPr>
              <w:ind w:left="100"/>
              <w:spacing w:after="0"/>
              <w:rPr>
                <w:sz w:val="20"/>
                <w:szCs w:val="20"/>
                <w:color w:val="auto"/>
              </w:rPr>
            </w:pPr>
            <w:r>
              <w:rPr>
                <w:rFonts w:ascii="Arial" w:cs="Arial" w:eastAsia="Arial" w:hAnsi="Arial"/>
                <w:sz w:val="20"/>
                <w:szCs w:val="20"/>
                <w:color w:val="auto"/>
              </w:rPr>
              <w:t>Existence, Qualification and Power; Compliance with Laws  139</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5.02</w:t>
            </w:r>
          </w:p>
        </w:tc>
        <w:tc>
          <w:tcPr>
            <w:tcW w:w="2900" w:type="dxa"/>
            <w:vAlign w:val="bottom"/>
            <w:gridSpan w:val="8"/>
          </w:tcPr>
          <w:p>
            <w:pPr>
              <w:ind w:left="80"/>
              <w:spacing w:after="0"/>
              <w:rPr>
                <w:sz w:val="20"/>
                <w:szCs w:val="20"/>
                <w:color w:val="auto"/>
              </w:rPr>
            </w:pPr>
            <w:r>
              <w:rPr>
                <w:rFonts w:ascii="Arial" w:cs="Arial" w:eastAsia="Arial" w:hAnsi="Arial"/>
                <w:sz w:val="20"/>
                <w:szCs w:val="20"/>
                <w:color w:val="auto"/>
                <w:w w:val="98"/>
              </w:rPr>
              <w:t>Authorization; No Contravention</w:t>
            </w:r>
          </w:p>
        </w:tc>
        <w:tc>
          <w:tcPr>
            <w:tcW w:w="840" w:type="dxa"/>
            <w:vAlign w:val="bottom"/>
          </w:tcPr>
          <w:p>
            <w:pPr>
              <w:jc w:val="right"/>
              <w:ind w:right="421"/>
              <w:spacing w:after="0"/>
              <w:rPr>
                <w:sz w:val="20"/>
                <w:szCs w:val="20"/>
                <w:color w:val="auto"/>
              </w:rPr>
            </w:pPr>
            <w:r>
              <w:rPr>
                <w:rFonts w:ascii="Arial" w:cs="Arial" w:eastAsia="Arial" w:hAnsi="Arial"/>
                <w:sz w:val="20"/>
                <w:szCs w:val="20"/>
                <w:color w:val="auto"/>
                <w:w w:val="89"/>
              </w:rPr>
              <w:t>139</w:t>
            </w: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5.03</w:t>
            </w:r>
          </w:p>
        </w:tc>
        <w:tc>
          <w:tcPr>
            <w:tcW w:w="3740" w:type="dxa"/>
            <w:vAlign w:val="bottom"/>
            <w:gridSpan w:val="9"/>
          </w:tcPr>
          <w:p>
            <w:pPr>
              <w:ind w:left="100"/>
              <w:spacing w:after="0"/>
              <w:rPr>
                <w:sz w:val="20"/>
                <w:szCs w:val="20"/>
                <w:color w:val="auto"/>
              </w:rPr>
            </w:pPr>
            <w:r>
              <w:rPr>
                <w:rFonts w:ascii="Arial" w:cs="Arial" w:eastAsia="Arial" w:hAnsi="Arial"/>
                <w:sz w:val="20"/>
                <w:szCs w:val="20"/>
                <w:color w:val="auto"/>
                <w:w w:val="90"/>
              </w:rPr>
              <w:t>Governmental Authorization; Other Consents</w:t>
            </w:r>
          </w:p>
        </w:tc>
        <w:tc>
          <w:tcPr>
            <w:tcW w:w="3260" w:type="dxa"/>
            <w:vAlign w:val="bottom"/>
            <w:gridSpan w:val="2"/>
          </w:tcPr>
          <w:p>
            <w:pPr>
              <w:jc w:val="right"/>
              <w:ind w:right="2701"/>
              <w:spacing w:after="0"/>
              <w:rPr>
                <w:sz w:val="20"/>
                <w:szCs w:val="20"/>
                <w:color w:val="auto"/>
              </w:rPr>
            </w:pPr>
            <w:r>
              <w:rPr>
                <w:rFonts w:ascii="Arial" w:cs="Arial" w:eastAsia="Arial" w:hAnsi="Arial"/>
                <w:sz w:val="20"/>
                <w:szCs w:val="20"/>
                <w:color w:val="auto"/>
              </w:rPr>
              <w:t>139</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5.04</w:t>
            </w:r>
          </w:p>
        </w:tc>
        <w:tc>
          <w:tcPr>
            <w:tcW w:w="1300" w:type="dxa"/>
            <w:vAlign w:val="bottom"/>
            <w:gridSpan w:val="2"/>
          </w:tcPr>
          <w:p>
            <w:pPr>
              <w:ind w:left="100"/>
              <w:spacing w:after="0"/>
              <w:rPr>
                <w:sz w:val="20"/>
                <w:szCs w:val="20"/>
                <w:color w:val="auto"/>
              </w:rPr>
            </w:pPr>
            <w:r>
              <w:rPr>
                <w:rFonts w:ascii="Arial" w:cs="Arial" w:eastAsia="Arial" w:hAnsi="Arial"/>
                <w:sz w:val="20"/>
                <w:szCs w:val="20"/>
                <w:color w:val="auto"/>
                <w:w w:val="95"/>
              </w:rPr>
              <w:t>Binding Effect</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140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5.05</w:t>
            </w:r>
          </w:p>
        </w:tc>
        <w:tc>
          <w:tcPr>
            <w:tcW w:w="4100" w:type="dxa"/>
            <w:vAlign w:val="bottom"/>
            <w:gridSpan w:val="10"/>
          </w:tcPr>
          <w:p>
            <w:pPr>
              <w:ind w:left="100"/>
              <w:spacing w:after="0" w:line="216" w:lineRule="exact"/>
              <w:rPr>
                <w:sz w:val="20"/>
                <w:szCs w:val="20"/>
                <w:color w:val="auto"/>
              </w:rPr>
            </w:pPr>
            <w:r>
              <w:rPr>
                <w:rFonts w:ascii="Arial" w:cs="Arial" w:eastAsia="Arial" w:hAnsi="Arial"/>
                <w:sz w:val="20"/>
                <w:szCs w:val="20"/>
                <w:color w:val="auto"/>
                <w:w w:val="91"/>
              </w:rPr>
              <w:t>Financial Statements; No Material Adverse Effect</w:t>
            </w:r>
          </w:p>
        </w:tc>
        <w:tc>
          <w:tcPr>
            <w:tcW w:w="2900" w:type="dxa"/>
            <w:vAlign w:val="bottom"/>
          </w:tcPr>
          <w:p>
            <w:pPr>
              <w:jc w:val="center"/>
              <w:ind w:right="2181"/>
              <w:spacing w:after="0" w:line="216" w:lineRule="exact"/>
              <w:rPr>
                <w:sz w:val="20"/>
                <w:szCs w:val="20"/>
                <w:color w:val="auto"/>
              </w:rPr>
            </w:pPr>
            <w:r>
              <w:rPr>
                <w:rFonts w:ascii="Arial" w:cs="Arial" w:eastAsia="Arial" w:hAnsi="Arial"/>
                <w:sz w:val="20"/>
                <w:szCs w:val="20"/>
                <w:color w:val="auto"/>
                <w:w w:val="89"/>
              </w:rPr>
              <w:t>140</w:t>
            </w: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5.06</w:t>
            </w:r>
          </w:p>
        </w:tc>
        <w:tc>
          <w:tcPr>
            <w:tcW w:w="900" w:type="dxa"/>
            <w:vAlign w:val="bottom"/>
          </w:tcPr>
          <w:p>
            <w:pPr>
              <w:ind w:left="100"/>
              <w:spacing w:after="0" w:line="216" w:lineRule="exact"/>
              <w:rPr>
                <w:sz w:val="20"/>
                <w:szCs w:val="20"/>
                <w:color w:val="auto"/>
              </w:rPr>
            </w:pPr>
            <w:r>
              <w:rPr>
                <w:rFonts w:ascii="Arial" w:cs="Arial" w:eastAsia="Arial" w:hAnsi="Arial"/>
                <w:sz w:val="20"/>
                <w:szCs w:val="20"/>
                <w:color w:val="auto"/>
                <w:w w:val="97"/>
              </w:rPr>
              <w:t>Litigation</w:t>
            </w:r>
          </w:p>
        </w:tc>
        <w:tc>
          <w:tcPr>
            <w:tcW w:w="640" w:type="dxa"/>
            <w:vAlign w:val="bottom"/>
            <w:gridSpan w:val="2"/>
          </w:tcPr>
          <w:p>
            <w:pPr>
              <w:jc w:val="right"/>
              <w:ind w:right="61"/>
              <w:spacing w:after="0" w:line="216" w:lineRule="exact"/>
              <w:rPr>
                <w:sz w:val="20"/>
                <w:szCs w:val="20"/>
                <w:color w:val="auto"/>
              </w:rPr>
            </w:pPr>
            <w:r>
              <w:rPr>
                <w:rFonts w:ascii="Arial" w:cs="Arial" w:eastAsia="Arial" w:hAnsi="Arial"/>
                <w:sz w:val="20"/>
                <w:szCs w:val="20"/>
                <w:color w:val="auto"/>
              </w:rPr>
              <w:t>140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5.07</w:t>
            </w:r>
          </w:p>
        </w:tc>
        <w:tc>
          <w:tcPr>
            <w:tcW w:w="2660" w:type="dxa"/>
            <w:vAlign w:val="bottom"/>
            <w:gridSpan w:val="7"/>
          </w:tcPr>
          <w:p>
            <w:pPr>
              <w:ind w:left="100"/>
              <w:spacing w:after="0"/>
              <w:rPr>
                <w:sz w:val="20"/>
                <w:szCs w:val="20"/>
                <w:color w:val="auto"/>
              </w:rPr>
            </w:pPr>
            <w:r>
              <w:rPr>
                <w:rFonts w:ascii="Arial" w:cs="Arial" w:eastAsia="Arial" w:hAnsi="Arial"/>
                <w:sz w:val="20"/>
                <w:szCs w:val="20"/>
                <w:color w:val="auto"/>
                <w:w w:val="98"/>
              </w:rPr>
              <w:t>Ownership of Property; Liens</w:t>
            </w:r>
          </w:p>
        </w:tc>
        <w:tc>
          <w:tcPr>
            <w:tcW w:w="1080" w:type="dxa"/>
            <w:vAlign w:val="bottom"/>
            <w:gridSpan w:val="2"/>
          </w:tcPr>
          <w:p>
            <w:pPr>
              <w:jc w:val="right"/>
              <w:ind w:right="681"/>
              <w:spacing w:after="0"/>
              <w:rPr>
                <w:sz w:val="20"/>
                <w:szCs w:val="20"/>
                <w:color w:val="auto"/>
              </w:rPr>
            </w:pPr>
            <w:r>
              <w:rPr>
                <w:rFonts w:ascii="Arial" w:cs="Arial" w:eastAsia="Arial" w:hAnsi="Arial"/>
                <w:sz w:val="20"/>
                <w:szCs w:val="20"/>
                <w:color w:val="auto"/>
                <w:w w:val="83"/>
              </w:rPr>
              <w:t>140</w:t>
            </w: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5.08</w:t>
            </w:r>
          </w:p>
        </w:tc>
        <w:tc>
          <w:tcPr>
            <w:tcW w:w="2360" w:type="dxa"/>
            <w:vAlign w:val="bottom"/>
            <w:gridSpan w:val="6"/>
          </w:tcPr>
          <w:p>
            <w:pPr>
              <w:ind w:left="100"/>
              <w:spacing w:after="0"/>
              <w:rPr>
                <w:sz w:val="20"/>
                <w:szCs w:val="20"/>
                <w:color w:val="auto"/>
              </w:rPr>
            </w:pPr>
            <w:r>
              <w:rPr>
                <w:rFonts w:ascii="Arial" w:cs="Arial" w:eastAsia="Arial" w:hAnsi="Arial"/>
                <w:sz w:val="20"/>
                <w:szCs w:val="20"/>
                <w:color w:val="auto"/>
                <w:w w:val="93"/>
              </w:rPr>
              <w:t>Environmental Compliance</w:t>
            </w:r>
          </w:p>
        </w:tc>
        <w:tc>
          <w:tcPr>
            <w:tcW w:w="540" w:type="dxa"/>
            <w:vAlign w:val="bottom"/>
            <w:gridSpan w:val="2"/>
          </w:tcPr>
          <w:p>
            <w:pPr>
              <w:jc w:val="right"/>
              <w:ind w:right="21"/>
              <w:spacing w:after="0"/>
              <w:rPr>
                <w:sz w:val="20"/>
                <w:szCs w:val="20"/>
                <w:color w:val="auto"/>
              </w:rPr>
            </w:pPr>
            <w:r>
              <w:rPr>
                <w:rFonts w:ascii="Arial" w:cs="Arial" w:eastAsia="Arial" w:hAnsi="Arial"/>
                <w:sz w:val="20"/>
                <w:szCs w:val="20"/>
                <w:color w:val="auto"/>
              </w:rPr>
              <w:t>141</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5.09</w:t>
            </w:r>
          </w:p>
        </w:tc>
        <w:tc>
          <w:tcPr>
            <w:tcW w:w="1300" w:type="dxa"/>
            <w:vAlign w:val="bottom"/>
            <w:gridSpan w:val="2"/>
          </w:tcPr>
          <w:p>
            <w:pPr>
              <w:ind w:left="100"/>
              <w:spacing w:after="0"/>
              <w:rPr>
                <w:sz w:val="20"/>
                <w:szCs w:val="20"/>
                <w:color w:val="auto"/>
              </w:rPr>
            </w:pPr>
            <w:r>
              <w:rPr>
                <w:rFonts w:ascii="Arial" w:cs="Arial" w:eastAsia="Arial" w:hAnsi="Arial"/>
                <w:sz w:val="20"/>
                <w:szCs w:val="20"/>
                <w:color w:val="auto"/>
              </w:rPr>
              <w:t>Taxes  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5.10</w:t>
            </w:r>
          </w:p>
        </w:tc>
        <w:tc>
          <w:tcPr>
            <w:tcW w:w="2660" w:type="dxa"/>
            <w:vAlign w:val="bottom"/>
            <w:gridSpan w:val="7"/>
          </w:tcPr>
          <w:p>
            <w:pPr>
              <w:ind w:left="100"/>
              <w:spacing w:after="0"/>
              <w:rPr>
                <w:sz w:val="20"/>
                <w:szCs w:val="20"/>
                <w:color w:val="auto"/>
              </w:rPr>
            </w:pPr>
            <w:r>
              <w:rPr>
                <w:rFonts w:ascii="Arial" w:cs="Arial" w:eastAsia="Arial" w:hAnsi="Arial"/>
                <w:sz w:val="20"/>
                <w:szCs w:val="20"/>
                <w:color w:val="auto"/>
                <w:w w:val="98"/>
              </w:rPr>
              <w:t>Compliance with ERISA  141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5.11</w:t>
            </w:r>
          </w:p>
        </w:tc>
        <w:tc>
          <w:tcPr>
            <w:tcW w:w="2360" w:type="dxa"/>
            <w:vAlign w:val="bottom"/>
            <w:gridSpan w:val="6"/>
          </w:tcPr>
          <w:p>
            <w:pPr>
              <w:ind w:left="100"/>
              <w:spacing w:after="0" w:line="216" w:lineRule="exact"/>
              <w:rPr>
                <w:sz w:val="20"/>
                <w:szCs w:val="20"/>
                <w:color w:val="auto"/>
              </w:rPr>
            </w:pPr>
            <w:r>
              <w:rPr>
                <w:rFonts w:ascii="Arial" w:cs="Arial" w:eastAsia="Arial" w:hAnsi="Arial"/>
                <w:sz w:val="20"/>
                <w:szCs w:val="20"/>
                <w:color w:val="auto"/>
                <w:w w:val="94"/>
              </w:rPr>
              <w:t>Subsidiaries; Capital Stock</w:t>
            </w:r>
          </w:p>
        </w:tc>
        <w:tc>
          <w:tcPr>
            <w:tcW w:w="540" w:type="dxa"/>
            <w:vAlign w:val="bottom"/>
            <w:gridSpan w:val="2"/>
          </w:tcPr>
          <w:p>
            <w:pPr>
              <w:jc w:val="right"/>
              <w:ind w:right="61"/>
              <w:spacing w:after="0" w:line="216" w:lineRule="exact"/>
              <w:rPr>
                <w:sz w:val="20"/>
                <w:szCs w:val="20"/>
                <w:color w:val="auto"/>
              </w:rPr>
            </w:pPr>
            <w:r>
              <w:rPr>
                <w:rFonts w:ascii="Arial" w:cs="Arial" w:eastAsia="Arial" w:hAnsi="Arial"/>
                <w:sz w:val="20"/>
                <w:szCs w:val="20"/>
                <w:color w:val="auto"/>
              </w:rPr>
              <w:t>142</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5.12</w:t>
            </w:r>
          </w:p>
        </w:tc>
        <w:tc>
          <w:tcPr>
            <w:tcW w:w="7000" w:type="dxa"/>
            <w:vAlign w:val="bottom"/>
            <w:gridSpan w:val="11"/>
          </w:tcPr>
          <w:p>
            <w:pPr>
              <w:ind w:left="100"/>
              <w:spacing w:after="0" w:line="216" w:lineRule="exact"/>
              <w:rPr>
                <w:sz w:val="20"/>
                <w:szCs w:val="20"/>
                <w:color w:val="auto"/>
              </w:rPr>
            </w:pPr>
            <w:r>
              <w:rPr>
                <w:rFonts w:ascii="Arial" w:cs="Arial" w:eastAsia="Arial" w:hAnsi="Arial"/>
                <w:sz w:val="20"/>
                <w:szCs w:val="20"/>
                <w:color w:val="auto"/>
              </w:rPr>
              <w:t>Margin Regulations; Investment Company Act  142</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5.13</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rPr>
              <w:t>Disclosure  142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5.14</w:t>
            </w:r>
          </w:p>
        </w:tc>
        <w:tc>
          <w:tcPr>
            <w:tcW w:w="2900" w:type="dxa"/>
            <w:vAlign w:val="bottom"/>
            <w:gridSpan w:val="8"/>
          </w:tcPr>
          <w:p>
            <w:pPr>
              <w:ind w:left="100"/>
              <w:spacing w:after="0"/>
              <w:rPr>
                <w:sz w:val="20"/>
                <w:szCs w:val="20"/>
                <w:color w:val="auto"/>
              </w:rPr>
            </w:pPr>
            <w:r>
              <w:rPr>
                <w:rFonts w:ascii="Arial" w:cs="Arial" w:eastAsia="Arial" w:hAnsi="Arial"/>
                <w:sz w:val="20"/>
                <w:szCs w:val="20"/>
                <w:color w:val="auto"/>
                <w:w w:val="90"/>
              </w:rPr>
              <w:t>Intellectual Property; Licenses, Etc</w:t>
            </w:r>
          </w:p>
        </w:tc>
        <w:tc>
          <w:tcPr>
            <w:tcW w:w="840" w:type="dxa"/>
            <w:vAlign w:val="bottom"/>
          </w:tcPr>
          <w:p>
            <w:pPr>
              <w:jc w:val="right"/>
              <w:ind w:right="261"/>
              <w:spacing w:after="0"/>
              <w:rPr>
                <w:sz w:val="20"/>
                <w:szCs w:val="20"/>
                <w:color w:val="auto"/>
              </w:rPr>
            </w:pPr>
            <w:r>
              <w:rPr>
                <w:rFonts w:ascii="Arial" w:cs="Arial" w:eastAsia="Arial" w:hAnsi="Arial"/>
                <w:sz w:val="20"/>
                <w:szCs w:val="20"/>
                <w:color w:val="auto"/>
              </w:rPr>
              <w:t>142</w:t>
            </w: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5.15</w:t>
            </w:r>
          </w:p>
        </w:tc>
        <w:tc>
          <w:tcPr>
            <w:tcW w:w="900" w:type="dxa"/>
            <w:vAlign w:val="bottom"/>
          </w:tcPr>
          <w:p>
            <w:pPr>
              <w:ind w:left="100"/>
              <w:spacing w:after="0"/>
              <w:rPr>
                <w:sz w:val="20"/>
                <w:szCs w:val="20"/>
                <w:color w:val="auto"/>
              </w:rPr>
            </w:pPr>
            <w:r>
              <w:rPr>
                <w:rFonts w:ascii="Arial" w:cs="Arial" w:eastAsia="Arial" w:hAnsi="Arial"/>
                <w:sz w:val="20"/>
                <w:szCs w:val="20"/>
                <w:color w:val="auto"/>
                <w:w w:val="96"/>
              </w:rPr>
              <w:t>Solvency</w:t>
            </w:r>
          </w:p>
        </w:tc>
        <w:tc>
          <w:tcPr>
            <w:tcW w:w="640" w:type="dxa"/>
            <w:vAlign w:val="bottom"/>
            <w:gridSpan w:val="2"/>
          </w:tcPr>
          <w:p>
            <w:pPr>
              <w:jc w:val="right"/>
              <w:ind w:right="101"/>
              <w:spacing w:after="0"/>
              <w:rPr>
                <w:sz w:val="20"/>
                <w:szCs w:val="20"/>
                <w:color w:val="auto"/>
              </w:rPr>
            </w:pPr>
            <w:r>
              <w:rPr>
                <w:rFonts w:ascii="Arial" w:cs="Arial" w:eastAsia="Arial" w:hAnsi="Arial"/>
                <w:sz w:val="20"/>
                <w:szCs w:val="20"/>
                <w:color w:val="auto"/>
              </w:rPr>
              <w:t>143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5.16</w:t>
            </w:r>
          </w:p>
        </w:tc>
        <w:tc>
          <w:tcPr>
            <w:tcW w:w="2020" w:type="dxa"/>
            <w:vAlign w:val="bottom"/>
            <w:gridSpan w:val="5"/>
          </w:tcPr>
          <w:p>
            <w:pPr>
              <w:ind w:left="100"/>
              <w:spacing w:after="0" w:line="216" w:lineRule="exact"/>
              <w:rPr>
                <w:sz w:val="20"/>
                <w:szCs w:val="20"/>
                <w:color w:val="auto"/>
              </w:rPr>
            </w:pPr>
            <w:r>
              <w:rPr>
                <w:rFonts w:ascii="Arial" w:cs="Arial" w:eastAsia="Arial" w:hAnsi="Arial"/>
                <w:sz w:val="20"/>
                <w:szCs w:val="20"/>
                <w:color w:val="auto"/>
                <w:w w:val="99"/>
              </w:rPr>
              <w:t>Collateral Documents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3"/>
              </w:rPr>
              <w:t>143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5.17</w:t>
            </w:r>
          </w:p>
        </w:tc>
        <w:tc>
          <w:tcPr>
            <w:tcW w:w="1540" w:type="dxa"/>
            <w:vAlign w:val="bottom"/>
            <w:gridSpan w:val="3"/>
          </w:tcPr>
          <w:p>
            <w:pPr>
              <w:ind w:left="100"/>
              <w:spacing w:after="0" w:line="216" w:lineRule="exact"/>
              <w:rPr>
                <w:sz w:val="20"/>
                <w:szCs w:val="20"/>
                <w:color w:val="auto"/>
              </w:rPr>
            </w:pPr>
            <w:r>
              <w:rPr>
                <w:rFonts w:ascii="Arial" w:cs="Arial" w:eastAsia="Arial" w:hAnsi="Arial"/>
                <w:sz w:val="20"/>
                <w:szCs w:val="20"/>
                <w:color w:val="auto"/>
                <w:w w:val="96"/>
              </w:rPr>
              <w:t>Use of Proceeds</w:t>
            </w:r>
          </w:p>
        </w:tc>
        <w:tc>
          <w:tcPr>
            <w:tcW w:w="480" w:type="dxa"/>
            <w:vAlign w:val="bottom"/>
            <w:gridSpan w:val="2"/>
          </w:tcPr>
          <w:p>
            <w:pPr>
              <w:jc w:val="right"/>
              <w:ind w:right="41"/>
              <w:spacing w:after="0" w:line="216" w:lineRule="exact"/>
              <w:rPr>
                <w:sz w:val="20"/>
                <w:szCs w:val="20"/>
                <w:color w:val="auto"/>
              </w:rPr>
            </w:pPr>
            <w:r>
              <w:rPr>
                <w:rFonts w:ascii="Arial" w:cs="Arial" w:eastAsia="Arial" w:hAnsi="Arial"/>
                <w:sz w:val="20"/>
                <w:szCs w:val="20"/>
                <w:color w:val="auto"/>
                <w:w w:val="95"/>
              </w:rPr>
              <w:t>143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5.18</w:t>
            </w:r>
          </w:p>
        </w:tc>
        <w:tc>
          <w:tcPr>
            <w:tcW w:w="3740" w:type="dxa"/>
            <w:vAlign w:val="bottom"/>
            <w:gridSpan w:val="9"/>
          </w:tcPr>
          <w:p>
            <w:pPr>
              <w:ind w:left="100"/>
              <w:spacing w:after="0"/>
              <w:rPr>
                <w:sz w:val="20"/>
                <w:szCs w:val="20"/>
                <w:color w:val="auto"/>
              </w:rPr>
            </w:pPr>
            <w:r>
              <w:rPr>
                <w:rFonts w:ascii="Arial" w:cs="Arial" w:eastAsia="Arial" w:hAnsi="Arial"/>
                <w:sz w:val="20"/>
                <w:szCs w:val="20"/>
                <w:color w:val="auto"/>
                <w:w w:val="99"/>
              </w:rPr>
              <w:t>Sanctions and Anti-Corruption Laws  143</w:t>
            </w: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5.19</w:t>
            </w:r>
          </w:p>
        </w:tc>
        <w:tc>
          <w:tcPr>
            <w:tcW w:w="1300" w:type="dxa"/>
            <w:vAlign w:val="bottom"/>
            <w:gridSpan w:val="2"/>
          </w:tcPr>
          <w:p>
            <w:pPr>
              <w:ind w:left="100"/>
              <w:spacing w:after="0"/>
              <w:rPr>
                <w:sz w:val="20"/>
                <w:szCs w:val="20"/>
                <w:color w:val="auto"/>
              </w:rPr>
            </w:pPr>
            <w:r>
              <w:rPr>
                <w:rFonts w:ascii="Arial" w:cs="Arial" w:eastAsia="Arial" w:hAnsi="Arial"/>
                <w:sz w:val="20"/>
                <w:szCs w:val="20"/>
                <w:color w:val="auto"/>
                <w:w w:val="95"/>
              </w:rPr>
              <w:t>Labor Matters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144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5.20</w:t>
            </w:r>
          </w:p>
        </w:tc>
        <w:tc>
          <w:tcPr>
            <w:tcW w:w="2020" w:type="dxa"/>
            <w:vAlign w:val="bottom"/>
            <w:gridSpan w:val="5"/>
          </w:tcPr>
          <w:p>
            <w:pPr>
              <w:ind w:left="100"/>
              <w:spacing w:after="0"/>
              <w:rPr>
                <w:sz w:val="20"/>
                <w:szCs w:val="20"/>
                <w:color w:val="auto"/>
              </w:rPr>
            </w:pPr>
            <w:r>
              <w:rPr>
                <w:rFonts w:ascii="Arial" w:cs="Arial" w:eastAsia="Arial" w:hAnsi="Arial"/>
                <w:sz w:val="20"/>
                <w:szCs w:val="20"/>
                <w:color w:val="auto"/>
              </w:rPr>
              <w:t>Compliance with Law</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144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445"/>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gridSpan w:val="2"/>
          </w:tcPr>
          <w:p>
            <w:pPr>
              <w:jc w:val="center"/>
              <w:ind w:right="1841"/>
              <w:spacing w:after="0"/>
              <w:rPr>
                <w:rFonts w:ascii="Arial" w:cs="Arial" w:eastAsia="Arial" w:hAnsi="Arial"/>
                <w:sz w:val="20"/>
                <w:szCs w:val="20"/>
                <w:u w:val="single" w:color="auto"/>
                <w:color w:val="0000FF"/>
                <w:w w:val="99"/>
              </w:rPr>
            </w:pPr>
            <w:hyperlink w:anchor="page406">
              <w:r>
                <w:rPr>
                  <w:rFonts w:ascii="Arial" w:cs="Arial" w:eastAsia="Arial" w:hAnsi="Arial"/>
                  <w:sz w:val="20"/>
                  <w:szCs w:val="20"/>
                  <w:u w:val="single" w:color="auto"/>
                  <w:color w:val="0000FF"/>
                  <w:w w:val="99"/>
                </w:rPr>
                <w:t>ARTICLE VI</w:t>
              </w:r>
            </w:hyperlink>
          </w:p>
        </w:tc>
      </w:tr>
      <w:tr>
        <w:trPr>
          <w:trHeight w:val="459"/>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3"/>
          </w:tcPr>
          <w:p>
            <w:pPr>
              <w:jc w:val="center"/>
              <w:ind w:right="981"/>
              <w:spacing w:after="0"/>
              <w:rPr>
                <w:sz w:val="20"/>
                <w:szCs w:val="20"/>
                <w:color w:val="auto"/>
              </w:rPr>
            </w:pPr>
            <w:r>
              <w:rPr>
                <w:rFonts w:ascii="Arial" w:cs="Arial" w:eastAsia="Arial" w:hAnsi="Arial"/>
                <w:sz w:val="20"/>
                <w:szCs w:val="20"/>
                <w:color w:val="auto"/>
                <w:w w:val="93"/>
              </w:rPr>
              <w:t>Affirmative Covenants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6.01</w:t>
            </w:r>
          </w:p>
        </w:tc>
        <w:tc>
          <w:tcPr>
            <w:tcW w:w="1780" w:type="dxa"/>
            <w:vAlign w:val="bottom"/>
            <w:gridSpan w:val="4"/>
          </w:tcPr>
          <w:p>
            <w:pPr>
              <w:ind w:left="100"/>
              <w:spacing w:after="0"/>
              <w:rPr>
                <w:sz w:val="20"/>
                <w:szCs w:val="20"/>
                <w:color w:val="auto"/>
              </w:rPr>
            </w:pPr>
            <w:r>
              <w:rPr>
                <w:rFonts w:ascii="Arial" w:cs="Arial" w:eastAsia="Arial" w:hAnsi="Arial"/>
                <w:sz w:val="20"/>
                <w:szCs w:val="20"/>
                <w:color w:val="auto"/>
                <w:w w:val="88"/>
              </w:rPr>
              <w:t>Financial Statements</w:t>
            </w:r>
          </w:p>
        </w:tc>
        <w:tc>
          <w:tcPr>
            <w:tcW w:w="580" w:type="dxa"/>
            <w:vAlign w:val="bottom"/>
            <w:gridSpan w:val="2"/>
          </w:tcPr>
          <w:p>
            <w:pPr>
              <w:jc w:val="right"/>
              <w:ind w:right="21"/>
              <w:spacing w:after="0"/>
              <w:rPr>
                <w:sz w:val="20"/>
                <w:szCs w:val="20"/>
                <w:color w:val="auto"/>
              </w:rPr>
            </w:pPr>
            <w:r>
              <w:rPr>
                <w:rFonts w:ascii="Arial" w:cs="Arial" w:eastAsia="Arial" w:hAnsi="Arial"/>
                <w:sz w:val="20"/>
                <w:szCs w:val="20"/>
                <w:color w:val="auto"/>
              </w:rPr>
              <w:t>144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6.02</w:t>
            </w:r>
          </w:p>
        </w:tc>
        <w:tc>
          <w:tcPr>
            <w:tcW w:w="2660" w:type="dxa"/>
            <w:vAlign w:val="bottom"/>
            <w:gridSpan w:val="7"/>
          </w:tcPr>
          <w:p>
            <w:pPr>
              <w:ind w:left="100"/>
              <w:spacing w:after="0"/>
              <w:rPr>
                <w:sz w:val="20"/>
                <w:szCs w:val="20"/>
                <w:color w:val="auto"/>
              </w:rPr>
            </w:pPr>
            <w:r>
              <w:rPr>
                <w:rFonts w:ascii="Arial" w:cs="Arial" w:eastAsia="Arial" w:hAnsi="Arial"/>
                <w:sz w:val="20"/>
                <w:szCs w:val="20"/>
                <w:color w:val="auto"/>
                <w:w w:val="95"/>
              </w:rPr>
              <w:t>Certificates; Other Information</w:t>
            </w:r>
          </w:p>
        </w:tc>
        <w:tc>
          <w:tcPr>
            <w:tcW w:w="1080" w:type="dxa"/>
            <w:vAlign w:val="bottom"/>
            <w:gridSpan w:val="2"/>
          </w:tcPr>
          <w:p>
            <w:pPr>
              <w:jc w:val="right"/>
              <w:ind w:right="581"/>
              <w:spacing w:after="0"/>
              <w:rPr>
                <w:sz w:val="20"/>
                <w:szCs w:val="20"/>
                <w:color w:val="auto"/>
              </w:rPr>
            </w:pPr>
            <w:r>
              <w:rPr>
                <w:rFonts w:ascii="Arial" w:cs="Arial" w:eastAsia="Arial" w:hAnsi="Arial"/>
                <w:sz w:val="20"/>
                <w:szCs w:val="20"/>
                <w:color w:val="auto"/>
              </w:rPr>
              <w:t>146</w:t>
            </w: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6.03</w:t>
            </w:r>
          </w:p>
        </w:tc>
        <w:tc>
          <w:tcPr>
            <w:tcW w:w="900" w:type="dxa"/>
            <w:vAlign w:val="bottom"/>
          </w:tcPr>
          <w:p>
            <w:pPr>
              <w:ind w:left="100"/>
              <w:spacing w:after="0"/>
              <w:rPr>
                <w:sz w:val="20"/>
                <w:szCs w:val="20"/>
                <w:color w:val="auto"/>
              </w:rPr>
            </w:pPr>
            <w:r>
              <w:rPr>
                <w:rFonts w:ascii="Arial" w:cs="Arial" w:eastAsia="Arial" w:hAnsi="Arial"/>
                <w:sz w:val="20"/>
                <w:szCs w:val="20"/>
                <w:color w:val="auto"/>
              </w:rPr>
              <w:t>Notices</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w w:val="83"/>
              </w:rPr>
              <w:t>147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6.04</w:t>
            </w:r>
          </w:p>
        </w:tc>
        <w:tc>
          <w:tcPr>
            <w:tcW w:w="2360" w:type="dxa"/>
            <w:vAlign w:val="bottom"/>
            <w:gridSpan w:val="6"/>
          </w:tcPr>
          <w:p>
            <w:pPr>
              <w:ind w:left="100"/>
              <w:spacing w:after="0" w:line="216" w:lineRule="exact"/>
              <w:rPr>
                <w:sz w:val="20"/>
                <w:szCs w:val="20"/>
                <w:color w:val="auto"/>
              </w:rPr>
            </w:pPr>
            <w:r>
              <w:rPr>
                <w:rFonts w:ascii="Arial" w:cs="Arial" w:eastAsia="Arial" w:hAnsi="Arial"/>
                <w:sz w:val="20"/>
                <w:szCs w:val="20"/>
                <w:color w:val="auto"/>
                <w:w w:val="97"/>
              </w:rPr>
              <w:t>Maintenance of Existence</w:t>
            </w:r>
          </w:p>
        </w:tc>
        <w:tc>
          <w:tcPr>
            <w:tcW w:w="300" w:type="dxa"/>
            <w:vAlign w:val="bottom"/>
          </w:tcPr>
          <w:p>
            <w:pPr>
              <w:jc w:val="right"/>
              <w:spacing w:after="0" w:line="216" w:lineRule="exact"/>
              <w:rPr>
                <w:sz w:val="20"/>
                <w:szCs w:val="20"/>
                <w:color w:val="auto"/>
              </w:rPr>
            </w:pPr>
            <w:r>
              <w:rPr>
                <w:rFonts w:ascii="Arial" w:cs="Arial" w:eastAsia="Arial" w:hAnsi="Arial"/>
                <w:sz w:val="20"/>
                <w:szCs w:val="20"/>
                <w:color w:val="auto"/>
                <w:w w:val="83"/>
              </w:rPr>
              <w:t>147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6.05</w:t>
            </w:r>
          </w:p>
        </w:tc>
        <w:tc>
          <w:tcPr>
            <w:tcW w:w="2360" w:type="dxa"/>
            <w:vAlign w:val="bottom"/>
            <w:gridSpan w:val="6"/>
          </w:tcPr>
          <w:p>
            <w:pPr>
              <w:ind w:left="100"/>
              <w:spacing w:after="0" w:line="216" w:lineRule="exact"/>
              <w:rPr>
                <w:sz w:val="20"/>
                <w:szCs w:val="20"/>
                <w:color w:val="auto"/>
              </w:rPr>
            </w:pPr>
            <w:r>
              <w:rPr>
                <w:rFonts w:ascii="Arial" w:cs="Arial" w:eastAsia="Arial" w:hAnsi="Arial"/>
                <w:sz w:val="20"/>
                <w:szCs w:val="20"/>
                <w:color w:val="auto"/>
                <w:w w:val="95"/>
              </w:rPr>
              <w:t>Maintenance of Properties</w:t>
            </w:r>
          </w:p>
        </w:tc>
        <w:tc>
          <w:tcPr>
            <w:tcW w:w="54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w w:val="89"/>
              </w:rPr>
              <w:t>148</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6.06</w:t>
            </w:r>
          </w:p>
        </w:tc>
        <w:tc>
          <w:tcPr>
            <w:tcW w:w="2360" w:type="dxa"/>
            <w:vAlign w:val="bottom"/>
            <w:gridSpan w:val="6"/>
          </w:tcPr>
          <w:p>
            <w:pPr>
              <w:ind w:left="100"/>
              <w:spacing w:after="0"/>
              <w:rPr>
                <w:sz w:val="20"/>
                <w:szCs w:val="20"/>
                <w:color w:val="auto"/>
              </w:rPr>
            </w:pPr>
            <w:r>
              <w:rPr>
                <w:rFonts w:ascii="Arial" w:cs="Arial" w:eastAsia="Arial" w:hAnsi="Arial"/>
                <w:sz w:val="20"/>
                <w:szCs w:val="20"/>
                <w:color w:val="auto"/>
                <w:w w:val="97"/>
              </w:rPr>
              <w:t>Maintenance of Insurance</w:t>
            </w:r>
          </w:p>
        </w:tc>
        <w:tc>
          <w:tcPr>
            <w:tcW w:w="300" w:type="dxa"/>
            <w:vAlign w:val="bottom"/>
          </w:tcPr>
          <w:p>
            <w:pPr>
              <w:jc w:val="right"/>
              <w:spacing w:after="0"/>
              <w:rPr>
                <w:sz w:val="20"/>
                <w:szCs w:val="20"/>
                <w:color w:val="auto"/>
              </w:rPr>
            </w:pPr>
            <w:r>
              <w:rPr>
                <w:rFonts w:ascii="Arial" w:cs="Arial" w:eastAsia="Arial" w:hAnsi="Arial"/>
                <w:sz w:val="20"/>
                <w:szCs w:val="20"/>
                <w:color w:val="auto"/>
                <w:w w:val="83"/>
              </w:rPr>
              <w:t>148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6.07</w:t>
            </w:r>
          </w:p>
        </w:tc>
        <w:tc>
          <w:tcPr>
            <w:tcW w:w="2020" w:type="dxa"/>
            <w:vAlign w:val="bottom"/>
            <w:gridSpan w:val="5"/>
          </w:tcPr>
          <w:p>
            <w:pPr>
              <w:ind w:left="100"/>
              <w:spacing w:after="0"/>
              <w:rPr>
                <w:sz w:val="20"/>
                <w:szCs w:val="20"/>
                <w:color w:val="auto"/>
              </w:rPr>
            </w:pPr>
            <w:r>
              <w:rPr>
                <w:rFonts w:ascii="Arial" w:cs="Arial" w:eastAsia="Arial" w:hAnsi="Arial"/>
                <w:sz w:val="20"/>
                <w:szCs w:val="20"/>
                <w:color w:val="auto"/>
                <w:w w:val="95"/>
              </w:rPr>
              <w:t>Compliance with Laws</w:t>
            </w:r>
          </w:p>
        </w:tc>
        <w:tc>
          <w:tcPr>
            <w:tcW w:w="640" w:type="dxa"/>
            <w:vAlign w:val="bottom"/>
            <w:gridSpan w:val="2"/>
          </w:tcPr>
          <w:p>
            <w:pPr>
              <w:jc w:val="right"/>
              <w:ind w:right="121"/>
              <w:spacing w:after="0"/>
              <w:rPr>
                <w:sz w:val="20"/>
                <w:szCs w:val="20"/>
                <w:color w:val="auto"/>
              </w:rPr>
            </w:pPr>
            <w:r>
              <w:rPr>
                <w:rFonts w:ascii="Arial" w:cs="Arial" w:eastAsia="Arial" w:hAnsi="Arial"/>
                <w:sz w:val="20"/>
                <w:szCs w:val="20"/>
                <w:color w:val="auto"/>
              </w:rPr>
              <w:t>148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6.08</w:t>
            </w:r>
          </w:p>
        </w:tc>
        <w:tc>
          <w:tcPr>
            <w:tcW w:w="1780" w:type="dxa"/>
            <w:vAlign w:val="bottom"/>
            <w:gridSpan w:val="4"/>
          </w:tcPr>
          <w:p>
            <w:pPr>
              <w:ind w:left="100"/>
              <w:spacing w:after="0"/>
              <w:rPr>
                <w:sz w:val="20"/>
                <w:szCs w:val="20"/>
                <w:color w:val="auto"/>
              </w:rPr>
            </w:pPr>
            <w:r>
              <w:rPr>
                <w:rFonts w:ascii="Arial" w:cs="Arial" w:eastAsia="Arial" w:hAnsi="Arial"/>
                <w:sz w:val="20"/>
                <w:szCs w:val="20"/>
                <w:color w:val="auto"/>
                <w:w w:val="95"/>
              </w:rPr>
              <w:t>Books and Records</w:t>
            </w:r>
          </w:p>
        </w:tc>
        <w:tc>
          <w:tcPr>
            <w:tcW w:w="580" w:type="dxa"/>
            <w:vAlign w:val="bottom"/>
            <w:gridSpan w:val="2"/>
          </w:tcPr>
          <w:p>
            <w:pPr>
              <w:ind w:left="60"/>
              <w:spacing w:after="0"/>
              <w:rPr>
                <w:sz w:val="20"/>
                <w:szCs w:val="20"/>
                <w:color w:val="auto"/>
              </w:rPr>
            </w:pPr>
            <w:r>
              <w:rPr>
                <w:rFonts w:ascii="Arial" w:cs="Arial" w:eastAsia="Arial" w:hAnsi="Arial"/>
                <w:sz w:val="20"/>
                <w:szCs w:val="20"/>
                <w:color w:val="auto"/>
              </w:rPr>
              <w:t>148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6.09</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92"/>
              </w:rPr>
              <w:t>Inspection Rights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6.10</w:t>
            </w:r>
          </w:p>
        </w:tc>
        <w:tc>
          <w:tcPr>
            <w:tcW w:w="7000" w:type="dxa"/>
            <w:vAlign w:val="bottom"/>
            <w:gridSpan w:val="11"/>
          </w:tcPr>
          <w:p>
            <w:pPr>
              <w:ind w:left="100"/>
              <w:spacing w:after="0"/>
              <w:rPr>
                <w:sz w:val="20"/>
                <w:szCs w:val="20"/>
                <w:color w:val="auto"/>
              </w:rPr>
            </w:pPr>
            <w:r>
              <w:rPr>
                <w:rFonts w:ascii="Arial" w:cs="Arial" w:eastAsia="Arial" w:hAnsi="Arial"/>
                <w:sz w:val="20"/>
                <w:szCs w:val="20"/>
                <w:color w:val="auto"/>
              </w:rPr>
              <w:t>Covenant to Guarantee Secured Obligations and Give Security  149</w:t>
            </w:r>
          </w:p>
        </w:tc>
      </w:tr>
      <w:tr>
        <w:trPr>
          <w:trHeight w:val="499"/>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jc w:val="center"/>
              <w:ind w:right="2201"/>
              <w:spacing w:after="0"/>
              <w:rPr>
                <w:sz w:val="20"/>
                <w:szCs w:val="20"/>
                <w:color w:val="auto"/>
              </w:rPr>
            </w:pPr>
            <w:r>
              <w:rPr>
                <w:rFonts w:ascii="Arial" w:cs="Arial" w:eastAsia="Arial" w:hAnsi="Arial"/>
                <w:sz w:val="20"/>
                <w:szCs w:val="20"/>
                <w:color w:val="auto"/>
              </w:rPr>
              <w:t>-vi-</w:t>
            </w:r>
          </w:p>
        </w:tc>
      </w:tr>
      <w:tr>
        <w:trPr>
          <w:trHeight w:val="371"/>
        </w:trPr>
        <w:tc>
          <w:tcPr>
            <w:tcW w:w="1080" w:type="dxa"/>
            <w:vAlign w:val="bottom"/>
          </w:tcPr>
          <w:p>
            <w:pPr>
              <w:spacing w:after="0"/>
              <w:rPr>
                <w:sz w:val="20"/>
                <w:szCs w:val="20"/>
                <w:color w:val="auto"/>
              </w:rPr>
            </w:pPr>
            <w:r>
              <w:rPr>
                <w:rFonts w:ascii="Arial" w:cs="Arial" w:eastAsia="Arial" w:hAnsi="Arial"/>
                <w:sz w:val="20"/>
                <w:szCs w:val="20"/>
                <w:color w:val="auto"/>
                <w:w w:val="95"/>
              </w:rPr>
              <w:t>Section 6.11</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96"/>
              </w:rPr>
              <w:t>Use of Proceeds</w:t>
            </w:r>
          </w:p>
        </w:tc>
        <w:tc>
          <w:tcPr>
            <w:tcW w:w="480" w:type="dxa"/>
            <w:vAlign w:val="bottom"/>
            <w:gridSpan w:val="2"/>
          </w:tcPr>
          <w:p>
            <w:pPr>
              <w:jc w:val="right"/>
              <w:ind w:right="41"/>
              <w:spacing w:after="0"/>
              <w:rPr>
                <w:sz w:val="20"/>
                <w:szCs w:val="20"/>
                <w:color w:val="auto"/>
              </w:rPr>
            </w:pPr>
            <w:r>
              <w:rPr>
                <w:rFonts w:ascii="Arial" w:cs="Arial" w:eastAsia="Arial" w:hAnsi="Arial"/>
                <w:sz w:val="20"/>
                <w:szCs w:val="20"/>
                <w:color w:val="auto"/>
                <w:w w:val="95"/>
              </w:rPr>
              <w:t>149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6.12</w:t>
            </w:r>
          </w:p>
        </w:tc>
        <w:tc>
          <w:tcPr>
            <w:tcW w:w="4100" w:type="dxa"/>
            <w:vAlign w:val="bottom"/>
            <w:gridSpan w:val="10"/>
          </w:tcPr>
          <w:p>
            <w:pPr>
              <w:ind w:left="100"/>
              <w:spacing w:after="0" w:line="216" w:lineRule="exact"/>
              <w:rPr>
                <w:sz w:val="20"/>
                <w:szCs w:val="20"/>
                <w:color w:val="auto"/>
              </w:rPr>
            </w:pPr>
            <w:r>
              <w:rPr>
                <w:rFonts w:ascii="Arial" w:cs="Arial" w:eastAsia="Arial" w:hAnsi="Arial"/>
                <w:sz w:val="20"/>
                <w:szCs w:val="20"/>
                <w:color w:val="auto"/>
                <w:w w:val="91"/>
              </w:rPr>
              <w:t>Further Assurances and Post-Closing Covenants</w:t>
            </w:r>
          </w:p>
        </w:tc>
        <w:tc>
          <w:tcPr>
            <w:tcW w:w="2900" w:type="dxa"/>
            <w:vAlign w:val="bottom"/>
          </w:tcPr>
          <w:p>
            <w:pPr>
              <w:jc w:val="right"/>
              <w:ind w:right="2481"/>
              <w:spacing w:after="0" w:line="216" w:lineRule="exact"/>
              <w:rPr>
                <w:sz w:val="20"/>
                <w:szCs w:val="20"/>
                <w:color w:val="auto"/>
              </w:rPr>
            </w:pPr>
            <w:r>
              <w:rPr>
                <w:rFonts w:ascii="Arial" w:cs="Arial" w:eastAsia="Arial" w:hAnsi="Arial"/>
                <w:sz w:val="20"/>
                <w:szCs w:val="20"/>
                <w:color w:val="auto"/>
                <w:w w:val="89"/>
              </w:rPr>
              <w:t>150</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6.13</w:t>
            </w:r>
          </w:p>
        </w:tc>
        <w:tc>
          <w:tcPr>
            <w:tcW w:w="7000" w:type="dxa"/>
            <w:vAlign w:val="bottom"/>
            <w:gridSpan w:val="11"/>
          </w:tcPr>
          <w:p>
            <w:pPr>
              <w:ind w:left="100"/>
              <w:spacing w:after="0"/>
              <w:rPr>
                <w:sz w:val="20"/>
                <w:szCs w:val="20"/>
                <w:color w:val="auto"/>
              </w:rPr>
            </w:pPr>
            <w:r>
              <w:rPr>
                <w:rFonts w:ascii="Arial" w:cs="Arial" w:eastAsia="Arial" w:hAnsi="Arial"/>
                <w:sz w:val="20"/>
                <w:szCs w:val="20"/>
                <w:color w:val="auto"/>
              </w:rPr>
              <w:t>Designation of Restricted and Unrestricted Subsidiaries  150</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6.14</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8"/>
              </w:rPr>
              <w:t>Payment of Taxes</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151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6.15</w:t>
            </w:r>
          </w:p>
        </w:tc>
        <w:tc>
          <w:tcPr>
            <w:tcW w:w="1300" w:type="dxa"/>
            <w:vAlign w:val="bottom"/>
            <w:gridSpan w:val="2"/>
          </w:tcPr>
          <w:p>
            <w:pPr>
              <w:ind w:left="100"/>
              <w:spacing w:after="0"/>
              <w:rPr>
                <w:sz w:val="20"/>
                <w:szCs w:val="20"/>
                <w:color w:val="auto"/>
              </w:rPr>
            </w:pPr>
            <w:r>
              <w:rPr>
                <w:rFonts w:ascii="Arial" w:cs="Arial" w:eastAsia="Arial" w:hAnsi="Arial"/>
                <w:sz w:val="20"/>
                <w:szCs w:val="20"/>
                <w:color w:val="auto"/>
              </w:rPr>
              <w:t>Lender Calls</w:t>
            </w:r>
          </w:p>
        </w:tc>
        <w:tc>
          <w:tcPr>
            <w:tcW w:w="480" w:type="dxa"/>
            <w:vAlign w:val="bottom"/>
            <w:gridSpan w:val="2"/>
          </w:tcPr>
          <w:p>
            <w:pPr>
              <w:jc w:val="right"/>
              <w:ind w:right="61"/>
              <w:spacing w:after="0"/>
              <w:rPr>
                <w:sz w:val="20"/>
                <w:szCs w:val="20"/>
                <w:color w:val="auto"/>
              </w:rPr>
            </w:pPr>
            <w:r>
              <w:rPr>
                <w:rFonts w:ascii="Arial" w:cs="Arial" w:eastAsia="Arial" w:hAnsi="Arial"/>
                <w:sz w:val="20"/>
                <w:szCs w:val="20"/>
                <w:color w:val="auto"/>
                <w:w w:val="89"/>
              </w:rPr>
              <w:t>151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6.16</w:t>
            </w:r>
          </w:p>
        </w:tc>
        <w:tc>
          <w:tcPr>
            <w:tcW w:w="2020" w:type="dxa"/>
            <w:vAlign w:val="bottom"/>
            <w:gridSpan w:val="5"/>
          </w:tcPr>
          <w:p>
            <w:pPr>
              <w:ind w:left="100"/>
              <w:spacing w:after="0"/>
              <w:rPr>
                <w:sz w:val="20"/>
                <w:szCs w:val="20"/>
                <w:color w:val="auto"/>
              </w:rPr>
            </w:pPr>
            <w:r>
              <w:rPr>
                <w:rFonts w:ascii="Arial" w:cs="Arial" w:eastAsia="Arial" w:hAnsi="Arial"/>
                <w:sz w:val="20"/>
                <w:szCs w:val="20"/>
                <w:color w:val="auto"/>
                <w:w w:val="90"/>
              </w:rPr>
              <w:t>Maintenance of Ratings</w:t>
            </w:r>
          </w:p>
        </w:tc>
        <w:tc>
          <w:tcPr>
            <w:tcW w:w="640" w:type="dxa"/>
            <w:vAlign w:val="bottom"/>
            <w:gridSpan w:val="2"/>
          </w:tcPr>
          <w:p>
            <w:pPr>
              <w:jc w:val="right"/>
              <w:ind w:right="81"/>
              <w:spacing w:after="0"/>
              <w:rPr>
                <w:sz w:val="20"/>
                <w:szCs w:val="20"/>
                <w:color w:val="auto"/>
              </w:rPr>
            </w:pPr>
            <w:r>
              <w:rPr>
                <w:rFonts w:ascii="Arial" w:cs="Arial" w:eastAsia="Arial" w:hAnsi="Arial"/>
                <w:sz w:val="20"/>
                <w:szCs w:val="20"/>
                <w:color w:val="auto"/>
              </w:rPr>
              <w:t>151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6.17</w:t>
            </w:r>
          </w:p>
        </w:tc>
        <w:tc>
          <w:tcPr>
            <w:tcW w:w="3740" w:type="dxa"/>
            <w:vAlign w:val="bottom"/>
            <w:gridSpan w:val="9"/>
          </w:tcPr>
          <w:p>
            <w:pPr>
              <w:ind w:left="100"/>
              <w:spacing w:after="0"/>
              <w:rPr>
                <w:sz w:val="20"/>
                <w:szCs w:val="20"/>
                <w:color w:val="auto"/>
              </w:rPr>
            </w:pPr>
            <w:r>
              <w:rPr>
                <w:rFonts w:ascii="Arial" w:cs="Arial" w:eastAsia="Arial" w:hAnsi="Arial"/>
                <w:sz w:val="20"/>
                <w:szCs w:val="20"/>
                <w:color w:val="auto"/>
                <w:w w:val="96"/>
              </w:rPr>
              <w:t>Anti-Terrorism; Sanctions; Anti-Corruption.</w:t>
            </w:r>
          </w:p>
        </w:tc>
        <w:tc>
          <w:tcPr>
            <w:tcW w:w="360" w:type="dxa"/>
            <w:vAlign w:val="bottom"/>
          </w:tcPr>
          <w:p>
            <w:pPr>
              <w:ind w:left="60"/>
              <w:spacing w:after="0"/>
              <w:rPr>
                <w:sz w:val="20"/>
                <w:szCs w:val="20"/>
                <w:color w:val="auto"/>
              </w:rPr>
            </w:pPr>
            <w:r>
              <w:rPr>
                <w:rFonts w:ascii="Arial" w:cs="Arial" w:eastAsia="Arial" w:hAnsi="Arial"/>
                <w:sz w:val="20"/>
                <w:szCs w:val="20"/>
                <w:color w:val="auto"/>
                <w:w w:val="83"/>
              </w:rPr>
              <w:t>151</w:t>
            </w:r>
          </w:p>
        </w:tc>
        <w:tc>
          <w:tcPr>
            <w:tcW w:w="29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color w:val="auto"/>
        </w:rPr>
        <w:t>#94164975v6</w:t>
      </w:r>
    </w:p>
    <w:p>
      <w:pPr>
        <w:sectPr>
          <w:pgSz w:w="11900" w:h="16838" w:orient="portrait"/>
          <w:cols w:equalWidth="0" w:num="1">
            <w:col w:w="10139"/>
          </w:cols>
          <w:pgMar w:left="320" w:top="121" w:right="1440"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40" w:type="dxa"/>
            <w:vAlign w:val="bottom"/>
          </w:tcPr>
          <w:p>
            <w:pPr>
              <w:jc w:val="center"/>
              <w:ind w:left="2161"/>
              <w:spacing w:after="0"/>
              <w:rPr>
                <w:rFonts w:ascii="Arial" w:cs="Arial" w:eastAsia="Arial" w:hAnsi="Arial"/>
                <w:sz w:val="20"/>
                <w:szCs w:val="20"/>
                <w:u w:val="single" w:color="auto"/>
                <w:color w:val="0000FF"/>
                <w:w w:val="99"/>
              </w:rPr>
            </w:pPr>
            <w:hyperlink w:anchor="page419">
              <w:r>
                <w:rPr>
                  <w:rFonts w:ascii="Arial" w:cs="Arial" w:eastAsia="Arial" w:hAnsi="Arial"/>
                  <w:sz w:val="20"/>
                  <w:szCs w:val="20"/>
                  <w:u w:val="single" w:color="auto"/>
                  <w:color w:val="0000FF"/>
                  <w:w w:val="99"/>
                </w:rPr>
                <w:t>ARTICLE VII</w:t>
              </w:r>
            </w:hyperlink>
          </w:p>
        </w:tc>
      </w:tr>
      <w:tr>
        <w:trPr>
          <w:trHeight w:val="459"/>
        </w:trPr>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40" w:type="dxa"/>
            <w:vAlign w:val="bottom"/>
          </w:tcPr>
          <w:p>
            <w:pPr>
              <w:jc w:val="center"/>
              <w:ind w:left="2141"/>
              <w:spacing w:after="0"/>
              <w:rPr>
                <w:sz w:val="20"/>
                <w:szCs w:val="20"/>
                <w:color w:val="auto"/>
              </w:rPr>
            </w:pPr>
            <w:r>
              <w:rPr>
                <w:rFonts w:ascii="Arial" w:cs="Arial" w:eastAsia="Arial" w:hAnsi="Arial"/>
                <w:sz w:val="20"/>
                <w:szCs w:val="20"/>
                <w:color w:val="auto"/>
                <w:w w:val="88"/>
              </w:rPr>
              <w:t>Negative Covenants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7.01</w:t>
            </w:r>
          </w:p>
        </w:tc>
        <w:tc>
          <w:tcPr>
            <w:tcW w:w="1160" w:type="dxa"/>
            <w:vAlign w:val="bottom"/>
          </w:tcPr>
          <w:p>
            <w:pPr>
              <w:ind w:left="100"/>
              <w:spacing w:after="0"/>
              <w:rPr>
                <w:sz w:val="20"/>
                <w:szCs w:val="20"/>
                <w:color w:val="auto"/>
              </w:rPr>
            </w:pPr>
            <w:r>
              <w:rPr>
                <w:rFonts w:ascii="Arial" w:cs="Arial" w:eastAsia="Arial" w:hAnsi="Arial"/>
                <w:sz w:val="20"/>
                <w:szCs w:val="20"/>
                <w:color w:val="auto"/>
              </w:rPr>
              <w:t>Liens  151</w:t>
            </w:r>
          </w:p>
        </w:tc>
        <w:tc>
          <w:tcPr>
            <w:tcW w:w="4240" w:type="dxa"/>
            <w:vAlign w:val="bottom"/>
          </w:tcPr>
          <w:p>
            <w:pPr>
              <w:spacing w:after="0"/>
              <w:rPr>
                <w:sz w:val="24"/>
                <w:szCs w:val="24"/>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7.02</w:t>
            </w:r>
          </w:p>
        </w:tc>
        <w:tc>
          <w:tcPr>
            <w:tcW w:w="1160" w:type="dxa"/>
            <w:vAlign w:val="bottom"/>
          </w:tcPr>
          <w:p>
            <w:pPr>
              <w:ind w:left="100"/>
              <w:spacing w:after="0" w:line="216" w:lineRule="exact"/>
              <w:rPr>
                <w:sz w:val="20"/>
                <w:szCs w:val="20"/>
                <w:color w:val="auto"/>
              </w:rPr>
            </w:pPr>
            <w:r>
              <w:rPr>
                <w:rFonts w:ascii="Arial" w:cs="Arial" w:eastAsia="Arial" w:hAnsi="Arial"/>
                <w:sz w:val="20"/>
                <w:szCs w:val="20"/>
                <w:color w:val="auto"/>
              </w:rPr>
              <w:t>[Reserved]</w:t>
            </w:r>
          </w:p>
        </w:tc>
        <w:tc>
          <w:tcPr>
            <w:tcW w:w="4240" w:type="dxa"/>
            <w:vAlign w:val="bottom"/>
          </w:tcPr>
          <w:p>
            <w:pPr>
              <w:jc w:val="right"/>
              <w:ind w:right="3841"/>
              <w:spacing w:after="0" w:line="216" w:lineRule="exact"/>
              <w:rPr>
                <w:sz w:val="20"/>
                <w:szCs w:val="20"/>
                <w:color w:val="auto"/>
              </w:rPr>
            </w:pPr>
            <w:r>
              <w:rPr>
                <w:rFonts w:ascii="Arial" w:cs="Arial" w:eastAsia="Arial" w:hAnsi="Arial"/>
                <w:sz w:val="20"/>
                <w:szCs w:val="20"/>
                <w:color w:val="auto"/>
                <w:w w:val="83"/>
              </w:rPr>
              <w:t>152</w:t>
            </w: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7.03</w:t>
            </w:r>
          </w:p>
        </w:tc>
        <w:tc>
          <w:tcPr>
            <w:tcW w:w="1160" w:type="dxa"/>
            <w:vAlign w:val="bottom"/>
          </w:tcPr>
          <w:p>
            <w:pPr>
              <w:ind w:left="100"/>
              <w:spacing w:after="0" w:line="216" w:lineRule="exact"/>
              <w:rPr>
                <w:sz w:val="20"/>
                <w:szCs w:val="20"/>
                <w:color w:val="auto"/>
              </w:rPr>
            </w:pPr>
            <w:r>
              <w:rPr>
                <w:rFonts w:ascii="Arial" w:cs="Arial" w:eastAsia="Arial" w:hAnsi="Arial"/>
                <w:sz w:val="20"/>
                <w:szCs w:val="20"/>
                <w:color w:val="auto"/>
                <w:w w:val="86"/>
              </w:rPr>
              <w:t>Indebtedness</w:t>
            </w:r>
          </w:p>
        </w:tc>
        <w:tc>
          <w:tcPr>
            <w:tcW w:w="4240" w:type="dxa"/>
            <w:vAlign w:val="bottom"/>
          </w:tcPr>
          <w:p>
            <w:pPr>
              <w:jc w:val="right"/>
              <w:ind w:right="3681"/>
              <w:spacing w:after="0" w:line="216" w:lineRule="exact"/>
              <w:rPr>
                <w:sz w:val="20"/>
                <w:szCs w:val="20"/>
                <w:color w:val="auto"/>
              </w:rPr>
            </w:pPr>
            <w:r>
              <w:rPr>
                <w:rFonts w:ascii="Arial" w:cs="Arial" w:eastAsia="Arial" w:hAnsi="Arial"/>
                <w:sz w:val="20"/>
                <w:szCs w:val="20"/>
                <w:color w:val="auto"/>
              </w:rPr>
              <w:t>152</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7.04</w:t>
            </w:r>
          </w:p>
        </w:tc>
        <w:tc>
          <w:tcPr>
            <w:tcW w:w="5400" w:type="dxa"/>
            <w:vAlign w:val="bottom"/>
            <w:gridSpan w:val="2"/>
          </w:tcPr>
          <w:p>
            <w:pPr>
              <w:ind w:left="100"/>
              <w:spacing w:after="0"/>
              <w:rPr>
                <w:sz w:val="20"/>
                <w:szCs w:val="20"/>
                <w:color w:val="auto"/>
              </w:rPr>
            </w:pPr>
            <w:r>
              <w:rPr>
                <w:rFonts w:ascii="Arial" w:cs="Arial" w:eastAsia="Arial" w:hAnsi="Arial"/>
                <w:sz w:val="20"/>
                <w:szCs w:val="20"/>
                <w:color w:val="auto"/>
              </w:rPr>
              <w:t>Merger and Consolidation  160</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7.05</w:t>
            </w:r>
          </w:p>
        </w:tc>
        <w:tc>
          <w:tcPr>
            <w:tcW w:w="5400" w:type="dxa"/>
            <w:vAlign w:val="bottom"/>
            <w:gridSpan w:val="2"/>
          </w:tcPr>
          <w:p>
            <w:pPr>
              <w:ind w:left="100"/>
              <w:spacing w:after="0"/>
              <w:rPr>
                <w:sz w:val="20"/>
                <w:szCs w:val="20"/>
                <w:color w:val="auto"/>
              </w:rPr>
            </w:pPr>
            <w:r>
              <w:rPr>
                <w:rFonts w:ascii="Arial" w:cs="Arial" w:eastAsia="Arial" w:hAnsi="Arial"/>
                <w:sz w:val="20"/>
                <w:szCs w:val="20"/>
                <w:color w:val="auto"/>
              </w:rPr>
              <w:t>Limitation on Sales of Assets and Subsidiary Stock  162</w:t>
            </w:r>
          </w:p>
        </w:tc>
      </w:tr>
      <w:tr>
        <w:trPr>
          <w:trHeight w:val="229"/>
        </w:trPr>
        <w:tc>
          <w:tcPr>
            <w:tcW w:w="6480" w:type="dxa"/>
            <w:vAlign w:val="bottom"/>
            <w:gridSpan w:val="3"/>
          </w:tcPr>
          <w:p>
            <w:pPr>
              <w:spacing w:after="0"/>
              <w:rPr>
                <w:sz w:val="20"/>
                <w:szCs w:val="20"/>
                <w:color w:val="auto"/>
              </w:rPr>
            </w:pPr>
            <w:r>
              <w:rPr>
                <w:rFonts w:ascii="Arial" w:cs="Arial" w:eastAsia="Arial" w:hAnsi="Arial"/>
                <w:sz w:val="20"/>
                <w:szCs w:val="20"/>
                <w:color w:val="auto"/>
                <w:w w:val="90"/>
              </w:rPr>
              <w:t>Section 7.06  Restricted Payments &amp; Modification of Subordinated Indebtedness</w:t>
            </w:r>
          </w:p>
        </w:tc>
      </w:tr>
      <w:tr>
        <w:trPr>
          <w:trHeight w:val="216"/>
        </w:trPr>
        <w:tc>
          <w:tcPr>
            <w:tcW w:w="1080" w:type="dxa"/>
            <w:vAlign w:val="bottom"/>
          </w:tcPr>
          <w:p>
            <w:pPr>
              <w:spacing w:after="0"/>
              <w:rPr>
                <w:sz w:val="18"/>
                <w:szCs w:val="18"/>
                <w:color w:val="auto"/>
              </w:rPr>
            </w:pPr>
          </w:p>
        </w:tc>
        <w:tc>
          <w:tcPr>
            <w:tcW w:w="5400" w:type="dxa"/>
            <w:vAlign w:val="bottom"/>
            <w:gridSpan w:val="2"/>
          </w:tcPr>
          <w:p>
            <w:pPr>
              <w:ind w:left="700"/>
              <w:spacing w:after="0" w:line="216" w:lineRule="exact"/>
              <w:rPr>
                <w:sz w:val="20"/>
                <w:szCs w:val="20"/>
                <w:color w:val="auto"/>
              </w:rPr>
            </w:pPr>
            <w:r>
              <w:rPr>
                <w:rFonts w:ascii="Arial" w:cs="Arial" w:eastAsia="Arial" w:hAnsi="Arial"/>
                <w:sz w:val="20"/>
                <w:szCs w:val="20"/>
                <w:color w:val="auto"/>
              </w:rPr>
              <w:t>Documents  163</w:t>
            </w:r>
          </w:p>
        </w:tc>
      </w:tr>
      <w:tr>
        <w:trPr>
          <w:trHeight w:val="232"/>
        </w:trPr>
        <w:tc>
          <w:tcPr>
            <w:tcW w:w="1080" w:type="dxa"/>
            <w:vAlign w:val="bottom"/>
          </w:tcPr>
          <w:p>
            <w:pPr>
              <w:spacing w:after="0"/>
              <w:rPr>
                <w:sz w:val="20"/>
                <w:szCs w:val="20"/>
                <w:color w:val="auto"/>
              </w:rPr>
            </w:pPr>
            <w:r>
              <w:rPr>
                <w:rFonts w:ascii="Arial" w:cs="Arial" w:eastAsia="Arial" w:hAnsi="Arial"/>
                <w:sz w:val="20"/>
                <w:szCs w:val="20"/>
                <w:color w:val="auto"/>
                <w:w w:val="95"/>
              </w:rPr>
              <w:t>Section 7.07</w:t>
            </w:r>
          </w:p>
        </w:tc>
        <w:tc>
          <w:tcPr>
            <w:tcW w:w="5400" w:type="dxa"/>
            <w:vAlign w:val="bottom"/>
            <w:gridSpan w:val="2"/>
          </w:tcPr>
          <w:p>
            <w:pPr>
              <w:ind w:left="100"/>
              <w:spacing w:after="0"/>
              <w:rPr>
                <w:sz w:val="20"/>
                <w:szCs w:val="20"/>
                <w:color w:val="auto"/>
              </w:rPr>
            </w:pPr>
            <w:r>
              <w:rPr>
                <w:rFonts w:ascii="Arial" w:cs="Arial" w:eastAsia="Arial" w:hAnsi="Arial"/>
                <w:sz w:val="20"/>
                <w:szCs w:val="20"/>
                <w:color w:val="auto"/>
              </w:rPr>
              <w:t>Affiliate Transactions  172</w:t>
            </w:r>
          </w:p>
        </w:tc>
      </w:tr>
    </w:tbl>
    <w:p>
      <w:pPr>
        <w:ind w:left="140"/>
        <w:spacing w:after="0"/>
        <w:tabs>
          <w:tab w:leader="none" w:pos="1300" w:val="left"/>
        </w:tabs>
        <w:rPr>
          <w:sz w:val="20"/>
          <w:szCs w:val="20"/>
          <w:color w:val="auto"/>
        </w:rPr>
      </w:pPr>
      <w:r>
        <w:rPr>
          <w:rFonts w:ascii="Arial" w:cs="Arial" w:eastAsia="Arial" w:hAnsi="Arial"/>
          <w:sz w:val="20"/>
          <w:szCs w:val="20"/>
          <w:color w:val="auto"/>
        </w:rPr>
        <w:t>Section 7.08</w:t>
      </w:r>
      <w:r>
        <w:rPr>
          <w:sz w:val="20"/>
          <w:szCs w:val="20"/>
          <w:color w:val="auto"/>
        </w:rPr>
        <w:tab/>
      </w:r>
      <w:r>
        <w:rPr>
          <w:rFonts w:ascii="Arial" w:cs="Arial" w:eastAsia="Arial" w:hAnsi="Arial"/>
          <w:sz w:val="18"/>
          <w:szCs w:val="18"/>
          <w:color w:val="auto"/>
        </w:rPr>
        <w:t>Limitation on Restrictions on Distributions from Restricted Subsidiaries</w:t>
      </w:r>
    </w:p>
    <w:tbl>
      <w:tblPr>
        <w:tblLayout w:type="fixed"/>
        <w:tblInd w:w="14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3180" w:type="dxa"/>
            <w:vAlign w:val="bottom"/>
            <w:gridSpan w:val="4"/>
          </w:tcPr>
          <w:p>
            <w:pPr>
              <w:ind w:left="700"/>
              <w:spacing w:after="0" w:line="213" w:lineRule="exact"/>
              <w:rPr>
                <w:sz w:val="20"/>
                <w:szCs w:val="20"/>
                <w:color w:val="auto"/>
              </w:rPr>
            </w:pPr>
            <w:r>
              <w:rPr>
                <w:rFonts w:ascii="Arial" w:cs="Arial" w:eastAsia="Arial" w:hAnsi="Arial"/>
                <w:sz w:val="20"/>
                <w:szCs w:val="20"/>
                <w:color w:val="auto"/>
              </w:rPr>
              <w:t>and Negative Pledges  176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7.09</w:t>
            </w:r>
          </w:p>
        </w:tc>
        <w:tc>
          <w:tcPr>
            <w:tcW w:w="1660" w:type="dxa"/>
            <w:vAlign w:val="bottom"/>
          </w:tcPr>
          <w:p>
            <w:pPr>
              <w:ind w:left="100"/>
              <w:spacing w:after="0"/>
              <w:rPr>
                <w:sz w:val="20"/>
                <w:szCs w:val="20"/>
                <w:color w:val="auto"/>
              </w:rPr>
            </w:pPr>
            <w:r>
              <w:rPr>
                <w:rFonts w:ascii="Arial" w:cs="Arial" w:eastAsia="Arial" w:hAnsi="Arial"/>
                <w:sz w:val="20"/>
                <w:szCs w:val="20"/>
                <w:color w:val="auto"/>
                <w:w w:val="89"/>
              </w:rPr>
              <w:t>Financial Covenant</w:t>
            </w:r>
          </w:p>
        </w:tc>
        <w:tc>
          <w:tcPr>
            <w:tcW w:w="1120" w:type="dxa"/>
            <w:vAlign w:val="bottom"/>
            <w:gridSpan w:val="2"/>
          </w:tcPr>
          <w:p>
            <w:pPr>
              <w:jc w:val="right"/>
              <w:ind w:right="541"/>
              <w:spacing w:after="0"/>
              <w:rPr>
                <w:sz w:val="20"/>
                <w:szCs w:val="20"/>
                <w:color w:val="auto"/>
              </w:rPr>
            </w:pPr>
            <w:r>
              <w:rPr>
                <w:rFonts w:ascii="Arial" w:cs="Arial" w:eastAsia="Arial" w:hAnsi="Arial"/>
                <w:sz w:val="20"/>
                <w:szCs w:val="20"/>
                <w:color w:val="auto"/>
              </w:rPr>
              <w:t>179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7.10</w:t>
            </w:r>
          </w:p>
        </w:tc>
        <w:tc>
          <w:tcPr>
            <w:tcW w:w="2780" w:type="dxa"/>
            <w:vAlign w:val="bottom"/>
            <w:gridSpan w:val="3"/>
          </w:tcPr>
          <w:p>
            <w:pPr>
              <w:ind w:left="100"/>
              <w:spacing w:after="0"/>
              <w:rPr>
                <w:sz w:val="20"/>
                <w:szCs w:val="20"/>
                <w:color w:val="auto"/>
              </w:rPr>
            </w:pPr>
            <w:r>
              <w:rPr>
                <w:rFonts w:ascii="Arial" w:cs="Arial" w:eastAsia="Arial" w:hAnsi="Arial"/>
                <w:sz w:val="20"/>
                <w:szCs w:val="20"/>
                <w:color w:val="auto"/>
                <w:w w:val="96"/>
              </w:rPr>
              <w:t>Permitted Activities of Holdings</w:t>
            </w:r>
          </w:p>
        </w:tc>
        <w:tc>
          <w:tcPr>
            <w:tcW w:w="400" w:type="dxa"/>
            <w:vAlign w:val="bottom"/>
          </w:tcPr>
          <w:p>
            <w:pPr>
              <w:jc w:val="right"/>
              <w:spacing w:after="0"/>
              <w:rPr>
                <w:sz w:val="20"/>
                <w:szCs w:val="20"/>
                <w:color w:val="auto"/>
              </w:rPr>
            </w:pPr>
            <w:r>
              <w:rPr>
                <w:rFonts w:ascii="Arial" w:cs="Arial" w:eastAsia="Arial" w:hAnsi="Arial"/>
                <w:sz w:val="20"/>
                <w:szCs w:val="20"/>
                <w:color w:val="auto"/>
              </w:rPr>
              <w:t>179</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7.11</w:t>
            </w:r>
          </w:p>
        </w:tc>
        <w:tc>
          <w:tcPr>
            <w:tcW w:w="1660" w:type="dxa"/>
            <w:vAlign w:val="bottom"/>
          </w:tcPr>
          <w:p>
            <w:pPr>
              <w:ind w:left="100"/>
              <w:spacing w:after="0" w:line="216" w:lineRule="exact"/>
              <w:rPr>
                <w:sz w:val="20"/>
                <w:szCs w:val="20"/>
                <w:color w:val="auto"/>
              </w:rPr>
            </w:pPr>
            <w:r>
              <w:rPr>
                <w:rFonts w:ascii="Arial" w:cs="Arial" w:eastAsia="Arial" w:hAnsi="Arial"/>
                <w:sz w:val="20"/>
                <w:szCs w:val="20"/>
                <w:color w:val="auto"/>
                <w:w w:val="91"/>
              </w:rPr>
              <w:t>Nature of Business</w:t>
            </w:r>
          </w:p>
        </w:tc>
        <w:tc>
          <w:tcPr>
            <w:tcW w:w="112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rPr>
              <w:t>180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7.12</w:t>
            </w:r>
          </w:p>
        </w:tc>
        <w:tc>
          <w:tcPr>
            <w:tcW w:w="3180" w:type="dxa"/>
            <w:vAlign w:val="bottom"/>
            <w:gridSpan w:val="4"/>
          </w:tcPr>
          <w:p>
            <w:pPr>
              <w:ind w:left="100"/>
              <w:spacing w:after="0" w:line="216" w:lineRule="exact"/>
              <w:rPr>
                <w:sz w:val="20"/>
                <w:szCs w:val="20"/>
                <w:color w:val="auto"/>
              </w:rPr>
            </w:pPr>
            <w:r>
              <w:rPr>
                <w:rFonts w:ascii="Arial" w:cs="Arial" w:eastAsia="Arial" w:hAnsi="Arial"/>
                <w:sz w:val="20"/>
                <w:szCs w:val="20"/>
                <w:color w:val="auto"/>
                <w:w w:val="94"/>
              </w:rPr>
              <w:t>Amendments of Material Documents</w:t>
            </w:r>
          </w:p>
        </w:tc>
        <w:tc>
          <w:tcPr>
            <w:tcW w:w="1280" w:type="dxa"/>
            <w:vAlign w:val="bottom"/>
            <w:gridSpan w:val="2"/>
          </w:tcPr>
          <w:p>
            <w:pPr>
              <w:jc w:val="right"/>
              <w:ind w:right="841"/>
              <w:spacing w:after="0" w:line="216" w:lineRule="exact"/>
              <w:rPr>
                <w:sz w:val="20"/>
                <w:szCs w:val="20"/>
                <w:color w:val="auto"/>
              </w:rPr>
            </w:pPr>
            <w:r>
              <w:rPr>
                <w:rFonts w:ascii="Arial" w:cs="Arial" w:eastAsia="Arial" w:hAnsi="Arial"/>
                <w:sz w:val="20"/>
                <w:szCs w:val="20"/>
                <w:color w:val="auto"/>
                <w:w w:val="95"/>
              </w:rPr>
              <w:t>180</w:t>
            </w:r>
          </w:p>
        </w:tc>
        <w:tc>
          <w:tcPr>
            <w:tcW w:w="1580" w:type="dxa"/>
            <w:vAlign w:val="bottom"/>
          </w:tcPr>
          <w:p>
            <w:pPr>
              <w:spacing w:after="0"/>
              <w:rPr>
                <w:sz w:val="18"/>
                <w:szCs w:val="18"/>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7.13</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w w:val="88"/>
              </w:rPr>
              <w:t>Changes in Fiscal Year</w:t>
            </w:r>
          </w:p>
        </w:tc>
        <w:tc>
          <w:tcPr>
            <w:tcW w:w="840" w:type="dxa"/>
            <w:vAlign w:val="bottom"/>
          </w:tcPr>
          <w:p>
            <w:pPr>
              <w:jc w:val="right"/>
              <w:ind w:right="261"/>
              <w:spacing w:after="0"/>
              <w:rPr>
                <w:sz w:val="20"/>
                <w:szCs w:val="20"/>
                <w:color w:val="auto"/>
              </w:rPr>
            </w:pPr>
            <w:r>
              <w:rPr>
                <w:rFonts w:ascii="Arial" w:cs="Arial" w:eastAsia="Arial" w:hAnsi="Arial"/>
                <w:sz w:val="20"/>
                <w:szCs w:val="20"/>
                <w:color w:val="auto"/>
              </w:rPr>
              <w:t>181</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46"/>
        </w:trPr>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2"/>
          </w:tcPr>
          <w:p>
            <w:pPr>
              <w:jc w:val="center"/>
              <w:ind w:right="461"/>
              <w:spacing w:after="0"/>
              <w:rPr>
                <w:rFonts w:ascii="Arial" w:cs="Arial" w:eastAsia="Arial" w:hAnsi="Arial"/>
                <w:sz w:val="20"/>
                <w:szCs w:val="20"/>
                <w:u w:val="single" w:color="auto"/>
                <w:color w:val="0000FF"/>
              </w:rPr>
            </w:pPr>
            <w:hyperlink w:anchor="page476">
              <w:r>
                <w:rPr>
                  <w:rFonts w:ascii="Arial" w:cs="Arial" w:eastAsia="Arial" w:hAnsi="Arial"/>
                  <w:sz w:val="20"/>
                  <w:szCs w:val="20"/>
                  <w:u w:val="single" w:color="auto"/>
                  <w:color w:val="0000FF"/>
                </w:rPr>
                <w:t>ARTICLE VIII</w:t>
              </w:r>
            </w:hyperlink>
          </w:p>
        </w:tc>
      </w:tr>
      <w:tr>
        <w:trPr>
          <w:trHeight w:val="459"/>
        </w:trPr>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gridSpan w:val="4"/>
          </w:tcPr>
          <w:p>
            <w:pPr>
              <w:jc w:val="center"/>
              <w:spacing w:after="0"/>
              <w:rPr>
                <w:sz w:val="20"/>
                <w:szCs w:val="20"/>
                <w:color w:val="auto"/>
              </w:rPr>
            </w:pPr>
            <w:r>
              <w:rPr>
                <w:rFonts w:ascii="Arial" w:cs="Arial" w:eastAsia="Arial" w:hAnsi="Arial"/>
                <w:sz w:val="20"/>
                <w:szCs w:val="20"/>
                <w:color w:val="auto"/>
                <w:w w:val="89"/>
              </w:rPr>
              <w:t>Events of Default and Remedies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8.01</w:t>
            </w:r>
          </w:p>
        </w:tc>
        <w:tc>
          <w:tcPr>
            <w:tcW w:w="1660" w:type="dxa"/>
            <w:vAlign w:val="bottom"/>
          </w:tcPr>
          <w:p>
            <w:pPr>
              <w:ind w:left="100"/>
              <w:spacing w:after="0"/>
              <w:rPr>
                <w:sz w:val="20"/>
                <w:szCs w:val="20"/>
                <w:color w:val="auto"/>
              </w:rPr>
            </w:pPr>
            <w:r>
              <w:rPr>
                <w:rFonts w:ascii="Arial" w:cs="Arial" w:eastAsia="Arial" w:hAnsi="Arial"/>
                <w:sz w:val="20"/>
                <w:szCs w:val="20"/>
                <w:color w:val="auto"/>
              </w:rPr>
              <w:t>Events of Default</w:t>
            </w:r>
          </w:p>
        </w:tc>
        <w:tc>
          <w:tcPr>
            <w:tcW w:w="1120" w:type="dxa"/>
            <w:vAlign w:val="bottom"/>
            <w:gridSpan w:val="2"/>
          </w:tcPr>
          <w:p>
            <w:pPr>
              <w:jc w:val="right"/>
              <w:ind w:right="681"/>
              <w:spacing w:after="0"/>
              <w:rPr>
                <w:sz w:val="20"/>
                <w:szCs w:val="20"/>
                <w:color w:val="auto"/>
              </w:rPr>
            </w:pPr>
            <w:r>
              <w:rPr>
                <w:rFonts w:ascii="Arial" w:cs="Arial" w:eastAsia="Arial" w:hAnsi="Arial"/>
                <w:sz w:val="20"/>
                <w:szCs w:val="20"/>
                <w:color w:val="auto"/>
                <w:w w:val="95"/>
              </w:rPr>
              <w:t>181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8.02</w:t>
            </w:r>
          </w:p>
        </w:tc>
        <w:tc>
          <w:tcPr>
            <w:tcW w:w="2780" w:type="dxa"/>
            <w:vAlign w:val="bottom"/>
            <w:gridSpan w:val="3"/>
          </w:tcPr>
          <w:p>
            <w:pPr>
              <w:ind w:left="100"/>
              <w:spacing w:after="0"/>
              <w:rPr>
                <w:sz w:val="20"/>
                <w:szCs w:val="20"/>
                <w:color w:val="auto"/>
              </w:rPr>
            </w:pPr>
            <w:r>
              <w:rPr>
                <w:rFonts w:ascii="Arial" w:cs="Arial" w:eastAsia="Arial" w:hAnsi="Arial"/>
                <w:sz w:val="20"/>
                <w:szCs w:val="20"/>
                <w:color w:val="auto"/>
                <w:w w:val="91"/>
              </w:rPr>
              <w:t>Remedies Upon Event of Default</w:t>
            </w:r>
          </w:p>
        </w:tc>
        <w:tc>
          <w:tcPr>
            <w:tcW w:w="560" w:type="dxa"/>
            <w:vAlign w:val="bottom"/>
            <w:gridSpan w:val="2"/>
          </w:tcPr>
          <w:p>
            <w:pPr>
              <w:jc w:val="right"/>
              <w:ind w:right="1"/>
              <w:spacing w:after="0"/>
              <w:rPr>
                <w:sz w:val="20"/>
                <w:szCs w:val="20"/>
                <w:color w:val="auto"/>
              </w:rPr>
            </w:pPr>
            <w:r>
              <w:rPr>
                <w:rFonts w:ascii="Arial" w:cs="Arial" w:eastAsia="Arial" w:hAnsi="Arial"/>
                <w:sz w:val="20"/>
                <w:szCs w:val="20"/>
                <w:color w:val="auto"/>
              </w:rPr>
              <w:t>184</w:t>
            </w: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8.03</w:t>
            </w:r>
          </w:p>
        </w:tc>
        <w:tc>
          <w:tcPr>
            <w:tcW w:w="3180" w:type="dxa"/>
            <w:vAlign w:val="bottom"/>
            <w:gridSpan w:val="4"/>
          </w:tcPr>
          <w:p>
            <w:pPr>
              <w:ind w:left="100"/>
              <w:spacing w:after="0"/>
              <w:rPr>
                <w:sz w:val="20"/>
                <w:szCs w:val="20"/>
                <w:color w:val="auto"/>
              </w:rPr>
            </w:pPr>
            <w:r>
              <w:rPr>
                <w:rFonts w:ascii="Arial" w:cs="Arial" w:eastAsia="Arial" w:hAnsi="Arial"/>
                <w:sz w:val="20"/>
                <w:szCs w:val="20"/>
                <w:color w:val="auto"/>
                <w:w w:val="95"/>
              </w:rPr>
              <w:t>Exclusion of Immaterial Subsidiaries</w:t>
            </w:r>
          </w:p>
        </w:tc>
        <w:tc>
          <w:tcPr>
            <w:tcW w:w="1280" w:type="dxa"/>
            <w:vAlign w:val="bottom"/>
            <w:gridSpan w:val="2"/>
          </w:tcPr>
          <w:p>
            <w:pPr>
              <w:jc w:val="right"/>
              <w:ind w:right="821"/>
              <w:spacing w:after="0"/>
              <w:rPr>
                <w:sz w:val="20"/>
                <w:szCs w:val="20"/>
                <w:color w:val="auto"/>
              </w:rPr>
            </w:pPr>
            <w:r>
              <w:rPr>
                <w:rFonts w:ascii="Arial" w:cs="Arial" w:eastAsia="Arial" w:hAnsi="Arial"/>
                <w:sz w:val="20"/>
                <w:szCs w:val="20"/>
                <w:color w:val="auto"/>
              </w:rPr>
              <w:t>185</w:t>
            </w:r>
          </w:p>
        </w:tc>
        <w:tc>
          <w:tcPr>
            <w:tcW w:w="158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8.04</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rPr>
              <w:t>Application of Funds</w:t>
            </w:r>
          </w:p>
        </w:tc>
        <w:tc>
          <w:tcPr>
            <w:tcW w:w="840" w:type="dxa"/>
            <w:vAlign w:val="bottom"/>
          </w:tcPr>
          <w:p>
            <w:pPr>
              <w:jc w:val="right"/>
              <w:ind w:right="421"/>
              <w:spacing w:after="0"/>
              <w:rPr>
                <w:sz w:val="20"/>
                <w:szCs w:val="20"/>
                <w:color w:val="auto"/>
              </w:rPr>
            </w:pPr>
            <w:r>
              <w:rPr>
                <w:rFonts w:ascii="Arial" w:cs="Arial" w:eastAsia="Arial" w:hAnsi="Arial"/>
                <w:sz w:val="20"/>
                <w:szCs w:val="20"/>
                <w:color w:val="auto"/>
                <w:w w:val="89"/>
              </w:rPr>
              <w:t>185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8.05</w:t>
            </w:r>
          </w:p>
        </w:tc>
        <w:tc>
          <w:tcPr>
            <w:tcW w:w="2780" w:type="dxa"/>
            <w:vAlign w:val="bottom"/>
            <w:gridSpan w:val="3"/>
          </w:tcPr>
          <w:p>
            <w:pPr>
              <w:ind w:left="100"/>
              <w:spacing w:after="0"/>
              <w:rPr>
                <w:sz w:val="20"/>
                <w:szCs w:val="20"/>
                <w:color w:val="auto"/>
              </w:rPr>
            </w:pPr>
            <w:r>
              <w:rPr>
                <w:rFonts w:ascii="Arial" w:cs="Arial" w:eastAsia="Arial" w:hAnsi="Arial"/>
                <w:sz w:val="20"/>
                <w:szCs w:val="20"/>
                <w:color w:val="auto"/>
                <w:w w:val="92"/>
              </w:rPr>
              <w:t>Permitted Holders’ Right to Cure</w:t>
            </w:r>
          </w:p>
        </w:tc>
        <w:tc>
          <w:tcPr>
            <w:tcW w:w="560" w:type="dxa"/>
            <w:vAlign w:val="bottom"/>
            <w:gridSpan w:val="2"/>
          </w:tcPr>
          <w:p>
            <w:pPr>
              <w:jc w:val="right"/>
              <w:ind w:right="1"/>
              <w:spacing w:after="0"/>
              <w:rPr>
                <w:sz w:val="20"/>
                <w:szCs w:val="20"/>
                <w:color w:val="auto"/>
              </w:rPr>
            </w:pPr>
            <w:r>
              <w:rPr>
                <w:rFonts w:ascii="Arial" w:cs="Arial" w:eastAsia="Arial" w:hAnsi="Arial"/>
                <w:sz w:val="20"/>
                <w:szCs w:val="20"/>
                <w:color w:val="auto"/>
              </w:rPr>
              <w:t>186</w:t>
            </w: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45"/>
        </w:trPr>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2"/>
          </w:tcPr>
          <w:p>
            <w:pPr>
              <w:jc w:val="center"/>
              <w:ind w:right="481"/>
              <w:spacing w:after="0"/>
              <w:rPr>
                <w:rFonts w:ascii="Arial" w:cs="Arial" w:eastAsia="Arial" w:hAnsi="Arial"/>
                <w:sz w:val="20"/>
                <w:szCs w:val="20"/>
                <w:u w:val="single" w:color="auto"/>
                <w:color w:val="0000FF"/>
                <w:w w:val="99"/>
              </w:rPr>
            </w:pPr>
            <w:hyperlink w:anchor="page488">
              <w:r>
                <w:rPr>
                  <w:rFonts w:ascii="Arial" w:cs="Arial" w:eastAsia="Arial" w:hAnsi="Arial"/>
                  <w:sz w:val="20"/>
                  <w:szCs w:val="20"/>
                  <w:u w:val="single" w:color="auto"/>
                  <w:color w:val="0000FF"/>
                  <w:w w:val="99"/>
                </w:rPr>
                <w:t>ARTICLE IX</w:t>
              </w:r>
            </w:hyperlink>
          </w:p>
        </w:tc>
      </w:tr>
      <w:tr>
        <w:trPr>
          <w:trHeight w:val="459"/>
        </w:trPr>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gridSpan w:val="4"/>
          </w:tcPr>
          <w:p>
            <w:pPr>
              <w:jc w:val="center"/>
              <w:spacing w:after="0"/>
              <w:rPr>
                <w:sz w:val="20"/>
                <w:szCs w:val="20"/>
                <w:color w:val="auto"/>
              </w:rPr>
            </w:pPr>
            <w:r>
              <w:rPr>
                <w:rFonts w:ascii="Arial" w:cs="Arial" w:eastAsia="Arial" w:hAnsi="Arial"/>
                <w:sz w:val="20"/>
                <w:szCs w:val="20"/>
                <w:color w:val="auto"/>
                <w:w w:val="91"/>
              </w:rPr>
              <w:t>Administrative Agent and Other Agents</w:t>
            </w:r>
          </w:p>
        </w:tc>
      </w:tr>
      <w:tr>
        <w:trPr>
          <w:trHeight w:val="425"/>
        </w:trPr>
        <w:tc>
          <w:tcPr>
            <w:tcW w:w="1080" w:type="dxa"/>
            <w:vAlign w:val="bottom"/>
          </w:tcPr>
          <w:p>
            <w:pPr>
              <w:spacing w:after="0"/>
              <w:rPr>
                <w:sz w:val="20"/>
                <w:szCs w:val="20"/>
                <w:color w:val="auto"/>
              </w:rPr>
            </w:pPr>
            <w:r>
              <w:rPr>
                <w:rFonts w:ascii="Arial" w:cs="Arial" w:eastAsia="Arial" w:hAnsi="Arial"/>
                <w:sz w:val="20"/>
                <w:szCs w:val="20"/>
                <w:color w:val="auto"/>
                <w:w w:val="95"/>
              </w:rPr>
              <w:t>Section 9.01</w:t>
            </w:r>
          </w:p>
        </w:tc>
        <w:tc>
          <w:tcPr>
            <w:tcW w:w="4460" w:type="dxa"/>
            <w:vAlign w:val="bottom"/>
            <w:gridSpan w:val="6"/>
          </w:tcPr>
          <w:p>
            <w:pPr>
              <w:ind w:left="100"/>
              <w:spacing w:after="0"/>
              <w:rPr>
                <w:sz w:val="20"/>
                <w:szCs w:val="20"/>
                <w:color w:val="auto"/>
              </w:rPr>
            </w:pPr>
            <w:r>
              <w:rPr>
                <w:rFonts w:ascii="Arial" w:cs="Arial" w:eastAsia="Arial" w:hAnsi="Arial"/>
                <w:sz w:val="20"/>
                <w:szCs w:val="20"/>
                <w:color w:val="auto"/>
              </w:rPr>
              <w:t>Appointment and Authorization of Agents  187</w:t>
            </w:r>
          </w:p>
        </w:tc>
        <w:tc>
          <w:tcPr>
            <w:tcW w:w="1580" w:type="dxa"/>
            <w:vAlign w:val="bottom"/>
          </w:tcPr>
          <w:p>
            <w:pPr>
              <w:spacing w:after="0"/>
              <w:rPr>
                <w:sz w:val="24"/>
                <w:szCs w:val="24"/>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9.02</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rPr>
              <w:t>Delegation of Duties</w:t>
            </w:r>
          </w:p>
        </w:tc>
        <w:tc>
          <w:tcPr>
            <w:tcW w:w="840" w:type="dxa"/>
            <w:vAlign w:val="bottom"/>
          </w:tcPr>
          <w:p>
            <w:pPr>
              <w:jc w:val="right"/>
              <w:ind w:right="441"/>
              <w:spacing w:after="0"/>
              <w:rPr>
                <w:sz w:val="20"/>
                <w:szCs w:val="20"/>
                <w:color w:val="auto"/>
              </w:rPr>
            </w:pPr>
            <w:r>
              <w:rPr>
                <w:rFonts w:ascii="Arial" w:cs="Arial" w:eastAsia="Arial" w:hAnsi="Arial"/>
                <w:sz w:val="20"/>
                <w:szCs w:val="20"/>
                <w:color w:val="auto"/>
                <w:w w:val="83"/>
              </w:rPr>
              <w:t>188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9.03</w:t>
            </w:r>
          </w:p>
        </w:tc>
        <w:tc>
          <w:tcPr>
            <w:tcW w:w="1660" w:type="dxa"/>
            <w:vAlign w:val="bottom"/>
          </w:tcPr>
          <w:p>
            <w:pPr>
              <w:ind w:left="100"/>
              <w:spacing w:after="0" w:line="216" w:lineRule="exact"/>
              <w:rPr>
                <w:sz w:val="20"/>
                <w:szCs w:val="20"/>
                <w:color w:val="auto"/>
              </w:rPr>
            </w:pPr>
            <w:r>
              <w:rPr>
                <w:rFonts w:ascii="Arial" w:cs="Arial" w:eastAsia="Arial" w:hAnsi="Arial"/>
                <w:sz w:val="20"/>
                <w:szCs w:val="20"/>
                <w:color w:val="auto"/>
                <w:w w:val="98"/>
              </w:rPr>
              <w:t>Liability of Agents</w:t>
            </w:r>
          </w:p>
        </w:tc>
        <w:tc>
          <w:tcPr>
            <w:tcW w:w="112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rPr>
              <w:t>188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9.04</w:t>
            </w:r>
          </w:p>
        </w:tc>
        <w:tc>
          <w:tcPr>
            <w:tcW w:w="3340" w:type="dxa"/>
            <w:vAlign w:val="bottom"/>
            <w:gridSpan w:val="5"/>
          </w:tcPr>
          <w:p>
            <w:pPr>
              <w:ind w:left="100"/>
              <w:spacing w:after="0" w:line="216" w:lineRule="exact"/>
              <w:rPr>
                <w:sz w:val="20"/>
                <w:szCs w:val="20"/>
                <w:color w:val="auto"/>
              </w:rPr>
            </w:pPr>
            <w:r>
              <w:rPr>
                <w:rFonts w:ascii="Arial" w:cs="Arial" w:eastAsia="Arial" w:hAnsi="Arial"/>
                <w:sz w:val="20"/>
                <w:szCs w:val="20"/>
                <w:color w:val="auto"/>
                <w:w w:val="90"/>
              </w:rPr>
              <w:t>Reliance by Agents and Lead Arrangers</w:t>
            </w:r>
          </w:p>
        </w:tc>
        <w:tc>
          <w:tcPr>
            <w:tcW w:w="1120" w:type="dxa"/>
            <w:vAlign w:val="bottom"/>
          </w:tcPr>
          <w:p>
            <w:pPr>
              <w:jc w:val="right"/>
              <w:ind w:right="601"/>
              <w:spacing w:after="0" w:line="216" w:lineRule="exact"/>
              <w:rPr>
                <w:sz w:val="20"/>
                <w:szCs w:val="20"/>
                <w:color w:val="auto"/>
              </w:rPr>
            </w:pPr>
            <w:r>
              <w:rPr>
                <w:rFonts w:ascii="Arial" w:cs="Arial" w:eastAsia="Arial" w:hAnsi="Arial"/>
                <w:sz w:val="20"/>
                <w:szCs w:val="20"/>
                <w:color w:val="auto"/>
              </w:rPr>
              <w:t>189</w:t>
            </w:r>
          </w:p>
        </w:tc>
        <w:tc>
          <w:tcPr>
            <w:tcW w:w="15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9.05</w:t>
            </w:r>
          </w:p>
        </w:tc>
        <w:tc>
          <w:tcPr>
            <w:tcW w:w="1660" w:type="dxa"/>
            <w:vAlign w:val="bottom"/>
          </w:tcPr>
          <w:p>
            <w:pPr>
              <w:ind w:left="100"/>
              <w:spacing w:after="0"/>
              <w:rPr>
                <w:sz w:val="20"/>
                <w:szCs w:val="20"/>
                <w:color w:val="auto"/>
              </w:rPr>
            </w:pPr>
            <w:r>
              <w:rPr>
                <w:rFonts w:ascii="Arial" w:cs="Arial" w:eastAsia="Arial" w:hAnsi="Arial"/>
                <w:sz w:val="20"/>
                <w:szCs w:val="20"/>
                <w:color w:val="auto"/>
              </w:rPr>
              <w:t>Notice of Default</w:t>
            </w:r>
          </w:p>
        </w:tc>
        <w:tc>
          <w:tcPr>
            <w:tcW w:w="1120" w:type="dxa"/>
            <w:vAlign w:val="bottom"/>
            <w:gridSpan w:val="2"/>
          </w:tcPr>
          <w:p>
            <w:pPr>
              <w:jc w:val="right"/>
              <w:ind w:right="701"/>
              <w:spacing w:after="0"/>
              <w:rPr>
                <w:sz w:val="20"/>
                <w:szCs w:val="20"/>
                <w:color w:val="auto"/>
              </w:rPr>
            </w:pPr>
            <w:r>
              <w:rPr>
                <w:rFonts w:ascii="Arial" w:cs="Arial" w:eastAsia="Arial" w:hAnsi="Arial"/>
                <w:sz w:val="20"/>
                <w:szCs w:val="20"/>
                <w:color w:val="auto"/>
                <w:w w:val="89"/>
              </w:rPr>
              <w:t>189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9.06</w:t>
            </w:r>
          </w:p>
        </w:tc>
        <w:tc>
          <w:tcPr>
            <w:tcW w:w="4460" w:type="dxa"/>
            <w:vAlign w:val="bottom"/>
            <w:gridSpan w:val="6"/>
          </w:tcPr>
          <w:p>
            <w:pPr>
              <w:ind w:left="100"/>
              <w:spacing w:after="0"/>
              <w:rPr>
                <w:sz w:val="20"/>
                <w:szCs w:val="20"/>
                <w:color w:val="auto"/>
              </w:rPr>
            </w:pPr>
            <w:r>
              <w:rPr>
                <w:rFonts w:ascii="Arial" w:cs="Arial" w:eastAsia="Arial" w:hAnsi="Arial"/>
                <w:sz w:val="20"/>
                <w:szCs w:val="20"/>
                <w:color w:val="auto"/>
                <w:w w:val="93"/>
              </w:rPr>
              <w:t>Credit Decision; Disclosure of Information by Agents</w:t>
            </w:r>
          </w:p>
        </w:tc>
        <w:tc>
          <w:tcPr>
            <w:tcW w:w="1580" w:type="dxa"/>
            <w:vAlign w:val="bottom"/>
          </w:tcPr>
          <w:p>
            <w:pPr>
              <w:jc w:val="right"/>
              <w:ind w:right="1081"/>
              <w:spacing w:after="0"/>
              <w:rPr>
                <w:sz w:val="20"/>
                <w:szCs w:val="20"/>
                <w:color w:val="auto"/>
              </w:rPr>
            </w:pPr>
            <w:r>
              <w:rPr>
                <w:rFonts w:ascii="Arial" w:cs="Arial" w:eastAsia="Arial" w:hAnsi="Arial"/>
                <w:sz w:val="20"/>
                <w:szCs w:val="20"/>
                <w:color w:val="auto"/>
              </w:rPr>
              <w:t>189</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9.07</w:t>
            </w:r>
          </w:p>
        </w:tc>
        <w:tc>
          <w:tcPr>
            <w:tcW w:w="2780" w:type="dxa"/>
            <w:vAlign w:val="bottom"/>
            <w:gridSpan w:val="3"/>
          </w:tcPr>
          <w:p>
            <w:pPr>
              <w:ind w:left="100"/>
              <w:spacing w:after="0"/>
              <w:rPr>
                <w:sz w:val="20"/>
                <w:szCs w:val="20"/>
                <w:color w:val="auto"/>
              </w:rPr>
            </w:pPr>
            <w:r>
              <w:rPr>
                <w:rFonts w:ascii="Arial" w:cs="Arial" w:eastAsia="Arial" w:hAnsi="Arial"/>
                <w:sz w:val="20"/>
                <w:szCs w:val="20"/>
                <w:color w:val="auto"/>
                <w:w w:val="98"/>
              </w:rPr>
              <w:t>Indemnification of Agents  190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9.08</w:t>
            </w:r>
          </w:p>
        </w:tc>
        <w:tc>
          <w:tcPr>
            <w:tcW w:w="3180" w:type="dxa"/>
            <w:vAlign w:val="bottom"/>
            <w:gridSpan w:val="4"/>
          </w:tcPr>
          <w:p>
            <w:pPr>
              <w:ind w:left="100"/>
              <w:spacing w:after="0"/>
              <w:rPr>
                <w:sz w:val="20"/>
                <w:szCs w:val="20"/>
                <w:color w:val="auto"/>
              </w:rPr>
            </w:pPr>
            <w:r>
              <w:rPr>
                <w:rFonts w:ascii="Arial" w:cs="Arial" w:eastAsia="Arial" w:hAnsi="Arial"/>
                <w:sz w:val="20"/>
                <w:szCs w:val="20"/>
                <w:color w:val="auto"/>
                <w:w w:val="96"/>
              </w:rPr>
              <w:t>Agents in their Individual Capacities</w:t>
            </w:r>
          </w:p>
        </w:tc>
        <w:tc>
          <w:tcPr>
            <w:tcW w:w="1280" w:type="dxa"/>
            <w:vAlign w:val="bottom"/>
            <w:gridSpan w:val="2"/>
          </w:tcPr>
          <w:p>
            <w:pPr>
              <w:jc w:val="right"/>
              <w:ind w:right="861"/>
              <w:spacing w:after="0"/>
              <w:rPr>
                <w:sz w:val="20"/>
                <w:szCs w:val="20"/>
                <w:color w:val="auto"/>
              </w:rPr>
            </w:pPr>
            <w:r>
              <w:rPr>
                <w:rFonts w:ascii="Arial" w:cs="Arial" w:eastAsia="Arial" w:hAnsi="Arial"/>
                <w:sz w:val="20"/>
                <w:szCs w:val="20"/>
                <w:color w:val="auto"/>
                <w:w w:val="89"/>
              </w:rPr>
              <w:t>190</w:t>
            </w:r>
          </w:p>
        </w:tc>
        <w:tc>
          <w:tcPr>
            <w:tcW w:w="1580" w:type="dxa"/>
            <w:vAlign w:val="bottom"/>
          </w:tcPr>
          <w:p>
            <w:pPr>
              <w:spacing w:after="0"/>
              <w:rPr>
                <w:sz w:val="19"/>
                <w:szCs w:val="19"/>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9.09</w:t>
            </w:r>
          </w:p>
        </w:tc>
        <w:tc>
          <w:tcPr>
            <w:tcW w:w="1660" w:type="dxa"/>
            <w:vAlign w:val="bottom"/>
          </w:tcPr>
          <w:p>
            <w:pPr>
              <w:ind w:left="100"/>
              <w:spacing w:after="0"/>
              <w:rPr>
                <w:sz w:val="20"/>
                <w:szCs w:val="20"/>
                <w:color w:val="auto"/>
              </w:rPr>
            </w:pPr>
            <w:r>
              <w:rPr>
                <w:rFonts w:ascii="Arial" w:cs="Arial" w:eastAsia="Arial" w:hAnsi="Arial"/>
                <w:sz w:val="20"/>
                <w:szCs w:val="20"/>
                <w:color w:val="auto"/>
                <w:w w:val="95"/>
              </w:rPr>
              <w:t>Successor Agents</w:t>
            </w:r>
          </w:p>
        </w:tc>
        <w:tc>
          <w:tcPr>
            <w:tcW w:w="1120" w:type="dxa"/>
            <w:vAlign w:val="bottom"/>
            <w:gridSpan w:val="2"/>
          </w:tcPr>
          <w:p>
            <w:pPr>
              <w:jc w:val="right"/>
              <w:ind w:right="681"/>
              <w:spacing w:after="0"/>
              <w:rPr>
                <w:sz w:val="20"/>
                <w:szCs w:val="20"/>
                <w:color w:val="auto"/>
              </w:rPr>
            </w:pPr>
            <w:r>
              <w:rPr>
                <w:rFonts w:ascii="Arial" w:cs="Arial" w:eastAsia="Arial" w:hAnsi="Arial"/>
                <w:sz w:val="20"/>
                <w:szCs w:val="20"/>
                <w:color w:val="auto"/>
                <w:w w:val="95"/>
              </w:rPr>
              <w:t>191</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11"/>
        </w:trPr>
        <w:tc>
          <w:tcPr>
            <w:tcW w:w="1080" w:type="dxa"/>
            <w:vAlign w:val="bottom"/>
          </w:tcPr>
          <w:p>
            <w:pPr>
              <w:spacing w:after="0"/>
              <w:rPr>
                <w:sz w:val="20"/>
                <w:szCs w:val="20"/>
                <w:color w:val="auto"/>
              </w:rPr>
            </w:pPr>
            <w:r>
              <w:rPr>
                <w:rFonts w:ascii="Arial" w:cs="Arial" w:eastAsia="Arial" w:hAnsi="Arial"/>
                <w:sz w:val="20"/>
                <w:szCs w:val="20"/>
                <w:color w:val="auto"/>
                <w:w w:val="95"/>
              </w:rPr>
              <w:t>Section 9.10</w:t>
            </w:r>
          </w:p>
        </w:tc>
        <w:tc>
          <w:tcPr>
            <w:tcW w:w="4460" w:type="dxa"/>
            <w:vAlign w:val="bottom"/>
            <w:gridSpan w:val="6"/>
          </w:tcPr>
          <w:p>
            <w:pPr>
              <w:ind w:left="100"/>
              <w:spacing w:after="0"/>
              <w:rPr>
                <w:sz w:val="20"/>
                <w:szCs w:val="20"/>
                <w:color w:val="auto"/>
              </w:rPr>
            </w:pPr>
            <w:r>
              <w:rPr>
                <w:rFonts w:ascii="Arial" w:cs="Arial" w:eastAsia="Arial" w:hAnsi="Arial"/>
                <w:sz w:val="20"/>
                <w:szCs w:val="20"/>
                <w:color w:val="auto"/>
                <w:w w:val="96"/>
              </w:rPr>
              <w:t>Administrative Agent May File Proofs of Claim  191</w:t>
            </w:r>
          </w:p>
        </w:tc>
        <w:tc>
          <w:tcPr>
            <w:tcW w:w="1580" w:type="dxa"/>
            <w:vAlign w:val="bottom"/>
          </w:tcPr>
          <w:p>
            <w:pPr>
              <w:spacing w:after="0"/>
              <w:rPr>
                <w:sz w:val="24"/>
                <w:szCs w:val="24"/>
                <w:color w:val="auto"/>
              </w:rPr>
            </w:pP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color w:val="auto"/>
                <w:w w:val="95"/>
              </w:rPr>
              <w:t>Section 9.11</w:t>
            </w:r>
          </w:p>
        </w:tc>
        <w:tc>
          <w:tcPr>
            <w:tcW w:w="2780" w:type="dxa"/>
            <w:vAlign w:val="bottom"/>
            <w:gridSpan w:val="3"/>
          </w:tcPr>
          <w:p>
            <w:pPr>
              <w:ind w:left="100"/>
              <w:spacing w:after="0" w:line="216" w:lineRule="exact"/>
              <w:rPr>
                <w:sz w:val="20"/>
                <w:szCs w:val="20"/>
                <w:color w:val="auto"/>
              </w:rPr>
            </w:pPr>
            <w:r>
              <w:rPr>
                <w:rFonts w:ascii="Arial" w:cs="Arial" w:eastAsia="Arial" w:hAnsi="Arial"/>
                <w:sz w:val="20"/>
                <w:szCs w:val="20"/>
                <w:color w:val="auto"/>
                <w:w w:val="93"/>
              </w:rPr>
              <w:t>Collateral and Guaranty Matters</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192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9.12</w:t>
            </w:r>
          </w:p>
        </w:tc>
        <w:tc>
          <w:tcPr>
            <w:tcW w:w="3340" w:type="dxa"/>
            <w:vAlign w:val="bottom"/>
            <w:gridSpan w:val="5"/>
          </w:tcPr>
          <w:p>
            <w:pPr>
              <w:ind w:left="100"/>
              <w:spacing w:after="0"/>
              <w:rPr>
                <w:sz w:val="20"/>
                <w:szCs w:val="20"/>
                <w:color w:val="auto"/>
              </w:rPr>
            </w:pPr>
            <w:r>
              <w:rPr>
                <w:rFonts w:ascii="Arial" w:cs="Arial" w:eastAsia="Arial" w:hAnsi="Arial"/>
                <w:sz w:val="20"/>
                <w:szCs w:val="20"/>
                <w:color w:val="auto"/>
                <w:w w:val="91"/>
              </w:rPr>
              <w:t>Other Agents; Arrangers and Managers</w:t>
            </w:r>
          </w:p>
        </w:tc>
        <w:tc>
          <w:tcPr>
            <w:tcW w:w="1120" w:type="dxa"/>
            <w:vAlign w:val="bottom"/>
          </w:tcPr>
          <w:p>
            <w:pPr>
              <w:jc w:val="right"/>
              <w:ind w:right="641"/>
              <w:spacing w:after="0"/>
              <w:rPr>
                <w:sz w:val="20"/>
                <w:szCs w:val="20"/>
                <w:color w:val="auto"/>
              </w:rPr>
            </w:pPr>
            <w:r>
              <w:rPr>
                <w:rFonts w:ascii="Arial" w:cs="Arial" w:eastAsia="Arial" w:hAnsi="Arial"/>
                <w:sz w:val="20"/>
                <w:szCs w:val="20"/>
                <w:color w:val="auto"/>
              </w:rPr>
              <w:t>193</w:t>
            </w:r>
          </w:p>
        </w:tc>
        <w:tc>
          <w:tcPr>
            <w:tcW w:w="158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9.13</w:t>
            </w:r>
          </w:p>
        </w:tc>
        <w:tc>
          <w:tcPr>
            <w:tcW w:w="4460" w:type="dxa"/>
            <w:vAlign w:val="bottom"/>
            <w:gridSpan w:val="6"/>
          </w:tcPr>
          <w:p>
            <w:pPr>
              <w:ind w:left="100"/>
              <w:spacing w:after="0"/>
              <w:rPr>
                <w:sz w:val="20"/>
                <w:szCs w:val="20"/>
                <w:color w:val="auto"/>
              </w:rPr>
            </w:pPr>
            <w:r>
              <w:rPr>
                <w:rFonts w:ascii="Arial" w:cs="Arial" w:eastAsia="Arial" w:hAnsi="Arial"/>
                <w:sz w:val="20"/>
                <w:szCs w:val="20"/>
                <w:color w:val="auto"/>
                <w:w w:val="94"/>
              </w:rPr>
              <w:t>Appointment of Supplemental Administrative Agents</w:t>
            </w:r>
          </w:p>
        </w:tc>
        <w:tc>
          <w:tcPr>
            <w:tcW w:w="1580" w:type="dxa"/>
            <w:vAlign w:val="bottom"/>
          </w:tcPr>
          <w:p>
            <w:pPr>
              <w:jc w:val="right"/>
              <w:ind w:right="1121"/>
              <w:spacing w:after="0"/>
              <w:rPr>
                <w:sz w:val="20"/>
                <w:szCs w:val="20"/>
                <w:color w:val="auto"/>
              </w:rPr>
            </w:pPr>
            <w:r>
              <w:rPr>
                <w:rFonts w:ascii="Arial" w:cs="Arial" w:eastAsia="Arial" w:hAnsi="Arial"/>
                <w:sz w:val="20"/>
                <w:szCs w:val="20"/>
                <w:color w:val="auto"/>
              </w:rPr>
              <w:t>193</w:t>
            </w:r>
          </w:p>
        </w:tc>
      </w:tr>
      <w:tr>
        <w:trPr>
          <w:trHeight w:val="230"/>
        </w:trPr>
        <w:tc>
          <w:tcPr>
            <w:tcW w:w="1080" w:type="dxa"/>
            <w:vAlign w:val="bottom"/>
          </w:tcPr>
          <w:p>
            <w:pPr>
              <w:spacing w:after="0"/>
              <w:rPr>
                <w:sz w:val="20"/>
                <w:szCs w:val="20"/>
                <w:color w:val="auto"/>
              </w:rPr>
            </w:pPr>
            <w:r>
              <w:rPr>
                <w:rFonts w:ascii="Arial" w:cs="Arial" w:eastAsia="Arial" w:hAnsi="Arial"/>
                <w:sz w:val="20"/>
                <w:szCs w:val="20"/>
                <w:color w:val="auto"/>
                <w:w w:val="95"/>
              </w:rPr>
              <w:t>Section 9.14</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w w:val="96"/>
              </w:rPr>
              <w:t>Withholding Tax  194</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w w:val="95"/>
              </w:rPr>
              <w:t>Section 9.15</w:t>
            </w:r>
          </w:p>
        </w:tc>
        <w:tc>
          <w:tcPr>
            <w:tcW w:w="6040" w:type="dxa"/>
            <w:vAlign w:val="bottom"/>
            <w:gridSpan w:val="7"/>
          </w:tcPr>
          <w:p>
            <w:pPr>
              <w:ind w:left="100"/>
              <w:spacing w:after="0"/>
              <w:rPr>
                <w:sz w:val="20"/>
                <w:szCs w:val="20"/>
                <w:color w:val="auto"/>
              </w:rPr>
            </w:pPr>
            <w:r>
              <w:rPr>
                <w:rFonts w:ascii="Arial" w:cs="Arial" w:eastAsia="Arial" w:hAnsi="Arial"/>
                <w:sz w:val="20"/>
                <w:szCs w:val="20"/>
                <w:color w:val="auto"/>
                <w:w w:val="89"/>
              </w:rPr>
              <w:t>Secured Cash Management Obligations; Secured Hedge Agreements  195</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9.16</w:t>
            </w:r>
          </w:p>
        </w:tc>
        <w:tc>
          <w:tcPr>
            <w:tcW w:w="2780" w:type="dxa"/>
            <w:vAlign w:val="bottom"/>
            <w:gridSpan w:val="3"/>
          </w:tcPr>
          <w:p>
            <w:pPr>
              <w:ind w:left="100"/>
              <w:spacing w:after="0"/>
              <w:rPr>
                <w:sz w:val="20"/>
                <w:szCs w:val="20"/>
                <w:color w:val="auto"/>
              </w:rPr>
            </w:pPr>
            <w:r>
              <w:rPr>
                <w:rFonts w:ascii="Arial" w:cs="Arial" w:eastAsia="Arial" w:hAnsi="Arial"/>
                <w:sz w:val="20"/>
                <w:szCs w:val="20"/>
                <w:color w:val="auto"/>
              </w:rPr>
              <w:t>Certain ERISA Matters  195</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195" w:lineRule="exact"/>
        <w:rPr>
          <w:sz w:val="20"/>
          <w:szCs w:val="20"/>
          <w:color w:val="auto"/>
        </w:rPr>
      </w:pPr>
    </w:p>
    <w:p>
      <w:pPr>
        <w:ind w:left="5120"/>
        <w:spacing w:after="0"/>
        <w:rPr>
          <w:rFonts w:ascii="Arial" w:cs="Arial" w:eastAsia="Arial" w:hAnsi="Arial"/>
          <w:sz w:val="20"/>
          <w:szCs w:val="20"/>
          <w:u w:val="single" w:color="auto"/>
          <w:color w:val="0000FF"/>
        </w:rPr>
      </w:pPr>
      <w:hyperlink w:anchor="page506">
        <w:r>
          <w:rPr>
            <w:rFonts w:ascii="Arial" w:cs="Arial" w:eastAsia="Arial" w:hAnsi="Arial"/>
            <w:sz w:val="20"/>
            <w:szCs w:val="20"/>
            <w:u w:val="single" w:color="auto"/>
            <w:color w:val="0000FF"/>
          </w:rPr>
          <w:t>ARTICLE X</w:t>
        </w:r>
      </w:hyperlink>
    </w:p>
    <w:p>
      <w:pPr>
        <w:sectPr>
          <w:pgSz w:w="11900" w:h="16838" w:orient="portrait"/>
          <w:cols w:equalWidth="0" w:num="1">
            <w:col w:w="10139"/>
          </w:cols>
          <w:pgMar w:left="320" w:top="121" w:right="1440"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#94164975v6</w:t>
      </w:r>
    </w:p>
    <w:p>
      <w:pPr>
        <w:sectPr>
          <w:pgSz w:w="11900" w:h="16838" w:orient="portrait"/>
          <w:cols w:equalWidth="0" w:num="1">
            <w:col w:w="10139"/>
          </w:cols>
          <w:pgMar w:left="320" w:top="121" w:right="1440"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20" w:type="dxa"/>
            <w:vAlign w:val="bottom"/>
            <w:gridSpan w:val="2"/>
          </w:tcPr>
          <w:p>
            <w:pPr>
              <w:ind w:left="60"/>
              <w:spacing w:after="0"/>
              <w:rPr>
                <w:sz w:val="20"/>
                <w:szCs w:val="20"/>
                <w:color w:val="auto"/>
              </w:rPr>
            </w:pPr>
            <w:r>
              <w:rPr>
                <w:rFonts w:ascii="Arial" w:cs="Arial" w:eastAsia="Arial" w:hAnsi="Arial"/>
                <w:sz w:val="20"/>
                <w:szCs w:val="20"/>
                <w:color w:val="auto"/>
              </w:rPr>
              <w:t>Miscellaneous</w:t>
            </w:r>
          </w:p>
        </w:tc>
      </w:tr>
      <w:tr>
        <w:trPr>
          <w:trHeight w:val="425"/>
        </w:trPr>
        <w:tc>
          <w:tcPr>
            <w:tcW w:w="4080" w:type="dxa"/>
            <w:vAlign w:val="bottom"/>
            <w:gridSpan w:val="6"/>
          </w:tcPr>
          <w:p>
            <w:pPr>
              <w:spacing w:after="0"/>
              <w:rPr>
                <w:sz w:val="20"/>
                <w:szCs w:val="20"/>
                <w:color w:val="auto"/>
              </w:rPr>
            </w:pPr>
            <w:r>
              <w:rPr>
                <w:rFonts w:ascii="Arial" w:cs="Arial" w:eastAsia="Arial" w:hAnsi="Arial"/>
                <w:sz w:val="20"/>
                <w:szCs w:val="20"/>
                <w:color w:val="auto"/>
              </w:rPr>
              <w:t>Section 10.01  Amendments, Etc.  196</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10.02</w:t>
            </w:r>
          </w:p>
        </w:tc>
        <w:tc>
          <w:tcPr>
            <w:tcW w:w="4420" w:type="dxa"/>
            <w:vAlign w:val="bottom"/>
            <w:gridSpan w:val="7"/>
          </w:tcPr>
          <w:p>
            <w:pPr>
              <w:ind w:left="100"/>
              <w:spacing w:after="0" w:line="216" w:lineRule="exact"/>
              <w:rPr>
                <w:sz w:val="20"/>
                <w:szCs w:val="20"/>
                <w:color w:val="auto"/>
              </w:rPr>
            </w:pPr>
            <w:r>
              <w:rPr>
                <w:rFonts w:ascii="Arial" w:cs="Arial" w:eastAsia="Arial" w:hAnsi="Arial"/>
                <w:sz w:val="20"/>
                <w:szCs w:val="20"/>
                <w:color w:val="auto"/>
                <w:w w:val="89"/>
              </w:rPr>
              <w:t>Notices and Other Communications; Facsimile Copies</w:t>
            </w:r>
          </w:p>
        </w:tc>
        <w:tc>
          <w:tcPr>
            <w:tcW w:w="3380" w:type="dxa"/>
            <w:vAlign w:val="bottom"/>
          </w:tcPr>
          <w:p>
            <w:pPr>
              <w:jc w:val="right"/>
              <w:ind w:right="2801"/>
              <w:spacing w:after="0" w:line="216" w:lineRule="exact"/>
              <w:rPr>
                <w:sz w:val="20"/>
                <w:szCs w:val="20"/>
                <w:color w:val="auto"/>
              </w:rPr>
            </w:pPr>
            <w:r>
              <w:rPr>
                <w:rFonts w:ascii="Arial" w:cs="Arial" w:eastAsia="Arial" w:hAnsi="Arial"/>
                <w:sz w:val="20"/>
                <w:szCs w:val="20"/>
                <w:color w:val="auto"/>
              </w:rPr>
              <w:t>200</w:t>
            </w: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10.03</w:t>
            </w:r>
          </w:p>
        </w:tc>
        <w:tc>
          <w:tcPr>
            <w:tcW w:w="2900" w:type="dxa"/>
            <w:vAlign w:val="bottom"/>
            <w:gridSpan w:val="5"/>
          </w:tcPr>
          <w:p>
            <w:pPr>
              <w:ind w:left="100"/>
              <w:spacing w:after="0" w:line="216" w:lineRule="exact"/>
              <w:rPr>
                <w:sz w:val="20"/>
                <w:szCs w:val="20"/>
                <w:color w:val="auto"/>
              </w:rPr>
            </w:pPr>
            <w:r>
              <w:rPr>
                <w:rFonts w:ascii="Arial" w:cs="Arial" w:eastAsia="Arial" w:hAnsi="Arial"/>
                <w:sz w:val="20"/>
                <w:szCs w:val="20"/>
                <w:color w:val="auto"/>
                <w:w w:val="92"/>
              </w:rPr>
              <w:t>No Waiver; Cumulative Remedies</w:t>
            </w:r>
          </w:p>
        </w:tc>
        <w:tc>
          <w:tcPr>
            <w:tcW w:w="78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10.04</w:t>
            </w:r>
          </w:p>
        </w:tc>
        <w:tc>
          <w:tcPr>
            <w:tcW w:w="2900" w:type="dxa"/>
            <w:vAlign w:val="bottom"/>
            <w:gridSpan w:val="5"/>
          </w:tcPr>
          <w:p>
            <w:pPr>
              <w:ind w:left="80"/>
              <w:spacing w:after="0"/>
              <w:rPr>
                <w:sz w:val="20"/>
                <w:szCs w:val="20"/>
                <w:color w:val="auto"/>
              </w:rPr>
            </w:pPr>
            <w:r>
              <w:rPr>
                <w:rFonts w:ascii="Arial" w:cs="Arial" w:eastAsia="Arial" w:hAnsi="Arial"/>
                <w:sz w:val="20"/>
                <w:szCs w:val="20"/>
                <w:color w:val="auto"/>
                <w:w w:val="90"/>
              </w:rPr>
              <w:t>Attorney Costs and Expenses  202</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10.05</w:t>
            </w:r>
          </w:p>
        </w:tc>
        <w:tc>
          <w:tcPr>
            <w:tcW w:w="2900" w:type="dxa"/>
            <w:vAlign w:val="bottom"/>
            <w:gridSpan w:val="5"/>
          </w:tcPr>
          <w:p>
            <w:pPr>
              <w:ind w:left="100"/>
              <w:spacing w:after="0"/>
              <w:rPr>
                <w:sz w:val="20"/>
                <w:szCs w:val="20"/>
                <w:color w:val="auto"/>
              </w:rPr>
            </w:pPr>
            <w:r>
              <w:rPr>
                <w:rFonts w:ascii="Arial" w:cs="Arial" w:eastAsia="Arial" w:hAnsi="Arial"/>
                <w:sz w:val="20"/>
                <w:szCs w:val="20"/>
                <w:color w:val="auto"/>
                <w:w w:val="98"/>
              </w:rPr>
              <w:t>Indemnification by the Borrower</w:t>
            </w:r>
          </w:p>
        </w:tc>
        <w:tc>
          <w:tcPr>
            <w:tcW w:w="780" w:type="dxa"/>
            <w:vAlign w:val="bottom"/>
          </w:tcPr>
          <w:p>
            <w:pPr>
              <w:jc w:val="right"/>
              <w:ind w:right="381"/>
              <w:spacing w:after="0"/>
              <w:rPr>
                <w:sz w:val="20"/>
                <w:szCs w:val="20"/>
                <w:color w:val="auto"/>
              </w:rPr>
            </w:pPr>
            <w:r>
              <w:rPr>
                <w:rFonts w:ascii="Arial" w:cs="Arial" w:eastAsia="Arial" w:hAnsi="Arial"/>
                <w:sz w:val="20"/>
                <w:szCs w:val="20"/>
                <w:color w:val="auto"/>
                <w:w w:val="83"/>
              </w:rPr>
              <w:t>202</w:t>
            </w: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10.06</w:t>
            </w:r>
          </w:p>
        </w:tc>
        <w:tc>
          <w:tcPr>
            <w:tcW w:w="1820" w:type="dxa"/>
            <w:vAlign w:val="bottom"/>
            <w:gridSpan w:val="3"/>
          </w:tcPr>
          <w:p>
            <w:pPr>
              <w:ind w:left="100"/>
              <w:spacing w:after="0"/>
              <w:rPr>
                <w:sz w:val="20"/>
                <w:szCs w:val="20"/>
                <w:color w:val="auto"/>
              </w:rPr>
            </w:pPr>
            <w:r>
              <w:rPr>
                <w:rFonts w:ascii="Arial" w:cs="Arial" w:eastAsia="Arial" w:hAnsi="Arial"/>
                <w:sz w:val="20"/>
                <w:szCs w:val="20"/>
                <w:color w:val="auto"/>
                <w:w w:val="94"/>
              </w:rPr>
              <w:t>Payments Set Aside</w:t>
            </w:r>
          </w:p>
        </w:tc>
        <w:tc>
          <w:tcPr>
            <w:tcW w:w="1080" w:type="dxa"/>
            <w:vAlign w:val="bottom"/>
            <w:gridSpan w:val="2"/>
          </w:tcPr>
          <w:p>
            <w:pPr>
              <w:jc w:val="right"/>
              <w:ind w:right="621"/>
              <w:spacing w:after="0"/>
              <w:rPr>
                <w:sz w:val="20"/>
                <w:szCs w:val="20"/>
                <w:color w:val="auto"/>
              </w:rPr>
            </w:pPr>
            <w:r>
              <w:rPr>
                <w:rFonts w:ascii="Arial" w:cs="Arial" w:eastAsia="Arial" w:hAnsi="Arial"/>
                <w:sz w:val="20"/>
                <w:szCs w:val="20"/>
                <w:color w:val="auto"/>
              </w:rPr>
              <w:t>203</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10.07</w:t>
            </w:r>
          </w:p>
        </w:tc>
        <w:tc>
          <w:tcPr>
            <w:tcW w:w="1980" w:type="dxa"/>
            <w:vAlign w:val="bottom"/>
            <w:gridSpan w:val="4"/>
          </w:tcPr>
          <w:p>
            <w:pPr>
              <w:ind w:left="100"/>
              <w:spacing w:after="0" w:line="216" w:lineRule="exact"/>
              <w:rPr>
                <w:sz w:val="20"/>
                <w:szCs w:val="20"/>
                <w:color w:val="auto"/>
              </w:rPr>
            </w:pPr>
            <w:r>
              <w:rPr>
                <w:rFonts w:ascii="Arial" w:cs="Arial" w:eastAsia="Arial" w:hAnsi="Arial"/>
                <w:sz w:val="20"/>
                <w:szCs w:val="20"/>
                <w:color w:val="auto"/>
                <w:w w:val="85"/>
              </w:rPr>
              <w:t>Successors and Assigns</w:t>
            </w:r>
          </w:p>
        </w:tc>
        <w:tc>
          <w:tcPr>
            <w:tcW w:w="920" w:type="dxa"/>
            <w:vAlign w:val="bottom"/>
          </w:tcPr>
          <w:p>
            <w:pPr>
              <w:jc w:val="right"/>
              <w:ind w:right="321"/>
              <w:spacing w:after="0" w:line="216" w:lineRule="exact"/>
              <w:rPr>
                <w:sz w:val="20"/>
                <w:szCs w:val="20"/>
                <w:color w:val="auto"/>
              </w:rPr>
            </w:pPr>
            <w:r>
              <w:rPr>
                <w:rFonts w:ascii="Arial" w:cs="Arial" w:eastAsia="Arial" w:hAnsi="Arial"/>
                <w:sz w:val="20"/>
                <w:szCs w:val="20"/>
                <w:color w:val="auto"/>
              </w:rPr>
              <w:t>204</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10.08</w:t>
            </w:r>
          </w:p>
        </w:tc>
        <w:tc>
          <w:tcPr>
            <w:tcW w:w="1300" w:type="dxa"/>
            <w:vAlign w:val="bottom"/>
            <w:gridSpan w:val="2"/>
          </w:tcPr>
          <w:p>
            <w:pPr>
              <w:ind w:left="100"/>
              <w:spacing w:after="0" w:line="216" w:lineRule="exact"/>
              <w:rPr>
                <w:sz w:val="20"/>
                <w:szCs w:val="20"/>
                <w:color w:val="auto"/>
              </w:rPr>
            </w:pPr>
            <w:r>
              <w:rPr>
                <w:rFonts w:ascii="Arial" w:cs="Arial" w:eastAsia="Arial" w:hAnsi="Arial"/>
                <w:sz w:val="20"/>
                <w:szCs w:val="20"/>
                <w:color w:val="auto"/>
                <w:w w:val="93"/>
              </w:rPr>
              <w:t>Confidentiality</w:t>
            </w: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211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10.09</w:t>
            </w:r>
          </w:p>
        </w:tc>
        <w:tc>
          <w:tcPr>
            <w:tcW w:w="1140" w:type="dxa"/>
            <w:vAlign w:val="bottom"/>
          </w:tcPr>
          <w:p>
            <w:pPr>
              <w:ind w:left="100"/>
              <w:spacing w:after="0"/>
              <w:rPr>
                <w:sz w:val="20"/>
                <w:szCs w:val="20"/>
                <w:color w:val="auto"/>
              </w:rPr>
            </w:pPr>
            <w:r>
              <w:rPr>
                <w:rFonts w:ascii="Arial" w:cs="Arial" w:eastAsia="Arial" w:hAnsi="Arial"/>
                <w:sz w:val="20"/>
                <w:szCs w:val="20"/>
                <w:color w:val="auto"/>
              </w:rPr>
              <w:t>Setoff  211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10.10</w:t>
            </w:r>
          </w:p>
        </w:tc>
        <w:tc>
          <w:tcPr>
            <w:tcW w:w="1140" w:type="dxa"/>
            <w:vAlign w:val="bottom"/>
          </w:tcPr>
          <w:p>
            <w:pPr>
              <w:ind w:left="100"/>
              <w:spacing w:after="0"/>
              <w:rPr>
                <w:sz w:val="20"/>
                <w:szCs w:val="20"/>
                <w:color w:val="auto"/>
              </w:rPr>
            </w:pPr>
            <w:r>
              <w:rPr>
                <w:rFonts w:ascii="Arial" w:cs="Arial" w:eastAsia="Arial" w:hAnsi="Arial"/>
                <w:sz w:val="20"/>
                <w:szCs w:val="20"/>
                <w:color w:val="auto"/>
                <w:w w:val="88"/>
              </w:rPr>
              <w:t>Counterparts</w:t>
            </w:r>
          </w:p>
        </w:tc>
        <w:tc>
          <w:tcPr>
            <w:tcW w:w="160" w:type="dxa"/>
            <w:vAlign w:val="bottom"/>
          </w:tcPr>
          <w:p>
            <w:pPr>
              <w:spacing w:after="0"/>
              <w:rPr>
                <w:sz w:val="19"/>
                <w:szCs w:val="19"/>
                <w:color w:val="auto"/>
              </w:rPr>
            </w:pPr>
          </w:p>
        </w:tc>
        <w:tc>
          <w:tcPr>
            <w:tcW w:w="520" w:type="dxa"/>
            <w:vAlign w:val="bottom"/>
          </w:tcPr>
          <w:p>
            <w:pPr>
              <w:jc w:val="right"/>
              <w:ind w:right="101"/>
              <w:spacing w:after="0"/>
              <w:rPr>
                <w:sz w:val="20"/>
                <w:szCs w:val="20"/>
                <w:color w:val="auto"/>
              </w:rPr>
            </w:pPr>
            <w:r>
              <w:rPr>
                <w:rFonts w:ascii="Arial" w:cs="Arial" w:eastAsia="Arial" w:hAnsi="Arial"/>
                <w:sz w:val="20"/>
                <w:szCs w:val="20"/>
                <w:color w:val="auto"/>
                <w:w w:val="89"/>
              </w:rPr>
              <w:t>212</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10.11</w:t>
            </w:r>
          </w:p>
        </w:tc>
        <w:tc>
          <w:tcPr>
            <w:tcW w:w="1140" w:type="dxa"/>
            <w:vAlign w:val="bottom"/>
          </w:tcPr>
          <w:p>
            <w:pPr>
              <w:ind w:left="100"/>
              <w:spacing w:after="0"/>
              <w:rPr>
                <w:sz w:val="20"/>
                <w:szCs w:val="20"/>
                <w:color w:val="auto"/>
              </w:rPr>
            </w:pPr>
            <w:r>
              <w:rPr>
                <w:rFonts w:ascii="Arial" w:cs="Arial" w:eastAsia="Arial" w:hAnsi="Arial"/>
                <w:sz w:val="20"/>
                <w:szCs w:val="20"/>
                <w:color w:val="auto"/>
              </w:rPr>
              <w:t>Integration</w:t>
            </w:r>
          </w:p>
        </w:tc>
        <w:tc>
          <w:tcPr>
            <w:tcW w:w="680" w:type="dxa"/>
            <w:vAlign w:val="bottom"/>
            <w:gridSpan w:val="2"/>
          </w:tcPr>
          <w:p>
            <w:pPr>
              <w:jc w:val="right"/>
              <w:ind w:right="261"/>
              <w:spacing w:after="0"/>
              <w:rPr>
                <w:sz w:val="20"/>
                <w:szCs w:val="20"/>
                <w:color w:val="auto"/>
              </w:rPr>
            </w:pPr>
            <w:r>
              <w:rPr>
                <w:rFonts w:ascii="Arial" w:cs="Arial" w:eastAsia="Arial" w:hAnsi="Arial"/>
                <w:sz w:val="20"/>
                <w:szCs w:val="20"/>
                <w:color w:val="auto"/>
                <w:w w:val="89"/>
              </w:rPr>
              <w:t>212</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10.12</w:t>
            </w:r>
          </w:p>
        </w:tc>
        <w:tc>
          <w:tcPr>
            <w:tcW w:w="3680" w:type="dxa"/>
            <w:vAlign w:val="bottom"/>
            <w:gridSpan w:val="6"/>
          </w:tcPr>
          <w:p>
            <w:pPr>
              <w:ind w:left="100"/>
              <w:spacing w:after="0"/>
              <w:rPr>
                <w:sz w:val="20"/>
                <w:szCs w:val="20"/>
                <w:color w:val="auto"/>
              </w:rPr>
            </w:pPr>
            <w:r>
              <w:rPr>
                <w:rFonts w:ascii="Arial" w:cs="Arial" w:eastAsia="Arial" w:hAnsi="Arial"/>
                <w:sz w:val="20"/>
                <w:szCs w:val="20"/>
                <w:color w:val="auto"/>
                <w:w w:val="92"/>
              </w:rPr>
              <w:t>Survival of Representations and Warranties</w:t>
            </w:r>
          </w:p>
        </w:tc>
        <w:tc>
          <w:tcPr>
            <w:tcW w:w="740" w:type="dxa"/>
            <w:vAlign w:val="bottom"/>
          </w:tcPr>
          <w:p>
            <w:pPr>
              <w:ind w:left="60"/>
              <w:spacing w:after="0"/>
              <w:rPr>
                <w:sz w:val="20"/>
                <w:szCs w:val="20"/>
                <w:color w:val="auto"/>
              </w:rPr>
            </w:pPr>
            <w:r>
              <w:rPr>
                <w:rFonts w:ascii="Arial" w:cs="Arial" w:eastAsia="Arial" w:hAnsi="Arial"/>
                <w:sz w:val="20"/>
                <w:szCs w:val="20"/>
                <w:color w:val="auto"/>
              </w:rPr>
              <w:t>212</w:t>
            </w:r>
          </w:p>
        </w:tc>
        <w:tc>
          <w:tcPr>
            <w:tcW w:w="3380" w:type="dxa"/>
            <w:vAlign w:val="bottom"/>
          </w:tcPr>
          <w:p>
            <w:pPr>
              <w:spacing w:after="0"/>
              <w:rPr>
                <w:sz w:val="19"/>
                <w:szCs w:val="19"/>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10.13</w:t>
            </w:r>
          </w:p>
        </w:tc>
        <w:tc>
          <w:tcPr>
            <w:tcW w:w="1140" w:type="dxa"/>
            <w:vAlign w:val="bottom"/>
          </w:tcPr>
          <w:p>
            <w:pPr>
              <w:ind w:left="100"/>
              <w:spacing w:after="0" w:line="216" w:lineRule="exact"/>
              <w:rPr>
                <w:sz w:val="20"/>
                <w:szCs w:val="20"/>
                <w:color w:val="auto"/>
              </w:rPr>
            </w:pPr>
            <w:r>
              <w:rPr>
                <w:rFonts w:ascii="Arial" w:cs="Arial" w:eastAsia="Arial" w:hAnsi="Arial"/>
                <w:sz w:val="20"/>
                <w:szCs w:val="20"/>
                <w:color w:val="auto"/>
                <w:w w:val="98"/>
              </w:rPr>
              <w:t>Severability</w:t>
            </w:r>
          </w:p>
        </w:tc>
        <w:tc>
          <w:tcPr>
            <w:tcW w:w="680" w:type="dxa"/>
            <w:vAlign w:val="bottom"/>
            <w:gridSpan w:val="2"/>
          </w:tcPr>
          <w:p>
            <w:pPr>
              <w:jc w:val="right"/>
              <w:ind w:right="161"/>
              <w:spacing w:after="0" w:line="216" w:lineRule="exact"/>
              <w:rPr>
                <w:sz w:val="20"/>
                <w:szCs w:val="20"/>
                <w:color w:val="auto"/>
              </w:rPr>
            </w:pPr>
            <w:r>
              <w:rPr>
                <w:rFonts w:ascii="Arial" w:cs="Arial" w:eastAsia="Arial" w:hAnsi="Arial"/>
                <w:sz w:val="20"/>
                <w:szCs w:val="20"/>
                <w:color w:val="auto"/>
              </w:rPr>
              <w:t>212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980" w:type="dxa"/>
            <w:vAlign w:val="bottom"/>
            <w:gridSpan w:val="4"/>
          </w:tcPr>
          <w:p>
            <w:pPr>
              <w:ind w:left="820"/>
              <w:spacing w:after="0" w:line="216" w:lineRule="exact"/>
              <w:rPr>
                <w:sz w:val="20"/>
                <w:szCs w:val="20"/>
                <w:color w:val="auto"/>
              </w:rPr>
            </w:pPr>
            <w:r>
              <w:rPr>
                <w:rFonts w:ascii="Arial" w:cs="Arial" w:eastAsia="Arial" w:hAnsi="Arial"/>
                <w:sz w:val="20"/>
                <w:szCs w:val="20"/>
                <w:color w:val="auto"/>
                <w:w w:val="93"/>
              </w:rPr>
              <w:t>Section 10.14</w:t>
            </w:r>
          </w:p>
        </w:tc>
        <w:tc>
          <w:tcPr>
            <w:tcW w:w="5820" w:type="dxa"/>
            <w:vAlign w:val="bottom"/>
            <w:gridSpan w:val="4"/>
          </w:tcPr>
          <w:p>
            <w:pPr>
              <w:jc w:val="right"/>
              <w:spacing w:after="0" w:line="216" w:lineRule="exact"/>
              <w:rPr>
                <w:sz w:val="20"/>
                <w:szCs w:val="20"/>
                <w:color w:val="auto"/>
              </w:rPr>
            </w:pPr>
            <w:r>
              <w:rPr>
                <w:rFonts w:ascii="Arial" w:cs="Arial" w:eastAsia="Arial" w:hAnsi="Arial"/>
                <w:sz w:val="20"/>
                <w:szCs w:val="20"/>
                <w:color w:val="auto"/>
                <w:w w:val="96"/>
              </w:rPr>
              <w:t>GOVERNING LAW, JURISDICTION, SERVICE OF PROCESS  213</w:t>
            </w: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10.15</w:t>
            </w:r>
          </w:p>
        </w:tc>
        <w:tc>
          <w:tcPr>
            <w:tcW w:w="3680" w:type="dxa"/>
            <w:vAlign w:val="bottom"/>
            <w:gridSpan w:val="6"/>
          </w:tcPr>
          <w:p>
            <w:pPr>
              <w:ind w:left="100"/>
              <w:spacing w:after="0"/>
              <w:rPr>
                <w:sz w:val="20"/>
                <w:szCs w:val="20"/>
                <w:color w:val="auto"/>
              </w:rPr>
            </w:pPr>
            <w:r>
              <w:rPr>
                <w:rFonts w:ascii="Arial" w:cs="Arial" w:eastAsia="Arial" w:hAnsi="Arial"/>
                <w:sz w:val="20"/>
                <w:szCs w:val="20"/>
                <w:color w:val="auto"/>
                <w:w w:val="97"/>
              </w:rPr>
              <w:t>WAIVER OF RIGHT TO TRIAL BY JURY</w:t>
            </w:r>
          </w:p>
        </w:tc>
        <w:tc>
          <w:tcPr>
            <w:tcW w:w="740" w:type="dxa"/>
            <w:vAlign w:val="bottom"/>
          </w:tcPr>
          <w:p>
            <w:pPr>
              <w:jc w:val="right"/>
              <w:ind w:right="221"/>
              <w:spacing w:after="0"/>
              <w:rPr>
                <w:sz w:val="20"/>
                <w:szCs w:val="20"/>
                <w:color w:val="auto"/>
              </w:rPr>
            </w:pPr>
            <w:r>
              <w:rPr>
                <w:rFonts w:ascii="Arial" w:cs="Arial" w:eastAsia="Arial" w:hAnsi="Arial"/>
                <w:sz w:val="20"/>
                <w:szCs w:val="20"/>
                <w:color w:val="auto"/>
              </w:rPr>
              <w:t>213</w:t>
            </w:r>
          </w:p>
        </w:tc>
        <w:tc>
          <w:tcPr>
            <w:tcW w:w="3380" w:type="dxa"/>
            <w:vAlign w:val="bottom"/>
          </w:tcPr>
          <w:p>
            <w:pPr>
              <w:spacing w:after="0"/>
              <w:rPr>
                <w:sz w:val="19"/>
                <w:szCs w:val="19"/>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20"/>
                <w:szCs w:val="20"/>
                <w:color w:val="auto"/>
                <w:w w:val="94"/>
              </w:rPr>
              <w:t>Section 10.16</w:t>
            </w:r>
          </w:p>
        </w:tc>
        <w:tc>
          <w:tcPr>
            <w:tcW w:w="1300" w:type="dxa"/>
            <w:vAlign w:val="bottom"/>
            <w:gridSpan w:val="2"/>
          </w:tcPr>
          <w:p>
            <w:pPr>
              <w:ind w:left="100"/>
              <w:spacing w:after="0"/>
              <w:rPr>
                <w:sz w:val="20"/>
                <w:szCs w:val="20"/>
                <w:color w:val="auto"/>
              </w:rPr>
            </w:pPr>
            <w:r>
              <w:rPr>
                <w:rFonts w:ascii="Arial" w:cs="Arial" w:eastAsia="Arial" w:hAnsi="Arial"/>
                <w:sz w:val="20"/>
                <w:szCs w:val="20"/>
                <w:color w:val="auto"/>
                <w:w w:val="95"/>
              </w:rPr>
              <w:t>Binding Effect</w:t>
            </w:r>
          </w:p>
        </w:tc>
        <w:tc>
          <w:tcPr>
            <w:tcW w:w="520" w:type="dxa"/>
            <w:vAlign w:val="bottom"/>
          </w:tcPr>
          <w:p>
            <w:pPr>
              <w:jc w:val="right"/>
              <w:spacing w:after="0"/>
              <w:rPr>
                <w:sz w:val="20"/>
                <w:szCs w:val="20"/>
                <w:color w:val="auto"/>
              </w:rPr>
            </w:pPr>
            <w:r>
              <w:rPr>
                <w:rFonts w:ascii="Arial" w:cs="Arial" w:eastAsia="Arial" w:hAnsi="Arial"/>
                <w:sz w:val="20"/>
                <w:szCs w:val="20"/>
                <w:color w:val="auto"/>
              </w:rPr>
              <w:t>214</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10.17</w:t>
            </w:r>
          </w:p>
        </w:tc>
        <w:tc>
          <w:tcPr>
            <w:tcW w:w="1820" w:type="dxa"/>
            <w:vAlign w:val="bottom"/>
            <w:gridSpan w:val="3"/>
          </w:tcPr>
          <w:p>
            <w:pPr>
              <w:ind w:left="100"/>
              <w:spacing w:after="0"/>
              <w:rPr>
                <w:sz w:val="20"/>
                <w:szCs w:val="20"/>
                <w:color w:val="auto"/>
              </w:rPr>
            </w:pPr>
            <w:r>
              <w:rPr>
                <w:rFonts w:ascii="Arial" w:cs="Arial" w:eastAsia="Arial" w:hAnsi="Arial"/>
                <w:sz w:val="20"/>
                <w:szCs w:val="20"/>
                <w:color w:val="auto"/>
                <w:w w:val="97"/>
              </w:rPr>
              <w:t>Judgment Currency</w:t>
            </w:r>
          </w:p>
        </w:tc>
        <w:tc>
          <w:tcPr>
            <w:tcW w:w="1080" w:type="dxa"/>
            <w:vAlign w:val="bottom"/>
            <w:gridSpan w:val="2"/>
          </w:tcPr>
          <w:p>
            <w:pPr>
              <w:jc w:val="right"/>
              <w:ind w:right="661"/>
              <w:spacing w:after="0"/>
              <w:rPr>
                <w:sz w:val="20"/>
                <w:szCs w:val="20"/>
                <w:color w:val="auto"/>
              </w:rPr>
            </w:pPr>
            <w:r>
              <w:rPr>
                <w:rFonts w:ascii="Arial" w:cs="Arial" w:eastAsia="Arial" w:hAnsi="Arial"/>
                <w:sz w:val="20"/>
                <w:szCs w:val="20"/>
                <w:color w:val="auto"/>
                <w:w w:val="89"/>
              </w:rPr>
              <w:t>214</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10.18</w:t>
            </w:r>
          </w:p>
        </w:tc>
        <w:tc>
          <w:tcPr>
            <w:tcW w:w="1300" w:type="dxa"/>
            <w:vAlign w:val="bottom"/>
            <w:gridSpan w:val="2"/>
          </w:tcPr>
          <w:p>
            <w:pPr>
              <w:ind w:left="100"/>
              <w:spacing w:after="0" w:line="216" w:lineRule="exact"/>
              <w:rPr>
                <w:sz w:val="20"/>
                <w:szCs w:val="20"/>
                <w:color w:val="auto"/>
              </w:rPr>
            </w:pPr>
            <w:r>
              <w:rPr>
                <w:rFonts w:ascii="Arial" w:cs="Arial" w:eastAsia="Arial" w:hAnsi="Arial"/>
                <w:sz w:val="20"/>
                <w:szCs w:val="20"/>
                <w:color w:val="auto"/>
                <w:w w:val="95"/>
              </w:rPr>
              <w:t>Lender Action</w:t>
            </w: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214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10.19</w:t>
            </w:r>
          </w:p>
        </w:tc>
        <w:tc>
          <w:tcPr>
            <w:tcW w:w="1820" w:type="dxa"/>
            <w:vAlign w:val="bottom"/>
            <w:gridSpan w:val="3"/>
          </w:tcPr>
          <w:p>
            <w:pPr>
              <w:ind w:left="100"/>
              <w:spacing w:after="0" w:line="216" w:lineRule="exact"/>
              <w:rPr>
                <w:sz w:val="20"/>
                <w:szCs w:val="20"/>
                <w:color w:val="auto"/>
              </w:rPr>
            </w:pPr>
            <w:r>
              <w:rPr>
                <w:rFonts w:ascii="Arial" w:cs="Arial" w:eastAsia="Arial" w:hAnsi="Arial"/>
                <w:sz w:val="20"/>
                <w:szCs w:val="20"/>
                <w:color w:val="auto"/>
              </w:rPr>
              <w:t>USA PATRIOT Act</w:t>
            </w:r>
          </w:p>
        </w:tc>
        <w:tc>
          <w:tcPr>
            <w:tcW w:w="1080" w:type="dxa"/>
            <w:vAlign w:val="bottom"/>
            <w:gridSpan w:val="2"/>
          </w:tcPr>
          <w:p>
            <w:pPr>
              <w:jc w:val="right"/>
              <w:ind w:right="621"/>
              <w:spacing w:after="0" w:line="216" w:lineRule="exact"/>
              <w:rPr>
                <w:sz w:val="20"/>
                <w:szCs w:val="20"/>
                <w:color w:val="auto"/>
              </w:rPr>
            </w:pPr>
            <w:r>
              <w:rPr>
                <w:rFonts w:ascii="Arial" w:cs="Arial" w:eastAsia="Arial" w:hAnsi="Arial"/>
                <w:sz w:val="20"/>
                <w:szCs w:val="20"/>
                <w:color w:val="auto"/>
              </w:rPr>
              <w:t>214</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10.20</w:t>
            </w:r>
          </w:p>
        </w:tc>
        <w:tc>
          <w:tcPr>
            <w:tcW w:w="1820" w:type="dxa"/>
            <w:vAlign w:val="bottom"/>
            <w:gridSpan w:val="3"/>
          </w:tcPr>
          <w:p>
            <w:pPr>
              <w:ind w:left="100"/>
              <w:spacing w:after="0"/>
              <w:rPr>
                <w:sz w:val="20"/>
                <w:szCs w:val="20"/>
                <w:color w:val="auto"/>
              </w:rPr>
            </w:pPr>
            <w:r>
              <w:rPr>
                <w:rFonts w:ascii="Arial" w:cs="Arial" w:eastAsia="Arial" w:hAnsi="Arial"/>
                <w:sz w:val="20"/>
                <w:szCs w:val="20"/>
                <w:color w:val="auto"/>
                <w:w w:val="92"/>
              </w:rPr>
              <w:t>Obligations Absolute</w:t>
            </w:r>
          </w:p>
        </w:tc>
        <w:tc>
          <w:tcPr>
            <w:tcW w:w="160" w:type="dxa"/>
            <w:vAlign w:val="bottom"/>
          </w:tcPr>
          <w:p>
            <w:pPr>
              <w:spacing w:after="0"/>
              <w:rPr>
                <w:sz w:val="19"/>
                <w:szCs w:val="19"/>
                <w:color w:val="auto"/>
              </w:rPr>
            </w:pPr>
          </w:p>
        </w:tc>
        <w:tc>
          <w:tcPr>
            <w:tcW w:w="920" w:type="dxa"/>
            <w:vAlign w:val="bottom"/>
          </w:tcPr>
          <w:p>
            <w:pPr>
              <w:jc w:val="right"/>
              <w:ind w:right="521"/>
              <w:spacing w:after="0"/>
              <w:rPr>
                <w:sz w:val="20"/>
                <w:szCs w:val="20"/>
                <w:color w:val="auto"/>
              </w:rPr>
            </w:pPr>
            <w:r>
              <w:rPr>
                <w:rFonts w:ascii="Arial" w:cs="Arial" w:eastAsia="Arial" w:hAnsi="Arial"/>
                <w:sz w:val="20"/>
                <w:szCs w:val="20"/>
                <w:color w:val="auto"/>
                <w:w w:val="83"/>
              </w:rPr>
              <w:t>215</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10.21</w:t>
            </w:r>
          </w:p>
        </w:tc>
        <w:tc>
          <w:tcPr>
            <w:tcW w:w="4420" w:type="dxa"/>
            <w:vAlign w:val="bottom"/>
            <w:gridSpan w:val="7"/>
          </w:tcPr>
          <w:p>
            <w:pPr>
              <w:ind w:left="100"/>
              <w:spacing w:after="0"/>
              <w:rPr>
                <w:sz w:val="20"/>
                <w:szCs w:val="20"/>
                <w:color w:val="auto"/>
              </w:rPr>
            </w:pPr>
            <w:r>
              <w:rPr>
                <w:rFonts w:ascii="Arial" w:cs="Arial" w:eastAsia="Arial" w:hAnsi="Arial"/>
                <w:sz w:val="20"/>
                <w:szCs w:val="20"/>
                <w:color w:val="auto"/>
              </w:rPr>
              <w:t>No Advisory or Fiduciary Responsibility  215</w:t>
            </w:r>
          </w:p>
        </w:tc>
        <w:tc>
          <w:tcPr>
            <w:tcW w:w="338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w w:val="94"/>
              </w:rPr>
              <w:t>Section 10.22</w:t>
            </w:r>
          </w:p>
        </w:tc>
        <w:tc>
          <w:tcPr>
            <w:tcW w:w="7800" w:type="dxa"/>
            <w:vAlign w:val="bottom"/>
            <w:gridSpan w:val="8"/>
          </w:tcPr>
          <w:p>
            <w:pPr>
              <w:ind w:left="80"/>
              <w:spacing w:after="0"/>
              <w:rPr>
                <w:sz w:val="20"/>
                <w:szCs w:val="20"/>
                <w:color w:val="auto"/>
              </w:rPr>
            </w:pPr>
            <w:r>
              <w:rPr>
                <w:rFonts w:ascii="Arial" w:cs="Arial" w:eastAsia="Arial" w:hAnsi="Arial"/>
                <w:sz w:val="20"/>
                <w:szCs w:val="20"/>
                <w:color w:val="auto"/>
              </w:rPr>
              <w:t>Acknowledgment and Consent to Bail-In of Affected Financial Institutions  216</w:t>
            </w:r>
          </w:p>
        </w:tc>
      </w:tr>
      <w:tr>
        <w:trPr>
          <w:trHeight w:val="216"/>
        </w:trPr>
        <w:tc>
          <w:tcPr>
            <w:tcW w:w="1180" w:type="dxa"/>
            <w:vAlign w:val="bottom"/>
          </w:tcPr>
          <w:p>
            <w:pPr>
              <w:spacing w:after="0" w:line="216" w:lineRule="exact"/>
              <w:rPr>
                <w:sz w:val="20"/>
                <w:szCs w:val="20"/>
                <w:color w:val="auto"/>
              </w:rPr>
            </w:pPr>
            <w:r>
              <w:rPr>
                <w:rFonts w:ascii="Arial" w:cs="Arial" w:eastAsia="Arial" w:hAnsi="Arial"/>
                <w:sz w:val="20"/>
                <w:szCs w:val="20"/>
                <w:color w:val="auto"/>
                <w:w w:val="94"/>
              </w:rPr>
              <w:t>Section 10.23</w:t>
            </w:r>
          </w:p>
        </w:tc>
        <w:tc>
          <w:tcPr>
            <w:tcW w:w="4420" w:type="dxa"/>
            <w:vAlign w:val="bottom"/>
            <w:gridSpan w:val="7"/>
          </w:tcPr>
          <w:p>
            <w:pPr>
              <w:ind w:left="80"/>
              <w:spacing w:after="0" w:line="216" w:lineRule="exact"/>
              <w:rPr>
                <w:sz w:val="20"/>
                <w:szCs w:val="20"/>
                <w:color w:val="auto"/>
              </w:rPr>
            </w:pPr>
            <w:r>
              <w:rPr>
                <w:rFonts w:ascii="Arial" w:cs="Arial" w:eastAsia="Arial" w:hAnsi="Arial"/>
                <w:sz w:val="20"/>
                <w:szCs w:val="20"/>
                <w:color w:val="auto"/>
                <w:w w:val="94"/>
              </w:rPr>
              <w:t>Acknowledgement Regarding Any Supported QFCs</w:t>
            </w:r>
          </w:p>
        </w:tc>
        <w:tc>
          <w:tcPr>
            <w:tcW w:w="3380" w:type="dxa"/>
            <w:vAlign w:val="bottom"/>
          </w:tcPr>
          <w:p>
            <w:pPr>
              <w:jc w:val="right"/>
              <w:ind w:right="2981"/>
              <w:spacing w:after="0" w:line="216" w:lineRule="exact"/>
              <w:rPr>
                <w:sz w:val="20"/>
                <w:szCs w:val="20"/>
                <w:color w:val="auto"/>
              </w:rPr>
            </w:pPr>
            <w:r>
              <w:rPr>
                <w:rFonts w:ascii="Arial" w:cs="Arial" w:eastAsia="Arial" w:hAnsi="Arial"/>
                <w:sz w:val="20"/>
                <w:szCs w:val="20"/>
                <w:color w:val="auto"/>
                <w:w w:val="83"/>
              </w:rPr>
              <w:t>216</w:t>
            </w:r>
          </w:p>
        </w:tc>
      </w:tr>
      <w:tr>
        <w:trPr>
          <w:trHeight w:val="250"/>
        </w:trPr>
        <w:tc>
          <w:tcPr>
            <w:tcW w:w="1180" w:type="dxa"/>
            <w:vAlign w:val="bottom"/>
          </w:tcPr>
          <w:p>
            <w:pPr>
              <w:spacing w:after="0"/>
              <w:rPr>
                <w:sz w:val="20"/>
                <w:szCs w:val="20"/>
                <w:color w:val="auto"/>
              </w:rPr>
            </w:pPr>
            <w:r>
              <w:rPr>
                <w:rFonts w:ascii="Arial" w:cs="Arial" w:eastAsia="Arial" w:hAnsi="Arial"/>
                <w:sz w:val="20"/>
                <w:szCs w:val="20"/>
                <w:color w:val="auto"/>
                <w:w w:val="94"/>
              </w:rPr>
              <w:t>Section 10.24</w:t>
            </w:r>
          </w:p>
        </w:tc>
        <w:tc>
          <w:tcPr>
            <w:tcW w:w="4420" w:type="dxa"/>
            <w:vAlign w:val="bottom"/>
            <w:gridSpan w:val="7"/>
          </w:tcPr>
          <w:p>
            <w:pPr>
              <w:ind w:left="80"/>
              <w:spacing w:after="0"/>
              <w:rPr>
                <w:sz w:val="20"/>
                <w:szCs w:val="20"/>
                <w:color w:val="auto"/>
              </w:rPr>
            </w:pPr>
            <w:r>
              <w:rPr>
                <w:rFonts w:ascii="Arial" w:cs="Arial" w:eastAsia="Arial" w:hAnsi="Arial"/>
                <w:sz w:val="20"/>
                <w:szCs w:val="20"/>
                <w:color w:val="auto"/>
                <w:w w:val="97"/>
              </w:rPr>
              <w:t>Acknowledgment of Intercreditor Agreements  216</w:t>
            </w:r>
          </w:p>
        </w:tc>
        <w:tc>
          <w:tcPr>
            <w:tcW w:w="3380" w:type="dxa"/>
            <w:vAlign w:val="bottom"/>
          </w:tcPr>
          <w:p>
            <w:pPr>
              <w:spacing w:after="0"/>
              <w:rPr>
                <w:sz w:val="21"/>
                <w:szCs w:val="2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319"/>
        <w:spacing w:after="0"/>
        <w:rPr>
          <w:sz w:val="20"/>
          <w:szCs w:val="20"/>
          <w:color w:val="auto"/>
        </w:rPr>
      </w:pPr>
      <w:r>
        <w:rPr>
          <w:rFonts w:ascii="Arial" w:cs="Arial" w:eastAsia="Arial" w:hAnsi="Arial"/>
          <w:sz w:val="20"/>
          <w:szCs w:val="20"/>
          <w:color w:val="auto"/>
        </w:rPr>
        <w:t>-viii-</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SCHEDULES</w:t>
      </w:r>
    </w:p>
    <w:p>
      <w:pPr>
        <w:spacing w:after="0" w:line="249" w:lineRule="exact"/>
        <w:rPr>
          <w:sz w:val="20"/>
          <w:szCs w:val="20"/>
          <w:color w:val="auto"/>
        </w:rPr>
      </w:pPr>
    </w:p>
    <w:p>
      <w:pPr>
        <w:ind w:left="140" w:right="3359"/>
        <w:spacing w:after="0" w:line="247" w:lineRule="auto"/>
        <w:rPr>
          <w:sz w:val="20"/>
          <w:szCs w:val="20"/>
          <w:color w:val="auto"/>
        </w:rPr>
      </w:pPr>
      <w:r>
        <w:rPr>
          <w:rFonts w:ascii="Arial" w:cs="Arial" w:eastAsia="Arial" w:hAnsi="Arial"/>
          <w:sz w:val="20"/>
          <w:szCs w:val="20"/>
          <w:color w:val="auto"/>
        </w:rPr>
        <w:t>Schedule 2.01(A) — Initial Term Commitments Schedule 2.01(B) — Revolving Credit Commitments Schedule 6.12 — Post-Closing Covenants</w:t>
      </w:r>
    </w:p>
    <w:p>
      <w:pPr>
        <w:spacing w:after="0" w:line="2"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20"/>
          <w:szCs w:val="20"/>
          <w:color w:val="auto"/>
        </w:rPr>
        <w:t>Schedule 10.02 —</w:t>
      </w:r>
      <w:r>
        <w:rPr>
          <w:sz w:val="20"/>
          <w:szCs w:val="20"/>
          <w:color w:val="auto"/>
        </w:rPr>
        <w:tab/>
      </w:r>
      <w:r>
        <w:rPr>
          <w:rFonts w:ascii="Arial" w:cs="Arial" w:eastAsia="Arial" w:hAnsi="Arial"/>
          <w:sz w:val="18"/>
          <w:szCs w:val="18"/>
          <w:color w:val="auto"/>
        </w:rPr>
        <w:t>Administrative Agent’s Office, Certain Addresses for Notices</w:t>
      </w: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EXHIBITS</w:t>
      </w:r>
    </w:p>
    <w:p>
      <w:pPr>
        <w:spacing w:after="0" w:line="249"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f</w:t>
      </w:r>
      <w:r>
        <w:rPr>
          <w:rFonts w:ascii="Arial" w:cs="Arial" w:eastAsia="Arial" w:hAnsi="Arial"/>
          <w:sz w:val="20"/>
          <w:szCs w:val="20"/>
          <w:color w:val="auto"/>
        </w:rPr>
        <w:t>orm of</w:t>
      </w:r>
    </w:p>
    <w:p>
      <w:pPr>
        <w:spacing w:after="0" w:line="256" w:lineRule="exact"/>
        <w:rPr>
          <w:sz w:val="20"/>
          <w:szCs w:val="20"/>
          <w:color w:val="auto"/>
        </w:rPr>
      </w:pPr>
    </w:p>
    <w:p>
      <w:pPr>
        <w:ind w:left="140" w:right="3419"/>
        <w:spacing w:after="0"/>
        <w:rPr>
          <w:sz w:val="20"/>
          <w:szCs w:val="20"/>
          <w:color w:val="auto"/>
        </w:rPr>
      </w:pPr>
      <w:r>
        <w:rPr>
          <w:rFonts w:ascii="Arial" w:cs="Arial" w:eastAsia="Arial" w:hAnsi="Arial"/>
          <w:sz w:val="20"/>
          <w:szCs w:val="20"/>
          <w:color w:val="auto"/>
        </w:rPr>
        <w:t>Exhibit A</w:t>
      </w:r>
      <w:r>
        <w:rPr>
          <w:sz w:val="20"/>
          <w:szCs w:val="20"/>
          <w:color w:val="auto"/>
        </w:rPr>
        <w:t xml:space="preserve"> </w:t>
      </w:r>
      <w:r>
        <w:rPr>
          <w:rFonts w:ascii="Arial" w:cs="Arial" w:eastAsia="Arial" w:hAnsi="Arial"/>
          <w:sz w:val="20"/>
          <w:szCs w:val="20"/>
          <w:color w:val="auto"/>
        </w:rPr>
        <w:t>— Committed Loan Notice Exhibit C-1 — Term Note Exhibit C-2 — Revolving Credit Note Exhibit D-1 — Closing Date Certificate Exhibit D-2 — Compliance Certificate Exhibit E — Assignment and Assumption Exhibit F — Guaranty Exhibit G — Security Agreement</w:t>
      </w:r>
    </w:p>
    <w:p>
      <w:pPr>
        <w:spacing w:after="0" w:line="230" w:lineRule="exact"/>
        <w:rPr>
          <w:sz w:val="20"/>
          <w:szCs w:val="20"/>
          <w:color w:val="auto"/>
        </w:rPr>
      </w:pPr>
    </w:p>
    <w:p>
      <w:pPr>
        <w:ind w:left="140" w:right="2599"/>
        <w:spacing w:after="0"/>
        <w:rPr>
          <w:sz w:val="20"/>
          <w:szCs w:val="20"/>
          <w:color w:val="auto"/>
        </w:rPr>
      </w:pPr>
      <w:r>
        <w:rPr>
          <w:rFonts w:ascii="Arial" w:cs="Arial" w:eastAsia="Arial" w:hAnsi="Arial"/>
          <w:sz w:val="20"/>
          <w:szCs w:val="20"/>
          <w:color w:val="auto"/>
        </w:rPr>
        <w:t>Exhibit H</w:t>
      </w:r>
      <w:r>
        <w:rPr>
          <w:sz w:val="20"/>
          <w:szCs w:val="20"/>
          <w:color w:val="auto"/>
        </w:rPr>
        <w:t xml:space="preserve"> </w:t>
      </w:r>
      <w:r>
        <w:rPr>
          <w:rFonts w:ascii="Arial" w:cs="Arial" w:eastAsia="Arial" w:hAnsi="Arial"/>
          <w:sz w:val="20"/>
          <w:szCs w:val="20"/>
          <w:color w:val="auto"/>
        </w:rPr>
        <w:t>— Discounted Prepayment Option Notice Exhibit I — Lender Participation Notice</w:t>
      </w:r>
    </w:p>
    <w:p>
      <w:pPr>
        <w:spacing w:after="0" w:line="225" w:lineRule="exact"/>
        <w:rPr>
          <w:sz w:val="20"/>
          <w:szCs w:val="20"/>
          <w:color w:val="auto"/>
        </w:rPr>
      </w:pPr>
    </w:p>
    <w:p>
      <w:pPr>
        <w:ind w:left="140" w:right="2479"/>
        <w:spacing w:after="0" w:line="252" w:lineRule="auto"/>
        <w:rPr>
          <w:sz w:val="20"/>
          <w:szCs w:val="20"/>
          <w:color w:val="auto"/>
        </w:rPr>
      </w:pPr>
      <w:r>
        <w:rPr>
          <w:rFonts w:ascii="Arial" w:cs="Arial" w:eastAsia="Arial" w:hAnsi="Arial"/>
          <w:sz w:val="19"/>
          <w:szCs w:val="19"/>
          <w:color w:val="auto"/>
        </w:rPr>
        <w:t>Exhibit J — Discounted Voluntary Prepayment Notice Exhibit K — Form of Pari Passu Intercreditor Agreement Exhibit L — United States Tax Compliance Certificate Exhibit</w:t>
      </w:r>
    </w:p>
    <w:p>
      <w:pPr>
        <w:ind w:left="140" w:right="2639" w:hanging="5"/>
        <w:spacing w:after="0" w:line="244" w:lineRule="auto"/>
        <w:tabs>
          <w:tab w:leader="none" w:pos="514" w:val="left"/>
        </w:tabs>
        <w:numPr>
          <w:ilvl w:val="0"/>
          <w:numId w:val="47"/>
        </w:numPr>
        <w:rPr>
          <w:rFonts w:ascii="Arial" w:cs="Arial" w:eastAsia="Arial" w:hAnsi="Arial"/>
          <w:sz w:val="20"/>
          <w:szCs w:val="20"/>
          <w:color w:val="auto"/>
        </w:rPr>
      </w:pPr>
      <w:r>
        <w:rPr>
          <w:rFonts w:ascii="Arial" w:cs="Arial" w:eastAsia="Arial" w:hAnsi="Arial"/>
          <w:sz w:val="20"/>
          <w:szCs w:val="20"/>
          <w:color w:val="auto"/>
        </w:rPr>
        <w:t>— Form of Junior Lien Intercreditor Agreement Exhibit N — Solvency Certificate Exhibit O — Form of Secured Party Joinder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379"/>
        <w:spacing w:after="0"/>
        <w:rPr>
          <w:sz w:val="20"/>
          <w:szCs w:val="20"/>
          <w:color w:val="auto"/>
        </w:rPr>
      </w:pPr>
      <w:r>
        <w:rPr>
          <w:rFonts w:ascii="Arial" w:cs="Arial" w:eastAsia="Arial" w:hAnsi="Arial"/>
          <w:sz w:val="20"/>
          <w:szCs w:val="20"/>
          <w:color w:val="auto"/>
        </w:rPr>
        <w:t>-ix-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CREDIT AGREEMENT</w:t>
      </w:r>
    </w:p>
    <w:p>
      <w:pPr>
        <w:spacing w:after="0" w:line="256" w:lineRule="exact"/>
        <w:rPr>
          <w:sz w:val="20"/>
          <w:szCs w:val="20"/>
          <w:color w:val="auto"/>
        </w:rPr>
      </w:pPr>
    </w:p>
    <w:p>
      <w:pPr>
        <w:jc w:val="both"/>
        <w:ind w:left="140" w:firstLine="648"/>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CREDIT AGREEMENT</w:t>
      </w:r>
      <w:r>
        <w:rPr>
          <w:rFonts w:ascii="Arial" w:cs="Arial" w:eastAsia="Arial" w:hAnsi="Arial"/>
          <w:sz w:val="20"/>
          <w:szCs w:val="20"/>
          <w:color w:val="auto"/>
        </w:rPr>
        <w:t xml:space="preserve"> is entered into as of October 14, 2020 (the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ARRAY</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TECHNOLOGIES, INC., </w:t>
      </w:r>
      <w:r>
        <w:rPr>
          <w:rFonts w:ascii="Arial" w:cs="Arial" w:eastAsia="Arial" w:hAnsi="Arial"/>
          <w:sz w:val="20"/>
          <w:szCs w:val="20"/>
          <w:color w:val="auto"/>
        </w:rPr>
        <w:t>a New Mexico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w:t>
      </w:r>
      <w:r>
        <w:rPr>
          <w:rFonts w:ascii="Arial" w:cs="Arial" w:eastAsia="Arial" w:hAnsi="Arial"/>
          <w:sz w:val="20"/>
          <w:szCs w:val="20"/>
          <w:b w:val="1"/>
          <w:bCs w:val="1"/>
          <w:color w:val="auto"/>
        </w:rPr>
        <w:t xml:space="preserve"> ATI INVESTMENT SUB, INC.</w:t>
      </w:r>
      <w:r>
        <w:rPr>
          <w:rFonts w:ascii="Arial" w:cs="Arial" w:eastAsia="Arial" w:hAnsi="Arial"/>
          <w:sz w:val="20"/>
          <w:szCs w:val="20"/>
          <w:color w:val="auto"/>
        </w:rPr>
        <w:t>, a Delaware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GOLDMAN SACHS BANK USA</w:t>
      </w:r>
      <w:r>
        <w:rPr>
          <w:rFonts w:ascii="Arial" w:cs="Arial" w:eastAsia="Arial" w:hAnsi="Arial"/>
          <w:sz w:val="20"/>
          <w:szCs w:val="20"/>
          <w:color w:val="auto"/>
        </w:rPr>
        <w:t xml:space="preserve"> (“</w:t>
      </w:r>
      <w:r>
        <w:rPr>
          <w:rFonts w:ascii="Arial" w:cs="Arial" w:eastAsia="Arial" w:hAnsi="Arial"/>
          <w:sz w:val="20"/>
          <w:szCs w:val="20"/>
          <w:u w:val="single" w:color="auto"/>
          <w:color w:val="auto"/>
        </w:rPr>
        <w:t>Goldman Sachs</w:t>
      </w:r>
      <w:r>
        <w:rPr>
          <w:rFonts w:ascii="Arial" w:cs="Arial" w:eastAsia="Arial" w:hAnsi="Arial"/>
          <w:sz w:val="20"/>
          <w:szCs w:val="20"/>
          <w:color w:val="auto"/>
        </w:rPr>
        <w:t>”), as Administrative Agent, Collateral Agent and each L/C Issuer and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29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PRELIMINARY STATEMENTS</w:t>
      </w:r>
    </w:p>
    <w:p>
      <w:pPr>
        <w:spacing w:after="0" w:line="243" w:lineRule="exact"/>
        <w:rPr>
          <w:sz w:val="20"/>
          <w:szCs w:val="20"/>
          <w:color w:val="auto"/>
        </w:rPr>
      </w:pPr>
    </w:p>
    <w:p>
      <w:pPr>
        <w:jc w:val="both"/>
        <w:ind w:left="14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Lenders extend credit directly to or on behalf of the Borrower in the form of (i)</w:t>
      </w:r>
      <w:r>
        <w:rPr>
          <w:rFonts w:ascii="Arial" w:cs="Arial" w:eastAsia="Arial" w:hAnsi="Arial"/>
          <w:sz w:val="20"/>
          <w:szCs w:val="20"/>
          <w:b w:val="1"/>
          <w:bCs w:val="1"/>
          <w:color w:val="auto"/>
        </w:rPr>
        <w:t xml:space="preserve"> </w:t>
      </w:r>
      <w:r>
        <w:rPr>
          <w:rFonts w:ascii="Arial" w:cs="Arial" w:eastAsia="Arial" w:hAnsi="Arial"/>
          <w:sz w:val="20"/>
          <w:szCs w:val="20"/>
          <w:color w:val="auto"/>
        </w:rPr>
        <w:t>Initial Term Loans in an initial aggregate principal amount equal to $575.0 million and (ii) a Revolving Credit Facility in an initial aggregate principal amount of $150.0 million.</w:t>
      </w:r>
    </w:p>
    <w:p>
      <w:pPr>
        <w:spacing w:after="0" w:line="218" w:lineRule="exact"/>
        <w:rPr>
          <w:sz w:val="20"/>
          <w:szCs w:val="20"/>
          <w:color w:val="auto"/>
        </w:rPr>
      </w:pPr>
    </w:p>
    <w:p>
      <w:pPr>
        <w:jc w:val="both"/>
        <w:ind w:left="140" w:firstLine="647"/>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proceeds of the Initial Term Loans and the Initial Revolving Borrowing (to the extent permitted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definition of the term “Permitted Initial Revolving Borrowing”), together with cash on hand at Holdings and its Subsidiaries, will be used by the Borrower on the Closing Date (i) to finance the Closing Distribution (as defined below), (ii) to pay any Transaction Expenses (as defined below), (iii) to pay for the Closing Date Refinancing (as defined below), and (iv) for working capital and general corporate purposes.</w:t>
      </w:r>
    </w:p>
    <w:p>
      <w:pPr>
        <w:spacing w:after="0" w:line="225" w:lineRule="exact"/>
        <w:rPr>
          <w:sz w:val="20"/>
          <w:szCs w:val="20"/>
          <w:color w:val="auto"/>
        </w:rPr>
      </w:pPr>
    </w:p>
    <w:p>
      <w:pPr>
        <w:jc w:val="both"/>
        <w:ind w:left="14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the parties hereto covenant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ARTICLE 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Definitions and Accounting Terms</w:t>
      </w:r>
    </w:p>
    <w:p>
      <w:pPr>
        <w:spacing w:after="0" w:line="32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Discount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w:t>
      </w:r>
      <w:r>
        <w:rPr>
          <w:rFonts w:ascii="Arial" w:cs="Arial" w:eastAsia="Arial" w:hAnsi="Arial"/>
          <w:sz w:val="20"/>
          <w:szCs w:val="20"/>
          <w:color w:val="auto"/>
        </w:rPr>
        <w: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Changes</w:t>
      </w:r>
      <w:r>
        <w:rPr>
          <w:rFonts w:ascii="Arial" w:cs="Arial" w:eastAsia="Arial" w:hAnsi="Arial"/>
          <w:sz w:val="20"/>
          <w:szCs w:val="20"/>
          <w:color w:val="auto"/>
        </w:rPr>
        <w:t>” has the meaning specified in the definition of “</w:t>
      </w:r>
      <w:r>
        <w:rPr>
          <w:rFonts w:ascii="Arial" w:cs="Arial" w:eastAsia="Arial" w:hAnsi="Arial"/>
          <w:sz w:val="20"/>
          <w:szCs w:val="20"/>
          <w:u w:val="single" w:color="auto"/>
          <w:color w:val="auto"/>
        </w:rPr>
        <w:t>GAAP</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means with respect to any Person (x) Indebtedness (1) of any other Person or any of its Subsidiaries existing at the time such other Person becomes a Restricted Subsidiary, or (2) assumed in connection with the acquisition of assets from such other Person, in each case whether or not Incurred by such other Person in connection with such other Person becoming a Restricted Subsidiary of Holdings or such acquisition or (3) of a Person at the time such Person merges with or into or consolidates or otherwise combines with the Borrower or any Restricted Subsidiary and (y) Indebtedness secured by a Lien encumbering any asset acquired by such Person. Acquired Indebtedness shall be deemed to have been Incurred, with respect to clause (x)(1) of the preceding sentence, on the date such Person becomes a Restricted Subsidiary and, with respect to clause (x)(2) of the preceding sentence, on the date of consummation of such acquisition of assets and, with respect to clause (x)(3) of the preceding sentence, on the date of the relevant merger, amalgamation, consolidation or other combination.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65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Assets</w:t>
      </w:r>
      <w:r>
        <w:rPr>
          <w:rFonts w:ascii="Arial" w:cs="Arial" w:eastAsia="Arial" w:hAnsi="Arial"/>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80" w:firstLine="1289"/>
        <w:spacing w:after="0" w:line="246" w:lineRule="auto"/>
        <w:tabs>
          <w:tab w:leader="none" w:pos="1949"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property or assets (other than Capital Stock) used or to be used by the Borrower,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231" w:lineRule="exact"/>
        <w:rPr>
          <w:rFonts w:ascii="Arial" w:cs="Arial" w:eastAsia="Arial" w:hAnsi="Arial"/>
          <w:sz w:val="20"/>
          <w:szCs w:val="20"/>
          <w:color w:val="auto"/>
        </w:rPr>
      </w:pPr>
    </w:p>
    <w:p>
      <w:pPr>
        <w:ind w:left="140" w:right="100" w:firstLine="1289"/>
        <w:spacing w:after="0" w:line="260" w:lineRule="auto"/>
        <w:tabs>
          <w:tab w:leader="none" w:pos="1949"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Capital Stock of a Person that is engaged in a Similar Business and becomes a Restricted Subsidiary as a result of the acquisition of such Capital Stock by the Borrower or a Restricted Subsidiary; or</w:t>
      </w:r>
    </w:p>
    <w:p>
      <w:pPr>
        <w:spacing w:after="0" w:line="203" w:lineRule="exact"/>
        <w:rPr>
          <w:rFonts w:ascii="Arial" w:cs="Arial" w:eastAsia="Arial" w:hAnsi="Arial"/>
          <w:sz w:val="20"/>
          <w:szCs w:val="20"/>
          <w:color w:val="auto"/>
        </w:rPr>
      </w:pPr>
    </w:p>
    <w:p>
      <w:pPr>
        <w:ind w:left="1940" w:hanging="511"/>
        <w:spacing w:after="0"/>
        <w:tabs>
          <w:tab w:leader="none" w:pos="19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Capital Stock constituting a minority interest in any Person that at such time is a Restricted Subsidiary.</w:t>
      </w:r>
    </w:p>
    <w:p>
      <w:pPr>
        <w:spacing w:after="0" w:line="25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324" w:lineRule="exact"/>
        <w:rPr>
          <w:sz w:val="20"/>
          <w:szCs w:val="20"/>
          <w:color w:val="auto"/>
        </w:rPr>
      </w:pPr>
    </w:p>
    <w:p>
      <w:pPr>
        <w:jc w:val="both"/>
        <w:ind w:left="140" w:right="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Goldman Sachs (and any of its Affiliates selected by Goldman Sachs to act as administrative agent for any of the facilities provided hereunder), in its capacity as administrative agent under the Loan Documents, or any successor administrative agent appointed in accordance with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294" w:lineRule="exact"/>
        <w:rPr>
          <w:sz w:val="20"/>
          <w:szCs w:val="20"/>
          <w:color w:val="auto"/>
        </w:rPr>
      </w:pPr>
    </w:p>
    <w:p>
      <w:pPr>
        <w:jc w:val="both"/>
        <w:ind w:left="140" w:right="8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6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56" w:lineRule="exact"/>
        <w:rPr>
          <w:sz w:val="20"/>
          <w:szCs w:val="20"/>
          <w:color w:val="auto"/>
        </w:rPr>
      </w:pPr>
    </w:p>
    <w:p>
      <w:pPr>
        <w:jc w:val="both"/>
        <w:ind w:left="140" w:right="8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specified Person, any other Person, directly or indirectly, controlling or controlled by or under direct or indirect common control with such specified Person. For the purposes of this Agreement, “</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controls</w:t>
      </w:r>
      <w:r>
        <w:rPr>
          <w:rFonts w:ascii="Arial" w:cs="Arial" w:eastAsia="Arial" w:hAnsi="Arial"/>
          <w:sz w:val="20"/>
          <w:szCs w:val="20"/>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to the foregoing.</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 Transaction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7.07(a)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Lender</w:t>
      </w:r>
      <w:r>
        <w:rPr>
          <w:rFonts w:ascii="Arial" w:cs="Arial" w:eastAsia="Arial" w:hAnsi="Arial"/>
          <w:sz w:val="19"/>
          <w:szCs w:val="19"/>
          <w:color w:val="auto"/>
        </w:rPr>
        <w:t>” means, at any time, any Lender that is an Affiliate of Holdings (other than any of its Subsidiaries).</w:t>
      </w:r>
    </w:p>
    <w:p>
      <w:pPr>
        <w:spacing w:after="0" w:line="268"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Persons</w:t>
      </w:r>
      <w:r>
        <w:rPr>
          <w:rFonts w:ascii="Arial" w:cs="Arial" w:eastAsia="Arial" w:hAnsi="Arial"/>
          <w:sz w:val="20"/>
          <w:szCs w:val="20"/>
          <w:color w:val="auto"/>
        </w:rPr>
        <w:t>” means the Agents, together with their respective Affiliates, and the officers, directors, employees, agents and attorneys-in-fact of such Persons and Affiliates.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the Collateral Agent, and the Supplemental Administrative Agents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(if any).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52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10.16</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w:t>
      </w:r>
      <w:r>
        <w:rPr>
          <w:rFonts w:ascii="Arial" w:cs="Arial" w:eastAsia="Arial" w:hAnsi="Arial"/>
          <w:sz w:val="19"/>
          <w:szCs w:val="19"/>
          <w:color w:val="auto"/>
        </w:rPr>
        <w:t>” means Amendment No. 1 to this Agreement dated as of the Amendment No. 1 Effective Date.</w:t>
      </w:r>
    </w:p>
    <w:p>
      <w:pPr>
        <w:spacing w:after="0" w:line="26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means February 23, 2021, the date of effectiveness of Amendment No. 1.</w:t>
      </w:r>
    </w:p>
    <w:p>
      <w:pPr>
        <w:spacing w:after="0" w:line="243" w:lineRule="exact"/>
        <w:rPr>
          <w:sz w:val="20"/>
          <w:szCs w:val="20"/>
          <w:color w:val="auto"/>
        </w:rPr>
      </w:pPr>
    </w:p>
    <w:p>
      <w:pPr>
        <w:jc w:val="both"/>
        <w:ind w:left="140"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as amended (“</w:t>
      </w:r>
      <w:r>
        <w:rPr>
          <w:rFonts w:ascii="Arial" w:cs="Arial" w:eastAsia="Arial" w:hAnsi="Arial"/>
          <w:sz w:val="18"/>
          <w:szCs w:val="18"/>
          <w:u w:val="single" w:color="auto"/>
          <w:color w:val="auto"/>
        </w:rPr>
        <w:t>FCPA</w:t>
      </w:r>
      <w:r>
        <w:rPr>
          <w:rFonts w:ascii="Arial" w:cs="Arial" w:eastAsia="Arial" w:hAnsi="Arial"/>
          <w:sz w:val="18"/>
          <w:szCs w:val="18"/>
          <w:color w:val="auto"/>
        </w:rPr>
        <w:t>”) and any similar laws, rules or regulations issued, administered or enforced by any Governmental Authority having jurisdiction over the Borrower.</w:t>
      </w:r>
    </w:p>
    <w:p>
      <w:pPr>
        <w:spacing w:after="0" w:line="170"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means all applicable laws and regulations or ordinances relating to terrorism or money laundering in any jurisdiction in which Holdings, the Borrower, or any of the Restricted Subsidiaries is located or is doing business, including Executive Order No. 13224, the USA Patriot Act, the Bank Secrecy Act, and the Money Laundering Control Act of 1986 (i.e., 18 USC. §§ 1956 and 1957).</w:t>
      </w:r>
    </w:p>
    <w:p>
      <w:pPr>
        <w:spacing w:after="0" w:line="218"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AHYDO Catch-Up Payment</w:t>
      </w:r>
      <w:r>
        <w:rPr>
          <w:rFonts w:ascii="Arial" w:cs="Arial" w:eastAsia="Arial" w:hAnsi="Arial"/>
          <w:sz w:val="20"/>
          <w:szCs w:val="20"/>
          <w:color w:val="auto"/>
        </w:rPr>
        <w:t>” means any payment required to be made under the terms of Indebtedness in order to avoid the application of Section 163(e)(5) of the Internal Revenue Code to such Indebtedness.</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Discount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2.05(d)(iii)</w:t>
      </w:r>
      <w:r>
        <w:rPr>
          <w:rFonts w:ascii="Arial" w:cs="Arial" w:eastAsia="Arial" w:hAnsi="Arial"/>
          <w:sz w:val="20"/>
          <w:szCs w:val="20"/>
          <w:color w:val="auto"/>
        </w:rPr>
        <w:t>.</w:t>
      </w:r>
    </w:p>
    <w:p>
      <w:pPr>
        <w:spacing w:after="0" w:line="33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Lending Office</w:t>
      </w:r>
      <w:r>
        <w:rPr>
          <w:rFonts w:ascii="Arial" w:cs="Arial" w:eastAsia="Arial" w:hAnsi="Arial"/>
          <w:sz w:val="20"/>
          <w:szCs w:val="20"/>
          <w:color w:val="auto"/>
        </w:rPr>
        <w:t>” means for any Lender, such Lender’s office, branch or affiliate designated for Eurocurrency Rate Loans, Base Rate Loans, L/C Advances or Letters of Credit, as applicable, as notified to the Administrative Agent, any of which offices may be changed by such Lender.</w:t>
      </w:r>
    </w:p>
    <w:p>
      <w:pPr>
        <w:spacing w:after="0" w:line="213" w:lineRule="exact"/>
        <w:rPr>
          <w:sz w:val="20"/>
          <w:szCs w:val="20"/>
          <w:color w:val="auto"/>
        </w:rPr>
      </w:pPr>
    </w:p>
    <w:p>
      <w:pPr>
        <w:jc w:val="both"/>
        <w:ind w:left="140"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in the case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when a Defaulting Lender shall exist, “Applicable Percentage” with respect to the Revolving Credit Facility shall be determined by disregarding any Defaulting Lender’s Revolving Credit Commitment and (ii) if the Revolving Credit Commitments have terminated or expired, the Applicable Percentages of the Lenders shall be determined based upon the Revolving Credit Commitments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Proceeds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2.05(b)(ii)(A)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a percentage per annum equal to:</w:t>
      </w:r>
    </w:p>
    <w:p>
      <w:pPr>
        <w:spacing w:after="0" w:line="324" w:lineRule="exact"/>
        <w:rPr>
          <w:sz w:val="20"/>
          <w:szCs w:val="20"/>
          <w:color w:val="auto"/>
        </w:rPr>
      </w:pPr>
    </w:p>
    <w:p>
      <w:pPr>
        <w:ind w:left="220" w:right="140" w:firstLine="1290"/>
        <w:spacing w:after="0" w:line="269" w:lineRule="auto"/>
        <w:tabs>
          <w:tab w:leader="none" w:pos="195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 prior to the Amendment No. 1 Effective Date, for Eurocurrency Rate Loans that are Initial Term Loans, 4.00%, and for Base Rate Loans that are Initial Term Loans, 3.00%, and (ii) on and after the Amendment No. 1 Effective Date, for Eurocurrency Rate Loans that are Initial Term Loans, 3.25%, and for Base Rate Loans that are Initial Term Loans, 2.25%,</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right="59" w:firstLine="1289"/>
        <w:spacing w:after="0" w:line="260" w:lineRule="auto"/>
        <w:tabs>
          <w:tab w:leader="none" w:pos="1947" w:val="left"/>
        </w:tabs>
        <w:numPr>
          <w:ilvl w:val="0"/>
          <w:numId w:val="50"/>
        </w:numPr>
        <w:rPr>
          <w:rFonts w:ascii="Arial" w:cs="Arial" w:eastAsia="Arial" w:hAnsi="Arial"/>
          <w:sz w:val="20"/>
          <w:szCs w:val="20"/>
          <w:color w:val="auto"/>
        </w:rPr>
      </w:pPr>
      <w:r>
        <w:rPr>
          <w:rFonts w:ascii="Arial" w:cs="Arial" w:eastAsia="Arial" w:hAnsi="Arial"/>
          <w:sz w:val="20"/>
          <w:szCs w:val="20"/>
          <w:color w:val="auto"/>
        </w:rPr>
        <w:t>for Eurocurrency Rate Loans that are Revolving Credit Loans, 3.25% and for Base Rate Loans that are Revolving Credit Loans, 2.25%</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40" w:hanging="630"/>
        <w:spacing w:after="0"/>
        <w:tabs>
          <w:tab w:leader="none" w:pos="2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for letter of credit fees, 3.25%, and</w:t>
      </w:r>
    </w:p>
    <w:p>
      <w:pPr>
        <w:spacing w:after="0" w:line="256" w:lineRule="exact"/>
        <w:rPr>
          <w:rFonts w:ascii="Arial" w:cs="Arial" w:eastAsia="Arial" w:hAnsi="Arial"/>
          <w:sz w:val="20"/>
          <w:szCs w:val="20"/>
          <w:color w:val="auto"/>
        </w:rPr>
      </w:pPr>
    </w:p>
    <w:p>
      <w:pPr>
        <w:jc w:val="both"/>
        <w:ind w:left="220" w:firstLine="1291"/>
        <w:spacing w:after="0" w:line="246" w:lineRule="auto"/>
        <w:tabs>
          <w:tab w:leader="none" w:pos="1948"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(i) until delivery of financial statements and a related Compliance Certificate for the first full fiscal quarter commencing after the Closing Date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for Commitment Fees, 0.50% and (ii) thereafter, the percentages per annum set forth in the table below, based upon the Consolidated First Lien Secured Leverage Ratio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shd w:val="clear" w:color="auto" w:fill="DBE4F0"/>
          </w:tcPr>
          <w:p>
            <w:pPr>
              <w:spacing w:after="0"/>
              <w:rPr>
                <w:sz w:val="21"/>
                <w:szCs w:val="21"/>
                <w:color w:val="auto"/>
              </w:rPr>
            </w:pPr>
          </w:p>
        </w:tc>
        <w:tc>
          <w:tcPr>
            <w:tcW w:w="3680" w:type="dxa"/>
            <w:vAlign w:val="bottom"/>
            <w:tcBorders>
              <w:top w:val="single" w:sz="8" w:color="auto"/>
              <w:right w:val="single" w:sz="8" w:color="auto"/>
            </w:tcBorders>
            <w:shd w:val="clear" w:color="auto" w:fill="DBE4F0"/>
          </w:tcPr>
          <w:p>
            <w:pPr>
              <w:ind w:left="20"/>
              <w:spacing w:after="0"/>
              <w:rPr>
                <w:sz w:val="20"/>
                <w:szCs w:val="20"/>
                <w:color w:val="auto"/>
              </w:rPr>
            </w:pPr>
            <w:r>
              <w:rPr>
                <w:rFonts w:ascii="Arial" w:cs="Arial" w:eastAsia="Arial" w:hAnsi="Arial"/>
                <w:sz w:val="20"/>
                <w:szCs w:val="20"/>
                <w:b w:val="1"/>
                <w:bCs w:val="1"/>
                <w:color w:val="auto"/>
              </w:rPr>
              <w:t>Consolidated First Lien Secured</w:t>
            </w:r>
          </w:p>
        </w:tc>
        <w:tc>
          <w:tcPr>
            <w:tcW w:w="2920" w:type="dxa"/>
            <w:vAlign w:val="bottom"/>
            <w:tcBorders>
              <w:top w:val="single" w:sz="8" w:color="auto"/>
              <w:right w:val="single" w:sz="8" w:color="auto"/>
            </w:tcBorders>
            <w:shd w:val="clear" w:color="auto" w:fill="DBE4F0"/>
          </w:tcPr>
          <w:p>
            <w:pPr>
              <w:ind w:left="20"/>
              <w:spacing w:after="0"/>
              <w:rPr>
                <w:sz w:val="20"/>
                <w:szCs w:val="20"/>
                <w:color w:val="auto"/>
              </w:rPr>
            </w:pPr>
            <w:r>
              <w:rPr>
                <w:rFonts w:ascii="Arial" w:cs="Arial" w:eastAsia="Arial" w:hAnsi="Arial"/>
                <w:sz w:val="20"/>
                <w:szCs w:val="20"/>
                <w:b w:val="1"/>
                <w:bCs w:val="1"/>
                <w:color w:val="auto"/>
              </w:rPr>
              <w:t>Commitment Fees</w:t>
            </w:r>
          </w:p>
        </w:tc>
        <w:tc>
          <w:tcPr>
            <w:tcW w:w="0" w:type="dxa"/>
            <w:vAlign w:val="bottom"/>
          </w:tcPr>
          <w:p>
            <w:pPr>
              <w:spacing w:after="0"/>
              <w:rPr>
                <w:sz w:val="1"/>
                <w:szCs w:val="1"/>
                <w:color w:val="auto"/>
              </w:rPr>
            </w:pPr>
          </w:p>
        </w:tc>
      </w:tr>
      <w:tr>
        <w:trPr>
          <w:trHeight w:val="229"/>
        </w:trPr>
        <w:tc>
          <w:tcPr>
            <w:tcW w:w="1500" w:type="dxa"/>
            <w:vAlign w:val="bottom"/>
            <w:tcBorders>
              <w:left w:val="single" w:sz="8" w:color="auto"/>
              <w:right w:val="single" w:sz="8" w:color="auto"/>
            </w:tcBorders>
            <w:shd w:val="clear" w:color="auto" w:fill="DBE4F0"/>
          </w:tcPr>
          <w:p>
            <w:pPr>
              <w:ind w:left="40"/>
              <w:spacing w:after="0"/>
              <w:rPr>
                <w:sz w:val="20"/>
                <w:szCs w:val="20"/>
                <w:color w:val="auto"/>
              </w:rPr>
            </w:pPr>
            <w:r>
              <w:rPr>
                <w:rFonts w:ascii="Arial" w:cs="Arial" w:eastAsia="Arial" w:hAnsi="Arial"/>
                <w:sz w:val="20"/>
                <w:szCs w:val="20"/>
                <w:b w:val="1"/>
                <w:bCs w:val="1"/>
                <w:color w:val="auto"/>
              </w:rPr>
              <w:t>Pricing</w:t>
            </w:r>
          </w:p>
        </w:tc>
        <w:tc>
          <w:tcPr>
            <w:tcW w:w="3680" w:type="dxa"/>
            <w:vAlign w:val="bottom"/>
            <w:tcBorders>
              <w:right w:val="single" w:sz="8" w:color="auto"/>
            </w:tcBorders>
            <w:shd w:val="clear" w:color="auto" w:fill="DBE4F0"/>
          </w:tcPr>
          <w:p>
            <w:pPr>
              <w:ind w:left="20"/>
              <w:spacing w:after="0"/>
              <w:rPr>
                <w:sz w:val="20"/>
                <w:szCs w:val="20"/>
                <w:color w:val="auto"/>
              </w:rPr>
            </w:pPr>
            <w:r>
              <w:rPr>
                <w:rFonts w:ascii="Arial" w:cs="Arial" w:eastAsia="Arial" w:hAnsi="Arial"/>
                <w:sz w:val="20"/>
                <w:szCs w:val="20"/>
                <w:b w:val="1"/>
                <w:bCs w:val="1"/>
                <w:color w:val="auto"/>
              </w:rPr>
              <w:t>Leverage Ratio</w:t>
            </w:r>
          </w:p>
        </w:tc>
        <w:tc>
          <w:tcPr>
            <w:tcW w:w="2920" w:type="dxa"/>
            <w:vAlign w:val="bottom"/>
            <w:tcBorders>
              <w:right w:val="single" w:sz="8" w:color="auto"/>
            </w:tcBorders>
            <w:shd w:val="clear" w:color="auto" w:fill="DBE4F0"/>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500" w:type="dxa"/>
            <w:vAlign w:val="bottom"/>
            <w:tcBorders>
              <w:left w:val="single" w:sz="8" w:color="auto"/>
              <w:bottom w:val="single" w:sz="8" w:color="auto"/>
              <w:right w:val="single" w:sz="8" w:color="auto"/>
            </w:tcBorders>
            <w:shd w:val="clear" w:color="auto" w:fill="DBE4F0"/>
          </w:tcPr>
          <w:p>
            <w:pPr>
              <w:ind w:left="40"/>
              <w:spacing w:after="0"/>
              <w:rPr>
                <w:sz w:val="20"/>
                <w:szCs w:val="20"/>
                <w:color w:val="auto"/>
              </w:rPr>
            </w:pPr>
            <w:r>
              <w:rPr>
                <w:rFonts w:ascii="Arial" w:cs="Arial" w:eastAsia="Arial" w:hAnsi="Arial"/>
                <w:sz w:val="20"/>
                <w:szCs w:val="20"/>
                <w:b w:val="1"/>
                <w:bCs w:val="1"/>
                <w:color w:val="auto"/>
              </w:rPr>
              <w:t>Level</w:t>
            </w:r>
          </w:p>
        </w:tc>
        <w:tc>
          <w:tcPr>
            <w:tcW w:w="3680" w:type="dxa"/>
            <w:vAlign w:val="bottom"/>
            <w:tcBorders>
              <w:bottom w:val="single" w:sz="8" w:color="auto"/>
              <w:right w:val="single" w:sz="8" w:color="auto"/>
            </w:tcBorders>
            <w:shd w:val="clear" w:color="auto" w:fill="DBE4F0"/>
          </w:tcPr>
          <w:p>
            <w:pPr>
              <w:spacing w:after="0"/>
              <w:rPr>
                <w:sz w:val="22"/>
                <w:szCs w:val="22"/>
                <w:color w:val="auto"/>
              </w:rPr>
            </w:pPr>
          </w:p>
        </w:tc>
        <w:tc>
          <w:tcPr>
            <w:tcW w:w="2920" w:type="dxa"/>
            <w:vAlign w:val="bottom"/>
            <w:tcBorders>
              <w:bottom w:val="single" w:sz="8" w:color="auto"/>
              <w:right w:val="single" w:sz="8" w:color="auto"/>
            </w:tcBorders>
            <w:shd w:val="clear" w:color="auto" w:fill="DBE4F0"/>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&gt; 2.30:1.00</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0.50%</w:t>
            </w:r>
          </w:p>
        </w:tc>
        <w:tc>
          <w:tcPr>
            <w:tcW w:w="0" w:type="dxa"/>
            <w:vAlign w:val="bottom"/>
          </w:tcPr>
          <w:p>
            <w:pPr>
              <w:spacing w:after="0"/>
              <w:rPr>
                <w:sz w:val="1"/>
                <w:szCs w:val="1"/>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&lt; 2.30:1.00 and &gt; 1.80:1.00</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0.375%</w:t>
            </w:r>
          </w:p>
        </w:tc>
        <w:tc>
          <w:tcPr>
            <w:tcW w:w="0" w:type="dxa"/>
            <w:vAlign w:val="bottom"/>
          </w:tcPr>
          <w:p>
            <w:pPr>
              <w:spacing w:after="0"/>
              <w:rPr>
                <w:sz w:val="1"/>
                <w:szCs w:val="1"/>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&lt; 1.80:1.00</w:t>
            </w: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III</w:t>
            </w:r>
          </w:p>
        </w:tc>
        <w:tc>
          <w:tcPr>
            <w:tcW w:w="3680" w:type="dxa"/>
            <w:vAlign w:val="bottom"/>
            <w:tcBorders>
              <w:right w:val="single" w:sz="8" w:color="auto"/>
            </w:tcBorders>
            <w:vMerge w:val="continue"/>
          </w:tcPr>
          <w:p>
            <w:pPr>
              <w:spacing w:after="0"/>
              <w:rPr>
                <w:sz w:val="22"/>
                <w:szCs w:val="22"/>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Any increase or decrease in the Applicable Rate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above resulting from a change in the Consolidated First Lien Secured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94"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Notwithstanding anything to the contrary contained above in this definition or elsewhere in this Agreement, if it is subsequently determined that the Consolidated First Lien Secured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Consolidated First Lien Secured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Consolidated First Lien Secured Leverage Ratio for such period, and any shortfall in the interest or fees theretofore paid by the Borrower for the relevant period pursuant to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as a result of the miscalculation of the Consolidated First Lien Secured Leverage Ratio shall be deemed to be (and shall be) due and payable under the relevant provisions of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as applicable, at the time the interest or fees for such period were required to be paid pursuant to such Section,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unless an Event of Default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has occurred and is continuing with respect to the Borrower, such shortfall shall be due and payable five (5) Business Days following the determination described above.</w:t>
      </w:r>
    </w:p>
    <w:p>
      <w:pPr>
        <w:spacing w:after="0" w:line="222" w:lineRule="exact"/>
        <w:rPr>
          <w:sz w:val="20"/>
          <w:szCs w:val="20"/>
          <w:color w:val="auto"/>
        </w:rPr>
      </w:pPr>
    </w:p>
    <w:p>
      <w:pPr>
        <w:jc w:val="both"/>
        <w:ind w:left="140" w:firstLine="1295"/>
        <w:spacing w:after="0" w:line="291" w:lineRule="auto"/>
        <w:rPr>
          <w:sz w:val="20"/>
          <w:szCs w:val="20"/>
          <w:color w:val="auto"/>
        </w:rPr>
      </w:pPr>
      <w:r>
        <w:rPr>
          <w:rFonts w:ascii="Arial" w:cs="Arial" w:eastAsia="Arial" w:hAnsi="Arial"/>
          <w:sz w:val="18"/>
          <w:szCs w:val="18"/>
          <w:color w:val="auto"/>
        </w:rPr>
        <w:t>Notwithstanding the foregoing, the Applicable Rate in respect of any Class of Extended Revolving Credit Commitments and any Incremental Term Loans, Extended Term Loans or Revolving Credit Loans made pursuant to any Extended Revolving Credit Commitments shall be the applicable percentages per annum set forth in the relevant Incremental Facility Amendment or Extension Offer.</w:t>
      </w:r>
    </w:p>
    <w:p>
      <w:pPr>
        <w:spacing w:after="0" w:line="179"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means, at any time, (a) with respect to Loans of any Class, the Lenders of such Class and (b) with respect to any Letters of Credit, (i) the relevant L/C Issuer and (ii) the Revolving Credit Lenders.</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Commercial Bank</w:t>
      </w:r>
      <w:r>
        <w:rPr>
          <w:rFonts w:ascii="Arial" w:cs="Arial" w:eastAsia="Arial" w:hAnsi="Arial"/>
          <w:sz w:val="18"/>
          <w:szCs w:val="18"/>
          <w:color w:val="auto"/>
        </w:rPr>
        <w:t>” means a commercial bank with a consolidated combined capital and surplus of at least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$5.0 billion.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Foreign Bank</w:t>
      </w:r>
      <w:r>
        <w:rPr>
          <w:rFonts w:ascii="Arial" w:cs="Arial" w:eastAsia="Arial" w:hAnsi="Arial"/>
          <w:sz w:val="20"/>
          <w:szCs w:val="20"/>
          <w:color w:val="auto"/>
        </w:rPr>
        <w:t>” has the meaning specified in the definition of “Cash</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Equivalents.”</w:t>
      </w:r>
    </w:p>
    <w:p>
      <w:pPr>
        <w:spacing w:after="0" w:line="321" w:lineRule="exact"/>
        <w:rPr>
          <w:sz w:val="20"/>
          <w:szCs w:val="20"/>
          <w:color w:val="auto"/>
        </w:rPr>
      </w:pPr>
    </w:p>
    <w:p>
      <w:pPr>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Disposition</w:t>
      </w:r>
      <w:r>
        <w:rPr>
          <w:rFonts w:ascii="Arial" w:cs="Arial" w:eastAsia="Arial" w:hAnsi="Arial"/>
          <w:sz w:val="20"/>
          <w:szCs w:val="20"/>
          <w:color w:val="auto"/>
        </w:rPr>
        <w:t>” means:</w:t>
      </w:r>
    </w:p>
    <w:p>
      <w:pPr>
        <w:spacing w:after="0" w:line="324" w:lineRule="exact"/>
        <w:rPr>
          <w:sz w:val="20"/>
          <w:szCs w:val="20"/>
          <w:color w:val="auto"/>
        </w:rPr>
      </w:pPr>
    </w:p>
    <w:p>
      <w:pPr>
        <w:jc w:val="both"/>
        <w:ind w:left="780" w:firstLine="649"/>
        <w:spacing w:after="0" w:line="250" w:lineRule="auto"/>
        <w:tabs>
          <w:tab w:leader="none" w:pos="1945"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voluntary sale, conveyance, transfer or other disposition, whether in a single transaction or a series of related transactions, of property or assets (including by way of a Sale and Leaseback Transaction) of the Borrower or any of its Restricted Subsidiaries (each referred to in this definition as a “</w:t>
      </w:r>
      <w:r>
        <w:rPr>
          <w:rFonts w:ascii="Arial" w:cs="Arial" w:eastAsia="Arial" w:hAnsi="Arial"/>
          <w:sz w:val="20"/>
          <w:szCs w:val="20"/>
          <w:u w:val="single" w:color="auto"/>
          <w:color w:val="auto"/>
        </w:rPr>
        <w:t>disposition</w:t>
      </w:r>
      <w:r>
        <w:rPr>
          <w:rFonts w:ascii="Arial" w:cs="Arial" w:eastAsia="Arial" w:hAnsi="Arial"/>
          <w:sz w:val="20"/>
          <w:szCs w:val="20"/>
          <w:color w:val="auto"/>
        </w:rPr>
        <w:t>”); or</w:t>
      </w:r>
    </w:p>
    <w:p>
      <w:pPr>
        <w:spacing w:after="0" w:line="293" w:lineRule="exact"/>
        <w:rPr>
          <w:rFonts w:ascii="Arial" w:cs="Arial" w:eastAsia="Arial" w:hAnsi="Arial"/>
          <w:sz w:val="20"/>
          <w:szCs w:val="20"/>
          <w:color w:val="auto"/>
        </w:rPr>
      </w:pPr>
    </w:p>
    <w:p>
      <w:pPr>
        <w:ind w:left="780" w:right="80" w:firstLine="649"/>
        <w:spacing w:after="0" w:line="247" w:lineRule="auto"/>
        <w:tabs>
          <w:tab w:leader="none" w:pos="1941"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the issuance or sale of Capital Stock of any Restricted Subsidiary (other than Preferred Stock or Disqualified Stock of Restricted Subsidiaries issued in compliance with </w:t>
      </w:r>
      <w:r>
        <w:rPr>
          <w:rFonts w:ascii="Arial" w:cs="Arial" w:eastAsia="Arial" w:hAnsi="Arial"/>
          <w:sz w:val="20"/>
          <w:szCs w:val="20"/>
          <w:u w:val="single" w:color="auto"/>
          <w:color w:val="auto"/>
        </w:rPr>
        <w:t>Section</w:t>
      </w:r>
    </w:p>
    <w:p>
      <w:pPr>
        <w:spacing w:after="0" w:line="1" w:lineRule="exact"/>
        <w:rPr>
          <w:rFonts w:ascii="Arial" w:cs="Arial" w:eastAsia="Arial" w:hAnsi="Arial"/>
          <w:sz w:val="20"/>
          <w:szCs w:val="20"/>
          <w:color w:val="auto"/>
        </w:rPr>
      </w:pPr>
    </w:p>
    <w:p>
      <w:pPr>
        <w:ind w:left="780" w:right="120"/>
        <w:spacing w:after="0" w:line="244" w:lineRule="auto"/>
        <w:rPr>
          <w:rFonts w:ascii="Arial" w:cs="Arial" w:eastAsia="Arial" w:hAnsi="Arial"/>
          <w:sz w:val="20"/>
          <w:szCs w:val="20"/>
          <w:color w:val="auto"/>
        </w:rPr>
      </w:pPr>
      <w:r>
        <w:rPr>
          <w:rFonts w:ascii="Arial" w:cs="Arial" w:eastAsia="Arial" w:hAnsi="Arial"/>
          <w:sz w:val="20"/>
          <w:szCs w:val="20"/>
          <w:u w:val="single" w:color="auto"/>
          <w:color w:val="auto"/>
        </w:rPr>
        <w:t>c.</w:t>
      </w:r>
      <w:r>
        <w:rPr>
          <w:rFonts w:ascii="Arial" w:cs="Arial" w:eastAsia="Arial" w:hAnsi="Arial"/>
          <w:sz w:val="20"/>
          <w:szCs w:val="20"/>
          <w:color w:val="auto"/>
        </w:rPr>
        <w:t xml:space="preserve"> hereof or directors’ qualifying shares and shares issued to foreign nationals as required under applicable law), whether in a single transaction or a series of related transactions;</w:t>
      </w:r>
    </w:p>
    <w:p>
      <w:pPr>
        <w:spacing w:after="0" w:line="23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in each case, other than:</w:t>
      </w:r>
    </w:p>
    <w:p>
      <w:pPr>
        <w:spacing w:after="0" w:line="256" w:lineRule="exact"/>
        <w:rPr>
          <w:sz w:val="20"/>
          <w:szCs w:val="20"/>
          <w:color w:val="auto"/>
        </w:rPr>
      </w:pPr>
    </w:p>
    <w:p>
      <w:pPr>
        <w:ind w:left="1440" w:firstLine="532"/>
        <w:spacing w:after="0" w:line="260" w:lineRule="auto"/>
        <w:tabs>
          <w:tab w:leader="none" w:pos="26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 disposition by the Borrower or a Restricted Subsidiary to the Borrower or a Restricted Subsidiary, including pursuant to any Intercompany License Agreement;</w:t>
      </w:r>
    </w:p>
    <w:p>
      <w:pPr>
        <w:spacing w:after="0" w:line="203" w:lineRule="exact"/>
        <w:rPr>
          <w:rFonts w:ascii="Arial" w:cs="Arial" w:eastAsia="Arial" w:hAnsi="Arial"/>
          <w:sz w:val="20"/>
          <w:szCs w:val="20"/>
          <w:color w:val="auto"/>
        </w:rPr>
      </w:pPr>
    </w:p>
    <w:p>
      <w:pPr>
        <w:ind w:left="1440" w:firstLine="478"/>
        <w:spacing w:after="0" w:line="260" w:lineRule="auto"/>
        <w:tabs>
          <w:tab w:leader="none" w:pos="26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 disposition of cash, Cash Equivalents or Investment Grade Securities, including any marketable securities portfolio owned by the Borrower and its Subsidiaries on the Closing Date;</w:t>
      </w:r>
    </w:p>
    <w:p>
      <w:pPr>
        <w:spacing w:after="0" w:line="217" w:lineRule="exact"/>
        <w:rPr>
          <w:rFonts w:ascii="Arial" w:cs="Arial" w:eastAsia="Arial" w:hAnsi="Arial"/>
          <w:sz w:val="20"/>
          <w:szCs w:val="20"/>
          <w:color w:val="auto"/>
        </w:rPr>
      </w:pPr>
    </w:p>
    <w:p>
      <w:pPr>
        <w:jc w:val="both"/>
        <w:ind w:left="1440" w:firstLine="423"/>
        <w:spacing w:after="0" w:line="250" w:lineRule="auto"/>
        <w:tabs>
          <w:tab w:leader="none" w:pos="26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226" w:lineRule="exact"/>
        <w:rPr>
          <w:rFonts w:ascii="Arial" w:cs="Arial" w:eastAsia="Arial" w:hAnsi="Arial"/>
          <w:sz w:val="20"/>
          <w:szCs w:val="20"/>
          <w:color w:val="auto"/>
        </w:rPr>
      </w:pPr>
    </w:p>
    <w:p>
      <w:pPr>
        <w:jc w:val="both"/>
        <w:ind w:left="1440" w:firstLine="434"/>
        <w:spacing w:after="0" w:line="255" w:lineRule="auto"/>
        <w:tabs>
          <w:tab w:leader="none" w:pos="2587"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disposition of obsolete, worn-out, uneconomical, negligible, immaterial, damaged, non-core or surplus property, equipment or other assets or property, equipment or other assets that are no longer economically practical or commercially desirable to maintain or used or useful in the business of the Borrower and the Restricted Subsidiaries whether now or hereafter owned or leased or acquired in connection with an acquisition or used or useful in the conduct of the business of the Borrower and the Restricted Subsidiaries (including by conveying, selling, assigning, transferring, licensing or sublicensing, ceasing to enforce, allowing the lapse, abandonment or invalidation of or discontinuing the use, prosecution or maintenance of, putting into the public domain or other disposition of any IP Rights that are, in the reasonable judgment of the Borrower or the Restricted Subsidiaries, no longer used or useful, or economically practicable to maintain, or in respect of which the Borrower or any Restricted Subsidiary determines in its reasonable judgment that such action or inaction is desirable);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580" w:hanging="651"/>
        <w:spacing w:after="0"/>
        <w:tabs>
          <w:tab w:leader="none" w:pos="2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transactions permitted under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hereof or a transaction that constitutes a Change of Control;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860"/>
          </w:cols>
          <w:pgMar w:left="320" w:top="121" w:right="71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firstLine="532"/>
        <w:spacing w:after="0" w:line="316" w:lineRule="auto"/>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issuance of Capital Stock by a Restricted Subsidiary to the Borrower or to another Restricted Subsidiary or as part of or pursuant to an equity incentive or compensation plan approved by the Board of Directors;</w:t>
      </w:r>
    </w:p>
    <w:p>
      <w:pPr>
        <w:spacing w:after="0" w:line="170" w:lineRule="exact"/>
        <w:rPr>
          <w:rFonts w:ascii="Arial" w:cs="Arial" w:eastAsia="Arial" w:hAnsi="Arial"/>
          <w:sz w:val="18"/>
          <w:szCs w:val="18"/>
          <w:color w:val="auto"/>
        </w:rPr>
      </w:pPr>
    </w:p>
    <w:p>
      <w:pPr>
        <w:jc w:val="both"/>
        <w:ind w:left="1440" w:firstLine="478"/>
        <w:spacing w:after="0" w:line="250" w:lineRule="auto"/>
        <w:tabs>
          <w:tab w:leader="none" w:pos="26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dispositions of Capital Stock, properties or assets in a single transaction or series of related transactions with a fair market value (as determined in good faith by the Borrower) of less than the greater of $53.0 million and 25.0% of LTM EBITDA;</w:t>
      </w:r>
    </w:p>
    <w:p>
      <w:pPr>
        <w:spacing w:after="0" w:line="212" w:lineRule="exact"/>
        <w:rPr>
          <w:rFonts w:ascii="Arial" w:cs="Arial" w:eastAsia="Arial" w:hAnsi="Arial"/>
          <w:sz w:val="20"/>
          <w:szCs w:val="20"/>
          <w:color w:val="auto"/>
        </w:rPr>
      </w:pPr>
    </w:p>
    <w:p>
      <w:pPr>
        <w:ind w:left="1440" w:right="20" w:firstLine="423"/>
        <w:spacing w:after="0" w:line="260" w:lineRule="auto"/>
        <w:tabs>
          <w:tab w:leader="none" w:pos="26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any Restricted Payment that is permitted to be made, and is made, under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and the making of any Permitted Payment or Permitted Investment;</w:t>
      </w:r>
    </w:p>
    <w:p>
      <w:pPr>
        <w:spacing w:after="0" w:line="298" w:lineRule="exact"/>
        <w:rPr>
          <w:rFonts w:ascii="Arial" w:cs="Arial" w:eastAsia="Arial" w:hAnsi="Arial"/>
          <w:sz w:val="20"/>
          <w:szCs w:val="20"/>
          <w:color w:val="auto"/>
        </w:rPr>
      </w:pPr>
    </w:p>
    <w:p>
      <w:pPr>
        <w:ind w:left="1440" w:firstLine="434"/>
        <w:spacing w:after="0" w:line="260" w:lineRule="auto"/>
        <w:tabs>
          <w:tab w:leader="none" w:pos="25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dispositions in connection with Permitted Liens, Permitted Intercompany Activities, Permitted IPO Reorganization and Permitted Tax Restructuring;</w:t>
      </w:r>
    </w:p>
    <w:p>
      <w:pPr>
        <w:spacing w:after="0" w:line="217" w:lineRule="exact"/>
        <w:rPr>
          <w:rFonts w:ascii="Arial" w:cs="Arial" w:eastAsia="Arial" w:hAnsi="Arial"/>
          <w:sz w:val="20"/>
          <w:szCs w:val="20"/>
          <w:color w:val="auto"/>
        </w:rPr>
      </w:pPr>
    </w:p>
    <w:p>
      <w:pPr>
        <w:jc w:val="both"/>
        <w:ind w:left="1440" w:firstLine="488"/>
        <w:spacing w:after="0" w:line="250" w:lineRule="auto"/>
        <w:tabs>
          <w:tab w:leader="none" w:pos="25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212" w:lineRule="exact"/>
        <w:rPr>
          <w:rFonts w:ascii="Arial" w:cs="Arial" w:eastAsia="Arial" w:hAnsi="Arial"/>
          <w:sz w:val="20"/>
          <w:szCs w:val="20"/>
          <w:color w:val="auto"/>
        </w:rPr>
      </w:pPr>
    </w:p>
    <w:p>
      <w:pPr>
        <w:jc w:val="both"/>
        <w:ind w:left="1440" w:firstLine="434"/>
        <w:spacing w:after="0" w:line="244" w:lineRule="auto"/>
        <w:tabs>
          <w:tab w:leader="none" w:pos="2601" w:val="left"/>
        </w:tabs>
        <w:numPr>
          <w:ilvl w:val="1"/>
          <w:numId w:val="57"/>
        </w:numPr>
        <w:rPr>
          <w:rFonts w:ascii="Arial" w:cs="Arial" w:eastAsia="Arial" w:hAnsi="Arial"/>
          <w:sz w:val="20"/>
          <w:szCs w:val="20"/>
          <w:color w:val="auto"/>
        </w:rPr>
      </w:pPr>
      <w:r>
        <w:rPr>
          <w:rFonts w:ascii="Arial" w:cs="Arial" w:eastAsia="Arial" w:hAnsi="Arial"/>
          <w:sz w:val="20"/>
          <w:szCs w:val="20"/>
          <w:color w:val="auto"/>
        </w:rPr>
        <w:t>conveyances, sales, assignments, transfers, licenses, sublicenses, cross- licenses or other dispositions of any IP Rights or other general intangibles and licenses, sublicenses, cross-licenses, leases or subleases of other property, in each case, in the ordinary course of business or consistent with past practice or pursuant to a services, research or development agreement in which the counterparty to such agreement receives a license in any IP Rights that result from such agreement;</w:t>
      </w:r>
    </w:p>
    <w:p>
      <w:pPr>
        <w:spacing w:after="0" w:line="234" w:lineRule="exact"/>
        <w:rPr>
          <w:rFonts w:ascii="Arial" w:cs="Arial" w:eastAsia="Arial" w:hAnsi="Arial"/>
          <w:sz w:val="20"/>
          <w:szCs w:val="20"/>
          <w:color w:val="auto"/>
        </w:rPr>
      </w:pPr>
    </w:p>
    <w:p>
      <w:pPr>
        <w:ind w:left="1440" w:firstLine="379"/>
        <w:spacing w:after="0" w:line="260" w:lineRule="auto"/>
        <w:tabs>
          <w:tab w:leader="none" w:pos="26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lease, assignment, license, sublease or sublicense of any real or personal property in the ordinary course of business or consistent with industry practice;</w:t>
      </w:r>
    </w:p>
    <w:p>
      <w:pPr>
        <w:spacing w:after="0" w:line="217" w:lineRule="exact"/>
        <w:rPr>
          <w:rFonts w:ascii="Arial" w:cs="Arial" w:eastAsia="Arial" w:hAnsi="Arial"/>
          <w:sz w:val="20"/>
          <w:szCs w:val="20"/>
          <w:color w:val="auto"/>
        </w:rPr>
      </w:pPr>
    </w:p>
    <w:p>
      <w:pPr>
        <w:ind w:left="1440" w:firstLine="324"/>
        <w:spacing w:after="0" w:line="260" w:lineRule="auto"/>
        <w:tabs>
          <w:tab w:leader="none" w:pos="26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foreclosure, condemnation, expropriation, forced disposition or any similar action with respect to any property or other assets or the granting of Liens not prohibited by this Agreement;</w:t>
      </w:r>
    </w:p>
    <w:p>
      <w:pPr>
        <w:spacing w:after="0" w:line="203" w:lineRule="exact"/>
        <w:rPr>
          <w:rFonts w:ascii="Arial" w:cs="Arial" w:eastAsia="Arial" w:hAnsi="Arial"/>
          <w:sz w:val="20"/>
          <w:szCs w:val="20"/>
          <w:color w:val="auto"/>
        </w:rPr>
      </w:pPr>
    </w:p>
    <w:p>
      <w:pPr>
        <w:jc w:val="both"/>
        <w:ind w:left="1440" w:firstLine="434"/>
        <w:spacing w:after="0" w:line="246" w:lineRule="auto"/>
        <w:tabs>
          <w:tab w:leader="none" w:pos="2601"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sale, discount or other disposition (with or without recourse, and on customary or commercially reasonable terms and for credit management purposes) of inventory, accounts receivable or notes receivable arising in the ordinary course of business or consistent with past practice, or the conversion or exchange of accounts receivable for notes receivable;</w:t>
      </w:r>
    </w:p>
    <w:p>
      <w:pPr>
        <w:spacing w:after="0" w:line="231" w:lineRule="exact"/>
        <w:rPr>
          <w:rFonts w:ascii="Arial" w:cs="Arial" w:eastAsia="Arial" w:hAnsi="Arial"/>
          <w:sz w:val="20"/>
          <w:szCs w:val="20"/>
          <w:color w:val="auto"/>
        </w:rPr>
      </w:pPr>
    </w:p>
    <w:p>
      <w:pPr>
        <w:jc w:val="both"/>
        <w:ind w:left="1440" w:firstLine="488"/>
        <w:spacing w:after="0" w:line="246" w:lineRule="auto"/>
        <w:tabs>
          <w:tab w:leader="none" w:pos="26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issuance or sale of Capital Stock in, or Indebtedness or other securities of, an Unrestricted Subsidiary or any other disposition of Capital Stock, Indebtedness or other securities of an Unrestricted Subsidiary or an Immaterial Subsidiary (other than, in each case, any Unrestricted Subsidiary the primary assets of which are cash or Cash Equivalents);</w:t>
      </w:r>
    </w:p>
    <w:p>
      <w:pPr>
        <w:spacing w:after="0" w:line="231" w:lineRule="exact"/>
        <w:rPr>
          <w:rFonts w:ascii="Arial" w:cs="Arial" w:eastAsia="Arial" w:hAnsi="Arial"/>
          <w:sz w:val="20"/>
          <w:szCs w:val="20"/>
          <w:color w:val="auto"/>
        </w:rPr>
      </w:pPr>
    </w:p>
    <w:p>
      <w:pPr>
        <w:jc w:val="both"/>
        <w:ind w:left="1440" w:right="20" w:firstLine="434"/>
        <w:spacing w:after="0" w:line="291" w:lineRule="auto"/>
        <w:tabs>
          <w:tab w:leader="none" w:pos="26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disposition of Capital Stock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40"/>
        <w:spacing w:after="0" w:line="260" w:lineRule="auto"/>
        <w:rPr>
          <w:sz w:val="20"/>
          <w:szCs w:val="20"/>
          <w:color w:val="auto"/>
        </w:rPr>
      </w:pPr>
      <w:r>
        <w:rPr>
          <w:rFonts w:ascii="Arial" w:cs="Arial" w:eastAsia="Arial" w:hAnsi="Arial"/>
          <w:sz w:val="20"/>
          <w:szCs w:val="20"/>
          <w:color w:val="auto"/>
        </w:rPr>
        <w:t>connection with such acquisition), made as part of such acquisition and in each case comprising all or a portion of the consideration in respect of such sale or acquisition;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20" w:firstLine="553"/>
        <w:spacing w:after="0" w:line="278" w:lineRule="auto"/>
        <w:tabs>
          <w:tab w:leader="none" w:pos="25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w:t>
      </w:r>
    </w:p>
    <w:p>
      <w:pPr>
        <w:spacing w:after="0" w:line="205" w:lineRule="exact"/>
        <w:rPr>
          <w:rFonts w:ascii="Arial" w:cs="Arial" w:eastAsia="Arial" w:hAnsi="Arial"/>
          <w:sz w:val="18"/>
          <w:szCs w:val="18"/>
          <w:color w:val="auto"/>
        </w:rPr>
      </w:pPr>
    </w:p>
    <w:p>
      <w:pPr>
        <w:jc w:val="both"/>
        <w:ind w:left="1440" w:firstLine="478"/>
        <w:spacing w:after="0" w:line="246" w:lineRule="auto"/>
        <w:tabs>
          <w:tab w:leader="none" w:pos="26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 any disposition of Securitization Assets or Receivables Assets, or participations therein, in connection with any Qualified Securitization Financing or Receivables Facility permitted hereunder or (ii) the disposition of an account receivable in connection with the collection or compromise thereof in the ordinary course of business or consistent with past practice;</w:t>
      </w:r>
    </w:p>
    <w:p>
      <w:pPr>
        <w:spacing w:after="0" w:line="218" w:lineRule="exact"/>
        <w:rPr>
          <w:rFonts w:ascii="Arial" w:cs="Arial" w:eastAsia="Arial" w:hAnsi="Arial"/>
          <w:sz w:val="20"/>
          <w:szCs w:val="20"/>
          <w:color w:val="auto"/>
        </w:rPr>
      </w:pPr>
    </w:p>
    <w:p>
      <w:pPr>
        <w:jc w:val="both"/>
        <w:ind w:left="1440" w:firstLine="423"/>
        <w:spacing w:after="0" w:line="263" w:lineRule="auto"/>
        <w:tabs>
          <w:tab w:leader="none" w:pos="26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and Leaseback Transactions and asset securitizations, permitted by this Agreement;</w:t>
      </w:r>
    </w:p>
    <w:p>
      <w:pPr>
        <w:spacing w:after="0" w:line="216" w:lineRule="exact"/>
        <w:rPr>
          <w:rFonts w:ascii="Arial" w:cs="Arial" w:eastAsia="Arial" w:hAnsi="Arial"/>
          <w:sz w:val="19"/>
          <w:szCs w:val="19"/>
          <w:color w:val="auto"/>
        </w:rPr>
      </w:pPr>
    </w:p>
    <w:p>
      <w:pPr>
        <w:jc w:val="both"/>
        <w:ind w:left="1440" w:firstLine="434"/>
        <w:spacing w:after="0" w:line="250" w:lineRule="auto"/>
        <w:tabs>
          <w:tab w:leader="none" w:pos="2588" w:val="left"/>
        </w:tabs>
        <w:numPr>
          <w:ilvl w:val="0"/>
          <w:numId w:val="59"/>
        </w:numPr>
        <w:rPr>
          <w:rFonts w:ascii="Arial" w:cs="Arial" w:eastAsia="Arial" w:hAnsi="Arial"/>
          <w:sz w:val="20"/>
          <w:szCs w:val="20"/>
          <w:color w:val="auto"/>
        </w:rPr>
      </w:pPr>
      <w:r>
        <w:rPr>
          <w:rFonts w:ascii="Arial" w:cs="Arial" w:eastAsia="Arial" w:hAnsi="Arial"/>
          <w:sz w:val="20"/>
          <w:szCs w:val="20"/>
          <w:color w:val="auto"/>
        </w:rPr>
        <w:t>sales, transfers or other dispositions of Investments in joint ventures or similar entities, to the extent required by, or made pursuant to customary buy/sell arrangements between the parties set forth in the joint venture arrangements or other similar binding arrangements;</w:t>
      </w:r>
    </w:p>
    <w:p>
      <w:pPr>
        <w:spacing w:after="0" w:line="226" w:lineRule="exact"/>
        <w:rPr>
          <w:rFonts w:ascii="Arial" w:cs="Arial" w:eastAsia="Arial" w:hAnsi="Arial"/>
          <w:sz w:val="20"/>
          <w:szCs w:val="20"/>
          <w:color w:val="auto"/>
        </w:rPr>
      </w:pPr>
    </w:p>
    <w:p>
      <w:pPr>
        <w:ind w:left="1440" w:right="20" w:firstLine="488"/>
        <w:spacing w:after="0" w:line="260" w:lineRule="auto"/>
        <w:tabs>
          <w:tab w:leader="none" w:pos="2587"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surrender or waiver of contractual rights or the settlement, release, surrender or waiver of contractual, tort, litigation or other claims of any kind;</w:t>
      </w:r>
    </w:p>
    <w:p>
      <w:pPr>
        <w:spacing w:after="0" w:line="203" w:lineRule="exact"/>
        <w:rPr>
          <w:rFonts w:ascii="Arial" w:cs="Arial" w:eastAsia="Arial" w:hAnsi="Arial"/>
          <w:sz w:val="20"/>
          <w:szCs w:val="20"/>
          <w:color w:val="auto"/>
        </w:rPr>
      </w:pPr>
    </w:p>
    <w:p>
      <w:pPr>
        <w:ind w:left="2580" w:hanging="706"/>
        <w:spacing w:after="0"/>
        <w:tabs>
          <w:tab w:leader="none" w:pos="25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unwinding of any Cash Management Obligations or Hedging Obligations;</w:t>
      </w:r>
    </w:p>
    <w:p>
      <w:pPr>
        <w:spacing w:after="0" w:line="256" w:lineRule="exact"/>
        <w:rPr>
          <w:rFonts w:ascii="Arial" w:cs="Arial" w:eastAsia="Arial" w:hAnsi="Arial"/>
          <w:sz w:val="20"/>
          <w:szCs w:val="20"/>
          <w:color w:val="auto"/>
        </w:rPr>
      </w:pPr>
    </w:p>
    <w:p>
      <w:pPr>
        <w:jc w:val="both"/>
        <w:ind w:left="1420" w:firstLine="399"/>
        <w:spacing w:after="0" w:line="246" w:lineRule="auto"/>
        <w:tabs>
          <w:tab w:leader="none" w:pos="2581"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transfers of property or assets subject to Casualty Events upon receipt of the net proceeds of such Casualty Event;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Cash Equivalents received by Holdings, the Borrower or any of the Restricted Subsidiaries in respect of such Casualty Event shall be deemed to be Net Available Cash of an Asset Disposition and such Net Available Cash shall be applied in accordance with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299" w:lineRule="exact"/>
        <w:rPr>
          <w:rFonts w:ascii="Arial" w:cs="Arial" w:eastAsia="Arial" w:hAnsi="Arial"/>
          <w:sz w:val="20"/>
          <w:szCs w:val="20"/>
          <w:color w:val="auto"/>
        </w:rPr>
      </w:pPr>
    </w:p>
    <w:p>
      <w:pPr>
        <w:jc w:val="both"/>
        <w:ind w:left="1440" w:right="20" w:firstLine="324"/>
        <w:spacing w:after="0" w:line="250" w:lineRule="auto"/>
        <w:tabs>
          <w:tab w:leader="none" w:pos="26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any sale of property or assets, if the acquisition of such property or assets was financed with Excluded Contributions and the proceeds of such sale are used to make a Restricted Payment pursuant to </w:t>
      </w:r>
      <w:r>
        <w:rPr>
          <w:rFonts w:ascii="Arial" w:cs="Arial" w:eastAsia="Arial" w:hAnsi="Arial"/>
          <w:sz w:val="20"/>
          <w:szCs w:val="20"/>
          <w:u w:val="single" w:color="auto"/>
          <w:color w:val="auto"/>
        </w:rPr>
        <w:t>Section 7.06(b)(xii)(b)</w:t>
      </w:r>
      <w:r>
        <w:rPr>
          <w:rFonts w:ascii="Arial" w:cs="Arial" w:eastAsia="Arial" w:hAnsi="Arial"/>
          <w:sz w:val="20"/>
          <w:szCs w:val="20"/>
          <w:color w:val="auto"/>
        </w:rPr>
        <w:t xml:space="preserve"> hereof;</w:t>
      </w:r>
    </w:p>
    <w:p>
      <w:pPr>
        <w:spacing w:after="0" w:line="293" w:lineRule="exact"/>
        <w:rPr>
          <w:rFonts w:ascii="Arial" w:cs="Arial" w:eastAsia="Arial" w:hAnsi="Arial"/>
          <w:sz w:val="20"/>
          <w:szCs w:val="20"/>
          <w:color w:val="auto"/>
        </w:rPr>
      </w:pPr>
    </w:p>
    <w:p>
      <w:pPr>
        <w:jc w:val="both"/>
        <w:ind w:left="1420" w:firstLine="454"/>
        <w:spacing w:after="0" w:line="260" w:lineRule="auto"/>
        <w:tabs>
          <w:tab w:leader="none" w:pos="2581" w:val="left"/>
        </w:tabs>
        <w:numPr>
          <w:ilvl w:val="1"/>
          <w:numId w:val="59"/>
        </w:numPr>
        <w:rPr>
          <w:rFonts w:ascii="Arial" w:cs="Arial" w:eastAsia="Arial" w:hAnsi="Arial"/>
          <w:sz w:val="19"/>
          <w:szCs w:val="19"/>
          <w:color w:val="auto"/>
        </w:rPr>
      </w:pPr>
      <w:r>
        <w:rPr>
          <w:rFonts w:ascii="Arial" w:cs="Arial" w:eastAsia="Arial" w:hAnsi="Arial"/>
          <w:sz w:val="19"/>
          <w:szCs w:val="19"/>
          <w:color w:val="auto"/>
        </w:rPr>
        <w:t>dispositions of (i) assets (including Capital Stock) acquired in a transaction after the Closing Date, which assets are not useful in the core or principal business of the Borrower and the Restricted Subsidiaries or (ii) assets (including Capital Stock) made in connection with the approval of any applicable antitrust authority or otherwise necessary or advisable in the reasonable determination of the Borrower to consummate any acquisition, provided that, in each case, such disposition shall have been consummated within 365 days of such acquisition;</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20" w:hanging="791"/>
        <w:spacing w:after="0"/>
        <w:tabs>
          <w:tab w:leader="none" w:pos="2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disposition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40" w:firstLine="532"/>
        <w:spacing w:after="0" w:line="250" w:lineRule="auto"/>
        <w:tabs>
          <w:tab w:leader="none" w:pos="26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disposition of non-revenue producing assets to a Person who is providing services related to such assets, the provision of which have been or are to be outsourced by the Borrower or any Restricted Subsidiary to such Person;</w:t>
      </w:r>
    </w:p>
    <w:p>
      <w:pPr>
        <w:spacing w:after="0" w:line="307" w:lineRule="exact"/>
        <w:rPr>
          <w:rFonts w:ascii="Arial" w:cs="Arial" w:eastAsia="Arial" w:hAnsi="Arial"/>
          <w:sz w:val="20"/>
          <w:szCs w:val="20"/>
          <w:color w:val="auto"/>
        </w:rPr>
      </w:pPr>
    </w:p>
    <w:p>
      <w:pPr>
        <w:ind w:left="2720" w:hanging="802"/>
        <w:spacing w:after="0"/>
        <w:tabs>
          <w:tab w:leader="none" w:pos="2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any Sale and Leaseback Transactions not prohibited under </w:t>
      </w:r>
      <w:r>
        <w:rPr>
          <w:rFonts w:ascii="Arial" w:cs="Arial" w:eastAsia="Arial" w:hAnsi="Arial"/>
          <w:sz w:val="20"/>
          <w:szCs w:val="20"/>
          <w:u w:val="single" w:color="auto"/>
          <w:color w:val="auto"/>
        </w:rPr>
        <w:t>Section 7.03</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hereof;</w:t>
      </w:r>
    </w:p>
    <w:p>
      <w:pPr>
        <w:spacing w:after="0" w:line="308" w:lineRule="exact"/>
        <w:rPr>
          <w:sz w:val="20"/>
          <w:szCs w:val="20"/>
          <w:color w:val="auto"/>
        </w:rPr>
      </w:pPr>
    </w:p>
    <w:p>
      <w:pPr>
        <w:jc w:val="both"/>
        <w:ind w:left="1440" w:right="20" w:firstLine="423"/>
        <w:spacing w:after="0" w:line="250" w:lineRule="auto"/>
        <w:tabs>
          <w:tab w:leader="none" w:pos="26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dispositions of noncore assets acquired in connection with a Permitted Acquisition or other permitted investment or made to obtain the approval of an anti-trust authority, and any other disposition to comply with any order of an agency, authority or other regulatory body or any applicable law or regulation;</w:t>
      </w:r>
    </w:p>
    <w:p>
      <w:pPr>
        <w:spacing w:after="0" w:line="212" w:lineRule="exact"/>
        <w:rPr>
          <w:rFonts w:ascii="Arial" w:cs="Arial" w:eastAsia="Arial" w:hAnsi="Arial"/>
          <w:sz w:val="20"/>
          <w:szCs w:val="20"/>
          <w:color w:val="auto"/>
        </w:rPr>
      </w:pPr>
    </w:p>
    <w:p>
      <w:pPr>
        <w:ind w:left="2460" w:hanging="383"/>
        <w:spacing w:after="0"/>
        <w:tabs>
          <w:tab w:leader="none" w:pos="2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disposition of assets not constituting Collateral of less than the greater of $50.0 million and 20% of LTM</w:t>
      </w:r>
    </w:p>
    <w:p>
      <w:pPr>
        <w:spacing w:after="0" w:line="38"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20"/>
          <w:szCs w:val="20"/>
          <w:color w:val="auto"/>
        </w:rPr>
        <w:t>EBITDA.</w:t>
      </w:r>
    </w:p>
    <w:p>
      <w:pPr>
        <w:spacing w:after="0" w:line="24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10.07(b)</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 an Assignment and Assumption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and (b) in the case of any assignment of Term Loans in connection with a Permitted Debt Exchange conducted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such form of assignment (if any) as may have been requested by the Administrative Agent in accordance with </w:t>
      </w:r>
      <w:r>
        <w:rPr>
          <w:rFonts w:ascii="Arial" w:cs="Arial" w:eastAsia="Arial" w:hAnsi="Arial"/>
          <w:sz w:val="20"/>
          <w:szCs w:val="20"/>
          <w:u w:val="single" w:color="auto"/>
          <w:color w:val="auto"/>
        </w:rPr>
        <w:t>Section 2.17(a)(viii)</w:t>
      </w:r>
      <w:r>
        <w:rPr>
          <w:rFonts w:ascii="Arial" w:cs="Arial" w:eastAsia="Arial" w:hAnsi="Arial"/>
          <w:sz w:val="20"/>
          <w:szCs w:val="20"/>
          <w:color w:val="auto"/>
        </w:rPr>
        <w:t xml:space="preserve"> or, in each case, any other form (including electronic documentation generated by MarkitClear or other electronic platform) approved by the Administrative Agent.</w:t>
      </w:r>
    </w:p>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expenses and disbursements of any law firm or other external</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legal counsel.</w:t>
      </w:r>
    </w:p>
    <w:p>
      <w:pPr>
        <w:spacing w:after="0" w:line="22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sheets of the Borrower (or a passive holding company of the Borrower) and related statements of income, changes in equity and cash flows of the Borrower (or a passive holding company of the Borrower) for the fiscal years ended December 31, 2019 and December 31, 2018.</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33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with respect to the Revolving Credit Facility, the period from and after the Closing Date to but excluding the earlier of the Maturity Date for the Revolving Credit Facility and the date of termination of the Revolving Credit Commitments in accordance with the provisions of this Agreement.</w:t>
      </w:r>
    </w:p>
    <w:p>
      <w:pPr>
        <w:spacing w:after="0" w:line="213"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21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 Code, as amended, or any similar federal or state law for the relief</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of debtors.</w:t>
      </w:r>
    </w:p>
    <w:p>
      <w:pPr>
        <w:spacing w:after="0" w:line="240"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spacing w:after="0" w:line="217"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a fluctuating interest rate per annum in effect from time to time, which rate per annum shall at all times be equal to the highest of: (a) the Prime Rate in effect on such day; (b) ½ of 1.00% per annum above the Federal Funds Rate in effect on such day; and (c) the Eurocurrency Rate for Dollar deposits for a one month Interest Period on such day (or if such day is not a Business Day, the immediately preceding Business Day), after giving effect to any applicable “floor”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Any change in the Base Rate for Dollar-denominated Loans due to a change in the Prime Rate, the Federal Funds Rate or the Eurocurrency Rate shall be effective from and including the Closing Date of such change in the Prime Rate, the Federal Funds Rate or the Eurocurrency Rate, respectively. If the Base Rate is being used as an alternate rate of interest pursuant to Section 3.02 (for the avoidance of doubt, only until an amendment to the applicable rate of interest has become effective in accordance with the terms of this Agreement), then the Base Rate shall be the greater of clauses (a) and (b) above and shall be determined without reference to clause (c) above. For the avoidance of doubt, if the Base Rate as determined pursuant to the foregoing would be less than 1.50%, such rate shall be deemed to be 1.50% for purposes of this Agreement.</w:t>
      </w:r>
    </w:p>
    <w:p>
      <w:pPr>
        <w:spacing w:after="0" w:line="22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at a rate based on the Base Rate.</w:t>
      </w:r>
    </w:p>
    <w:p>
      <w:pPr>
        <w:spacing w:after="0" w:line="324" w:lineRule="exact"/>
        <w:rPr>
          <w:sz w:val="20"/>
          <w:szCs w:val="20"/>
          <w:color w:val="auto"/>
        </w:rPr>
      </w:pPr>
    </w:p>
    <w:p>
      <w:pPr>
        <w:jc w:val="both"/>
        <w:ind w:left="140"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sum of: (a) the alternate benchmark rate (which may be a SOFR-Based Rate) that has been selected by the Administrative Agent and the Borrower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Rate for U.S. dollar-denominated syndicated credit facilities and (b) the Benchmark Replacement Adjustment;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Benchmark Replacement as so determined would be less than 0.50%, the Benchmark Replacement will be deemed to be 0.50% for the purposes of this Agreement;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further that any such Benchmark Replacement shall be administratively feasible as determined by the Administrative Agent in its</w:t>
      </w:r>
      <w:r>
        <w:rPr>
          <w:rFonts w:ascii="Arial" w:cs="Arial" w:eastAsia="Arial" w:hAnsi="Arial"/>
          <w:sz w:val="20"/>
          <w:szCs w:val="20"/>
          <w:i w:val="1"/>
          <w:iCs w:val="1"/>
          <w:color w:val="auto"/>
        </w:rPr>
        <w:t xml:space="preserve"> </w:t>
      </w:r>
      <w:r>
        <w:rPr>
          <w:rFonts w:ascii="Arial" w:cs="Arial" w:eastAsia="Arial" w:hAnsi="Arial"/>
          <w:sz w:val="20"/>
          <w:szCs w:val="20"/>
          <w:color w:val="auto"/>
        </w:rPr>
        <w:t>sole discretion.</w:t>
      </w:r>
    </w:p>
    <w:p>
      <w:pPr>
        <w:spacing w:after="0" w:line="237"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Eurocurrency Rate with an Unadjusted Benchmark Replacement for each applicable Interest Period, the spread adjustment, or method for calculating or determining such spread adjustment, (which may be a positive or negative value or zero), if any, that has been selected by the Administrative Agent and the Borrower giving due consideration to (i) any selection or recommendation of a spread adjustment, or</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47" w:lineRule="auto"/>
        <w:rPr>
          <w:sz w:val="20"/>
          <w:szCs w:val="20"/>
          <w:color w:val="auto"/>
        </w:rPr>
      </w:pPr>
      <w:r>
        <w:rPr>
          <w:rFonts w:ascii="Arial" w:cs="Arial" w:eastAsia="Arial" w:hAnsi="Arial"/>
          <w:sz w:val="20"/>
          <w:szCs w:val="20"/>
          <w:color w:val="auto"/>
        </w:rPr>
        <w:t>method for calculating or determining such spread adjustment, for the replacement of the Eurocurrency Rate with the applicable Unadjusted Benchmark Replacement by the Relevant Governmental Body and/or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(ii) any evolving or then-prevailing market convention for determining a spread adjustment, or method for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calculating or determining such spread adjustment, for the replacement of the Eurocurrency Rate with the applicable Unadjusted Benchmark Replacement for U.S. dollar-denominated syndicated credit facilities at such time (for the avoidance of doubt, such Benchmark Replacement Adjustment shall not be in the form of a reduction to the Applicable Rate).</w:t>
      </w:r>
    </w:p>
    <w:p>
      <w:pPr>
        <w:spacing w:after="0" w:line="226" w:lineRule="exact"/>
        <w:rPr>
          <w:sz w:val="20"/>
          <w:szCs w:val="20"/>
          <w:color w:val="auto"/>
        </w:rPr>
      </w:pPr>
    </w:p>
    <w:p>
      <w:pPr>
        <w:jc w:val="both"/>
        <w:ind w:left="14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earlier to occur of the following events with respect to the Eurocurrency Rate:</w:t>
      </w:r>
    </w:p>
    <w:p>
      <w:pPr>
        <w:spacing w:after="0" w:line="279" w:lineRule="exact"/>
        <w:rPr>
          <w:sz w:val="20"/>
          <w:szCs w:val="20"/>
          <w:color w:val="auto"/>
        </w:rPr>
      </w:pPr>
    </w:p>
    <w:p>
      <w:pPr>
        <w:jc w:val="both"/>
        <w:ind w:left="140" w:right="20" w:firstLine="641"/>
        <w:spacing w:after="0" w:line="250" w:lineRule="auto"/>
        <w:tabs>
          <w:tab w:leader="none" w:pos="1301"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the Eurocurrency Rate permanently or indefinitely ceases to provide the Eurocurrency Rate; or</w:t>
      </w:r>
    </w:p>
    <w:p>
      <w:pPr>
        <w:spacing w:after="0" w:line="212" w:lineRule="exact"/>
        <w:rPr>
          <w:rFonts w:ascii="Arial" w:cs="Arial" w:eastAsia="Arial" w:hAnsi="Arial"/>
          <w:sz w:val="20"/>
          <w:szCs w:val="20"/>
          <w:color w:val="auto"/>
        </w:rPr>
      </w:pPr>
    </w:p>
    <w:p>
      <w:pPr>
        <w:ind w:left="140" w:firstLine="641"/>
        <w:spacing w:after="0" w:line="260" w:lineRule="auto"/>
        <w:tabs>
          <w:tab w:leader="none" w:pos="13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Eurocurrency Rate:</w:t>
      </w:r>
    </w:p>
    <w:p>
      <w:pPr>
        <w:spacing w:after="0" w:line="227" w:lineRule="exact"/>
        <w:rPr>
          <w:sz w:val="20"/>
          <w:szCs w:val="20"/>
          <w:color w:val="auto"/>
        </w:rPr>
      </w:pPr>
    </w:p>
    <w:p>
      <w:pPr>
        <w:jc w:val="both"/>
        <w:ind w:left="140" w:firstLine="641"/>
        <w:spacing w:after="0" w:line="291" w:lineRule="auto"/>
        <w:tabs>
          <w:tab w:leader="none" w:pos="13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the Eurocurrency Rate announcing that such administrator has ceased or will cease to provide the Eurocurrency Rate,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Eurocurrency Rate;</w:t>
      </w:r>
    </w:p>
    <w:p>
      <w:pPr>
        <w:spacing w:after="0" w:line="178" w:lineRule="exact"/>
        <w:rPr>
          <w:rFonts w:ascii="Arial" w:cs="Arial" w:eastAsia="Arial" w:hAnsi="Arial"/>
          <w:sz w:val="18"/>
          <w:szCs w:val="18"/>
          <w:color w:val="auto"/>
        </w:rPr>
      </w:pPr>
    </w:p>
    <w:p>
      <w:pPr>
        <w:jc w:val="both"/>
        <w:ind w:left="140" w:firstLine="642"/>
        <w:spacing w:after="0" w:line="276" w:lineRule="auto"/>
        <w:tabs>
          <w:tab w:leader="none" w:pos="13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the Eurocurrency Rate, the U.S. Federal Reserve System, an insolvency official with jurisdiction over the administrator for the Eurocurrency Rate, a resolution authority with jurisdiction over the administrator for the Eurocurrency Rate or a court or an entity with similar insolvency or resolution authority over the administrator for the Eurocurrency Rate, in each case which states that the administrator of the Eurocurrency Rate has ceased or will cease to provide the Eurocurrency Rate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Eurocurrency Rate; and/or</w:t>
      </w:r>
    </w:p>
    <w:p>
      <w:pPr>
        <w:spacing w:after="0" w:line="191" w:lineRule="exact"/>
        <w:rPr>
          <w:rFonts w:ascii="Arial" w:cs="Arial" w:eastAsia="Arial" w:hAnsi="Arial"/>
          <w:sz w:val="18"/>
          <w:szCs w:val="18"/>
          <w:color w:val="auto"/>
        </w:rPr>
      </w:pPr>
    </w:p>
    <w:p>
      <w:pPr>
        <w:ind w:left="140" w:right="20" w:firstLine="641"/>
        <w:spacing w:after="0" w:line="260" w:lineRule="auto"/>
        <w:tabs>
          <w:tab w:leader="none" w:pos="1301"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the Eurocurrency Rate announcing that the Eurocurrency Rate is no longer representative.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Start Date</w:t>
      </w:r>
      <w:r>
        <w:rPr>
          <w:rFonts w:ascii="Arial" w:cs="Arial" w:eastAsia="Arial" w:hAnsi="Arial"/>
          <w:sz w:val="20"/>
          <w:szCs w:val="20"/>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6" w:lineRule="auto"/>
        <w:rPr>
          <w:sz w:val="20"/>
          <w:szCs w:val="20"/>
          <w:color w:val="auto"/>
        </w:rPr>
      </w:pPr>
      <w:r>
        <w:rPr>
          <w:rFonts w:ascii="Arial" w:cs="Arial" w:eastAsia="Arial" w:hAnsi="Arial"/>
          <w:sz w:val="20"/>
          <w:szCs w:val="20"/>
          <w:color w:val="auto"/>
        </w:rPr>
        <w:t>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Borrower as applicable, by notice to the Borrower, the Administrative Agent (in the case of such notice by the Borrower) and the Lenders.</w:t>
      </w:r>
    </w:p>
    <w:p>
      <w:pPr>
        <w:spacing w:after="0" w:line="232" w:lineRule="exact"/>
        <w:rPr>
          <w:sz w:val="20"/>
          <w:szCs w:val="20"/>
          <w:color w:val="auto"/>
        </w:rPr>
      </w:pPr>
    </w:p>
    <w:p>
      <w:pPr>
        <w:jc w:val="both"/>
        <w:ind w:left="1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if a Benchmark Transition Event and its related Benchmark Replacement Date have occurred with respect to the Eurocurrency Rate and solely to the extent that the Eurocurrency Rate has not been replaced with a Benchmark Replacement, the period (x) beginning at the time that such Benchmark Replacement Date has occurred if, at such time, no Benchmark Replacement has replaced the Eurocurrency Rate for all purposes hereunder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(y) ending at the time that a Benchmark Replacement has replaced the Eurocurrency Rate for all purposes hereunder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27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324"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18"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217"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(1) with respect to the Borrower or any corporation, the board of directors or managers, as applicable, of the corporation, or any duly authorized committee thereof; (2) with respect to any partnership, the board of directors or other governing body of the general partner, as applicable, of the partnership or any duly authorized committee thereof; (3) with respect to a limited liability company, the managing member or members or any duly authorized controlling committee thereof; and (4)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Borrower.</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to this Agreement.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Loans of the same Class, Type and currency, made, converted or continued on the same date and, in the case of Eurocurrency Rate Loans, as to which a single Interest Period is in effect.</w:t>
      </w:r>
    </w:p>
    <w:p>
      <w:pPr>
        <w:spacing w:after="0" w:line="29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Minimum</w:t>
      </w:r>
      <w:r>
        <w:rPr>
          <w:rFonts w:ascii="Arial" w:cs="Arial" w:eastAsia="Arial" w:hAnsi="Arial"/>
          <w:sz w:val="20"/>
          <w:szCs w:val="20"/>
          <w:color w:val="auto"/>
        </w:rPr>
        <w:t>” means in the case of a Borrowing denominated in Dollars, $1.0</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million.</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in the case of a Borrowing denominated in Dollars, $100,000.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20" w:firstLine="1345"/>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that when used in connection with a Eurocurrency Rate Loan, the term “Business Day” shall also exclude any day on which banks are not open for dealings in Dollar deposits in the London interbank market.</w:t>
      </w:r>
    </w:p>
    <w:p>
      <w:pPr>
        <w:spacing w:after="0" w:line="192"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Successor</w:t>
      </w:r>
      <w:r>
        <w:rPr>
          <w:rFonts w:ascii="Arial" w:cs="Arial" w:eastAsia="Arial" w:hAnsi="Arial"/>
          <w:sz w:val="19"/>
          <w:szCs w:val="19"/>
          <w:color w:val="auto"/>
        </w:rPr>
        <w:t>” means (i) any former Subsidiary of Holdings and (ii) any Person that, after the Closing Date, has acquired, merged or consolidated with a Subsidiary of Holdings (that results in such Subsidiary ceasing to be a Subsidiary of Holdings), or acquired (in one transaction or a series of transactions) all or substantially all of the property and assets or business of a Subsidiary or assets constituting a business unit, line of business or division of a Subsidiary of Holdings.</w:t>
      </w:r>
    </w:p>
    <w:p>
      <w:pPr>
        <w:spacing w:after="0" w:line="203" w:lineRule="exact"/>
        <w:rPr>
          <w:sz w:val="20"/>
          <w:szCs w:val="20"/>
          <w:color w:val="auto"/>
        </w:rPr>
      </w:pPr>
    </w:p>
    <w:p>
      <w:pPr>
        <w:jc w:val="both"/>
        <w:ind w:left="140" w:firstLine="132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226" w:lineRule="exact"/>
        <w:rPr>
          <w:sz w:val="20"/>
          <w:szCs w:val="20"/>
          <w:color w:val="auto"/>
        </w:rPr>
      </w:pPr>
    </w:p>
    <w:p>
      <w:pPr>
        <w:ind w:left="140" w:right="20"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xml:space="preserve">”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 other provision contained herein, for all purposes under this Agreement and the other Loan Documents, all obligations of the Borrower and the Restricted Subsidiaries that are or would be characterized as an operating lease prior to the issuance by the Financial Accounting Standards Board on February 25, 2016 of an Accounting Standards Update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w:t>
      </w:r>
    </w:p>
    <w:p>
      <w:pPr>
        <w:spacing w:after="0" w:line="214"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Software Expenditures</w:t>
      </w:r>
      <w:r>
        <w:rPr>
          <w:rFonts w:ascii="Arial" w:cs="Arial" w:eastAsia="Arial" w:hAnsi="Arial"/>
          <w:sz w:val="20"/>
          <w:szCs w:val="20"/>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218" w:lineRule="exact"/>
        <w:rPr>
          <w:sz w:val="20"/>
          <w:szCs w:val="20"/>
          <w:color w:val="auto"/>
        </w:rPr>
      </w:pPr>
    </w:p>
    <w:p>
      <w:pPr>
        <w:ind w:left="140" w:right="6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means any Subsidiary of the Borrower that is subject to regulation as an insurance company (or any Subsidiary thereof).</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Holdings or any Restricted</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Subsidiary:</w:t>
      </w:r>
    </w:p>
    <w:p>
      <w:pPr>
        <w:spacing w:after="0" w:line="240" w:lineRule="exact"/>
        <w:rPr>
          <w:sz w:val="20"/>
          <w:szCs w:val="20"/>
          <w:color w:val="auto"/>
        </w:rPr>
      </w:pPr>
    </w:p>
    <w:p>
      <w:pPr>
        <w:ind w:left="780" w:right="40" w:firstLine="649"/>
        <w:spacing w:after="0" w:line="260" w:lineRule="auto"/>
        <w:tabs>
          <w:tab w:leader="none" w:pos="1942" w:val="left"/>
        </w:tabs>
        <w:numPr>
          <w:ilvl w:val="0"/>
          <w:numId w:val="65"/>
        </w:numPr>
        <w:rPr>
          <w:rFonts w:ascii="Arial" w:cs="Arial" w:eastAsia="Arial" w:hAnsi="Arial"/>
          <w:sz w:val="20"/>
          <w:szCs w:val="20"/>
          <w:color w:val="auto"/>
        </w:rPr>
      </w:pPr>
      <w:r>
        <w:rPr>
          <w:rFonts w:ascii="Arial" w:cs="Arial" w:eastAsia="Arial" w:hAnsi="Arial"/>
          <w:sz w:val="20"/>
          <w:szCs w:val="20"/>
          <w:color w:val="auto"/>
        </w:rPr>
        <w:t>U.S. Dollars or any other foreign currency held by Holdings and its Restricted Subsidiaries from time to time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firstLine="649"/>
        <w:spacing w:after="0" w:line="260" w:lineRule="auto"/>
        <w:tabs>
          <w:tab w:leader="none" w:pos="19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United States government or any agency or instrumentality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full faith and credit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640"/>
          </w:cols>
          <w:pgMar w:left="320" w:top="121" w:right="9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obligation of the United States is pledged in support thereof), with maturities of 36 months or less from the date of acquisition;</w:t>
      </w:r>
    </w:p>
    <w:p>
      <w:pPr>
        <w:spacing w:after="0" w:line="279" w:lineRule="exact"/>
        <w:rPr>
          <w:sz w:val="20"/>
          <w:szCs w:val="20"/>
          <w:color w:val="auto"/>
        </w:rPr>
      </w:pPr>
    </w:p>
    <w:p>
      <w:pPr>
        <w:jc w:val="both"/>
        <w:ind w:left="780" w:firstLine="648"/>
        <w:spacing w:after="0" w:line="259" w:lineRule="auto"/>
        <w:tabs>
          <w:tab w:leader="none" w:pos="1942" w:val="left"/>
        </w:tabs>
        <w:numPr>
          <w:ilvl w:val="0"/>
          <w:numId w:val="67"/>
        </w:numPr>
        <w:rPr>
          <w:rFonts w:ascii="Arial" w:cs="Arial" w:eastAsia="Arial" w:hAnsi="Arial"/>
          <w:sz w:val="19"/>
          <w:szCs w:val="19"/>
          <w:color w:val="auto"/>
        </w:rPr>
      </w:pPr>
      <w:r>
        <w:rPr>
          <w:rFonts w:ascii="Arial" w:cs="Arial" w:eastAsia="Arial" w:hAnsi="Arial"/>
          <w:sz w:val="19"/>
          <w:szCs w:val="19"/>
          <w:color w:val="auto"/>
        </w:rPr>
        <w:t>certificates of deposit, time deposits, eurodollar time deposits, overnight bank deposits, demand deposits or bankers’ acceptances having maturities of not more than two years from the date of acquisition thereof issued by any lender or by any bank, trust company or any other financial institution (a) whose commercial paper is rated at least “A-2” or the equivalent thereof by S&amp;P or at least “P-2” or the equivalent thereof by Moody’s (or, if at the time, neither S&amp;P nor Moody’s is rating such obligations, then a comparable rating from another Nationally Recognized Statistical Rating Organization selected by the Borrower) or (b) having combined capital and surplus in excess of $100.0 million;</w:t>
      </w:r>
    </w:p>
    <w:p>
      <w:pPr>
        <w:spacing w:after="0" w:line="205" w:lineRule="exact"/>
        <w:rPr>
          <w:rFonts w:ascii="Arial" w:cs="Arial" w:eastAsia="Arial" w:hAnsi="Arial"/>
          <w:sz w:val="19"/>
          <w:szCs w:val="19"/>
          <w:color w:val="auto"/>
        </w:rPr>
      </w:pPr>
    </w:p>
    <w:p>
      <w:pPr>
        <w:ind w:left="780" w:firstLine="650"/>
        <w:spacing w:after="0" w:line="260" w:lineRule="auto"/>
        <w:tabs>
          <w:tab w:leader="none" w:pos="1941"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repurchase obligations for underlying securities of the types described in </w:t>
      </w:r>
      <w:r>
        <w:rPr>
          <w:rFonts w:ascii="Arial" w:cs="Arial" w:eastAsia="Arial" w:hAnsi="Arial"/>
          <w:sz w:val="20"/>
          <w:szCs w:val="20"/>
          <w:u w:val="single" w:color="auto"/>
          <w:color w:val="auto"/>
        </w:rPr>
        <w:t>clauses (2)</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w:t>
      </w:r>
      <w:r>
        <w:rPr>
          <w:rFonts w:ascii="Arial" w:cs="Arial" w:eastAsia="Arial" w:hAnsi="Arial"/>
          <w:sz w:val="20"/>
          <w:szCs w:val="20"/>
          <w:color w:val="auto"/>
        </w:rPr>
        <w:t xml:space="preserve"> entered into with any bank meeting the qualifications specified in </w:t>
      </w:r>
      <w:r>
        <w:rPr>
          <w:rFonts w:ascii="Arial" w:cs="Arial" w:eastAsia="Arial" w:hAnsi="Arial"/>
          <w:sz w:val="20"/>
          <w:szCs w:val="20"/>
          <w:u w:val="single" w:color="auto"/>
          <w:color w:val="auto"/>
        </w:rPr>
        <w:t>clause (3)</w:t>
      </w:r>
      <w:r>
        <w:rPr>
          <w:rFonts w:ascii="Arial" w:cs="Arial" w:eastAsia="Arial" w:hAnsi="Arial"/>
          <w:sz w:val="20"/>
          <w:szCs w:val="20"/>
          <w:color w:val="auto"/>
        </w:rPr>
        <w:t xml:space="preserve"> above;</w:t>
      </w:r>
    </w:p>
    <w:p>
      <w:pPr>
        <w:spacing w:after="0" w:line="217" w:lineRule="exact"/>
        <w:rPr>
          <w:rFonts w:ascii="Arial" w:cs="Arial" w:eastAsia="Arial" w:hAnsi="Arial"/>
          <w:sz w:val="20"/>
          <w:szCs w:val="20"/>
          <w:color w:val="auto"/>
        </w:rPr>
      </w:pPr>
    </w:p>
    <w:p>
      <w:pPr>
        <w:ind w:left="780" w:firstLine="649"/>
        <w:spacing w:after="0" w:line="260" w:lineRule="auto"/>
        <w:tabs>
          <w:tab w:leader="none" w:pos="1942"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securities with maturities of two years or less from the date of acquisition backed by standby letters of credit issued by any Person meeting the qualifications in </w:t>
      </w:r>
      <w:r>
        <w:rPr>
          <w:rFonts w:ascii="Arial" w:cs="Arial" w:eastAsia="Arial" w:hAnsi="Arial"/>
          <w:sz w:val="20"/>
          <w:szCs w:val="20"/>
          <w:u w:val="single" w:color="auto"/>
          <w:color w:val="auto"/>
        </w:rPr>
        <w:t>clause (3)</w:t>
      </w:r>
      <w:r>
        <w:rPr>
          <w:rFonts w:ascii="Arial" w:cs="Arial" w:eastAsia="Arial" w:hAnsi="Arial"/>
          <w:sz w:val="20"/>
          <w:szCs w:val="20"/>
          <w:color w:val="auto"/>
        </w:rPr>
        <w:t xml:space="preserve"> above;</w:t>
      </w:r>
    </w:p>
    <w:p>
      <w:pPr>
        <w:spacing w:after="0" w:line="284" w:lineRule="exact"/>
        <w:rPr>
          <w:rFonts w:ascii="Arial" w:cs="Arial" w:eastAsia="Arial" w:hAnsi="Arial"/>
          <w:sz w:val="20"/>
          <w:szCs w:val="20"/>
          <w:color w:val="auto"/>
        </w:rPr>
      </w:pPr>
    </w:p>
    <w:p>
      <w:pPr>
        <w:jc w:val="both"/>
        <w:ind w:left="780" w:firstLine="649"/>
        <w:spacing w:after="0" w:line="246" w:lineRule="auto"/>
        <w:tabs>
          <w:tab w:leader="none" w:pos="1941"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231" w:lineRule="exact"/>
        <w:rPr>
          <w:rFonts w:ascii="Arial" w:cs="Arial" w:eastAsia="Arial" w:hAnsi="Arial"/>
          <w:sz w:val="20"/>
          <w:szCs w:val="20"/>
          <w:color w:val="auto"/>
        </w:rPr>
      </w:pPr>
    </w:p>
    <w:p>
      <w:pPr>
        <w:jc w:val="both"/>
        <w:ind w:left="780" w:firstLine="649"/>
        <w:spacing w:after="0" w:line="250" w:lineRule="auto"/>
        <w:tabs>
          <w:tab w:leader="none" w:pos="1942"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Borrower);</w:t>
      </w:r>
    </w:p>
    <w:p>
      <w:pPr>
        <w:spacing w:after="0" w:line="212" w:lineRule="exact"/>
        <w:rPr>
          <w:rFonts w:ascii="Arial" w:cs="Arial" w:eastAsia="Arial" w:hAnsi="Arial"/>
          <w:sz w:val="20"/>
          <w:szCs w:val="20"/>
          <w:color w:val="auto"/>
        </w:rPr>
      </w:pPr>
    </w:p>
    <w:p>
      <w:pPr>
        <w:jc w:val="both"/>
        <w:ind w:left="780" w:firstLine="649"/>
        <w:spacing w:after="0" w:line="260" w:lineRule="auto"/>
        <w:tabs>
          <w:tab w:leader="none" w:pos="1947"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220" w:lineRule="exact"/>
        <w:rPr>
          <w:rFonts w:ascii="Arial" w:cs="Arial" w:eastAsia="Arial" w:hAnsi="Arial"/>
          <w:sz w:val="19"/>
          <w:szCs w:val="19"/>
          <w:color w:val="auto"/>
        </w:rPr>
      </w:pPr>
    </w:p>
    <w:p>
      <w:pPr>
        <w:jc w:val="both"/>
        <w:ind w:left="780" w:firstLine="649"/>
        <w:spacing w:after="0" w:line="244" w:lineRule="auto"/>
        <w:tabs>
          <w:tab w:leader="none" w:pos="19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readily marketable direct obligations issued by any foreign government or any political subdivision, taxing authority or agency or instrumentality thereof, with a rating of “BBB- ”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234" w:lineRule="exact"/>
        <w:rPr>
          <w:rFonts w:ascii="Arial" w:cs="Arial" w:eastAsia="Arial" w:hAnsi="Arial"/>
          <w:sz w:val="20"/>
          <w:szCs w:val="20"/>
          <w:color w:val="auto"/>
        </w:rPr>
      </w:pPr>
    </w:p>
    <w:p>
      <w:pPr>
        <w:jc w:val="both"/>
        <w:ind w:left="780" w:firstLine="649"/>
        <w:spacing w:after="0" w:line="246" w:lineRule="auto"/>
        <w:tabs>
          <w:tab w:leader="none" w:pos="19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Borrower);</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49"/>
        <w:spacing w:after="0" w:line="255" w:lineRule="auto"/>
        <w:tabs>
          <w:tab w:leader="none" w:pos="1943" w:val="left"/>
        </w:tabs>
        <w:numPr>
          <w:ilvl w:val="2"/>
          <w:numId w:val="68"/>
        </w:numPr>
        <w:rPr>
          <w:rFonts w:ascii="Arial" w:cs="Arial" w:eastAsia="Arial" w:hAnsi="Arial"/>
          <w:sz w:val="19"/>
          <w:szCs w:val="19"/>
          <w:color w:val="auto"/>
        </w:rPr>
      </w:pPr>
      <w:r>
        <w:rPr>
          <w:rFonts w:ascii="Arial" w:cs="Arial" w:eastAsia="Arial" w:hAnsi="Arial"/>
          <w:sz w:val="19"/>
          <w:szCs w:val="19"/>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9"/>
          <w:szCs w:val="19"/>
          <w:u w:val="single" w:color="auto"/>
          <w:color w:val="auto"/>
        </w:rPr>
        <w:t>Approved Foreign Bank</w:t>
      </w:r>
      <w:r>
        <w:rPr>
          <w:rFonts w:ascii="Arial" w:cs="Arial" w:eastAsia="Arial" w:hAnsi="Arial"/>
          <w:sz w:val="19"/>
          <w:szCs w:val="19"/>
          <w:color w:val="auto"/>
        </w:rPr>
        <w:t>”), and in each case with maturities of not more than 270 days from the date of acquisition and (iii) the equivalent of demand deposit accounts which are maintained with an Approved Foreign Bank;</w:t>
      </w:r>
    </w:p>
    <w:p>
      <w:pPr>
        <w:spacing w:after="0" w:line="230" w:lineRule="exact"/>
        <w:rPr>
          <w:rFonts w:ascii="Arial" w:cs="Arial" w:eastAsia="Arial" w:hAnsi="Arial"/>
          <w:sz w:val="19"/>
          <w:szCs w:val="19"/>
          <w:color w:val="auto"/>
        </w:rPr>
      </w:pPr>
    </w:p>
    <w:p>
      <w:pPr>
        <w:jc w:val="both"/>
        <w:ind w:left="780" w:firstLine="649"/>
        <w:spacing w:after="0" w:line="246" w:lineRule="auto"/>
        <w:tabs>
          <w:tab w:leader="none" w:pos="1940" w:val="left"/>
        </w:tabs>
        <w:numPr>
          <w:ilvl w:val="2"/>
          <w:numId w:val="68"/>
        </w:numPr>
        <w:rPr>
          <w:rFonts w:ascii="Arial" w:cs="Arial" w:eastAsia="Arial" w:hAnsi="Arial"/>
          <w:sz w:val="20"/>
          <w:szCs w:val="20"/>
          <w:color w:val="auto"/>
        </w:rPr>
      </w:pPr>
      <w:r>
        <w:rPr>
          <w:rFonts w:ascii="Arial" w:cs="Arial" w:eastAsia="Arial" w:hAnsi="Arial"/>
          <w:sz w:val="20"/>
          <w:szCs w:val="20"/>
          <w:color w:val="auto"/>
        </w:rPr>
        <w:t>Indebtedness or Preferred Stock issued by Persons with a rating of “BBB-” or higher from S&amp;P or “Baa3” or higher from Moody’s (or, if at the time, neither S&amp;P nor Moody’s is rating such obligations, then a comparable rating from another Nationally Recognized Statistical Rating Organization selected by the Borrower) with maturities of 24 months or less from the date of acquisition;</w:t>
      </w:r>
    </w:p>
    <w:p>
      <w:pPr>
        <w:spacing w:after="0" w:line="218" w:lineRule="exact"/>
        <w:rPr>
          <w:rFonts w:ascii="Arial" w:cs="Arial" w:eastAsia="Arial" w:hAnsi="Arial"/>
          <w:sz w:val="20"/>
          <w:szCs w:val="20"/>
          <w:color w:val="auto"/>
        </w:rPr>
      </w:pPr>
    </w:p>
    <w:p>
      <w:pPr>
        <w:jc w:val="both"/>
        <w:ind w:left="780" w:firstLine="649"/>
        <w:spacing w:after="0" w:line="385" w:lineRule="auto"/>
        <w:tabs>
          <w:tab w:leader="none" w:pos="1942" w:val="left"/>
        </w:tabs>
        <w:numPr>
          <w:ilvl w:val="2"/>
          <w:numId w:val="68"/>
        </w:numPr>
        <w:rPr>
          <w:rFonts w:ascii="Arial" w:cs="Arial" w:eastAsia="Arial" w:hAnsi="Arial"/>
          <w:sz w:val="16"/>
          <w:szCs w:val="16"/>
          <w:color w:val="auto"/>
        </w:rPr>
      </w:pPr>
      <w:r>
        <w:rPr>
          <w:rFonts w:ascii="Arial" w:cs="Arial" w:eastAsia="Arial" w:hAnsi="Arial"/>
          <w:sz w:val="16"/>
          <w:szCs w:val="16"/>
          <w:color w:val="auto"/>
        </w:rPr>
        <w:t>bills of exchange issued in the United States of America, Canada, the United Kingdom, Japan or a member state of the European Union eligible for rediscount at the relevant central bank and accepted by a bank (or any dematerialized equivalent);</w:t>
      </w:r>
    </w:p>
    <w:p>
      <w:pPr>
        <w:spacing w:after="0" w:line="125" w:lineRule="exact"/>
        <w:rPr>
          <w:rFonts w:ascii="Arial" w:cs="Arial" w:eastAsia="Arial" w:hAnsi="Arial"/>
          <w:sz w:val="16"/>
          <w:szCs w:val="16"/>
          <w:color w:val="auto"/>
        </w:rPr>
      </w:pPr>
    </w:p>
    <w:p>
      <w:pPr>
        <w:jc w:val="both"/>
        <w:ind w:left="780" w:firstLine="649"/>
        <w:spacing w:after="0" w:line="243" w:lineRule="auto"/>
        <w:tabs>
          <w:tab w:leader="none" w:pos="1940" w:val="left"/>
        </w:tabs>
        <w:numPr>
          <w:ilvl w:val="2"/>
          <w:numId w:val="68"/>
        </w:numPr>
        <w:rPr>
          <w:rFonts w:ascii="Arial" w:cs="Arial" w:eastAsia="Arial" w:hAnsi="Arial"/>
          <w:sz w:val="20"/>
          <w:szCs w:val="20"/>
          <w:color w:val="auto"/>
        </w:rPr>
      </w:pPr>
      <w:r>
        <w:rPr>
          <w:rFonts w:ascii="Arial" w:cs="Arial" w:eastAsia="Arial" w:hAnsi="Arial"/>
          <w:sz w:val="20"/>
          <w:szCs w:val="20"/>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w:t>
      </w:r>
    </w:p>
    <w:p>
      <w:pPr>
        <w:spacing w:after="0" w:line="2" w:lineRule="exact"/>
        <w:rPr>
          <w:rFonts w:ascii="Arial" w:cs="Arial" w:eastAsia="Arial" w:hAnsi="Arial"/>
          <w:sz w:val="20"/>
          <w:szCs w:val="20"/>
          <w:color w:val="auto"/>
        </w:rPr>
      </w:pPr>
    </w:p>
    <w:p>
      <w:pPr>
        <w:ind w:left="1060" w:hanging="279"/>
        <w:spacing w:after="0"/>
        <w:tabs>
          <w:tab w:leader="none" w:pos="10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above;</w:t>
      </w:r>
    </w:p>
    <w:p>
      <w:pPr>
        <w:spacing w:after="0" w:line="240" w:lineRule="exact"/>
        <w:rPr>
          <w:rFonts w:ascii="Arial" w:cs="Arial" w:eastAsia="Arial" w:hAnsi="Arial"/>
          <w:sz w:val="20"/>
          <w:szCs w:val="20"/>
          <w:color w:val="auto"/>
        </w:rPr>
      </w:pPr>
    </w:p>
    <w:p>
      <w:pPr>
        <w:ind w:left="1940" w:hanging="511"/>
        <w:spacing w:after="0"/>
        <w:tabs>
          <w:tab w:leader="none" w:pos="1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Cash Equivalents or instruments similar to those referred to in the clauses above denominated in U.S. Dollars;</w:t>
      </w:r>
    </w:p>
    <w:p>
      <w:pPr>
        <w:spacing w:after="0" w:line="265" w:lineRule="exact"/>
        <w:rPr>
          <w:rFonts w:ascii="Arial" w:cs="Arial" w:eastAsia="Arial" w:hAnsi="Arial"/>
          <w:sz w:val="18"/>
          <w:szCs w:val="18"/>
          <w:color w:val="auto"/>
        </w:rPr>
      </w:pPr>
    </w:p>
    <w:p>
      <w:pPr>
        <w:ind w:left="780" w:firstLine="650"/>
        <w:spacing w:after="0" w:line="260" w:lineRule="auto"/>
        <w:tabs>
          <w:tab w:leader="none" w:pos="1942"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investment company, money market, enhanced high yield, pooled or other investment fund investing 90.0% or more of its assets in instruments of the types specified in the clauses above;</w:t>
      </w:r>
    </w:p>
    <w:p>
      <w:pPr>
        <w:spacing w:after="0" w:line="217" w:lineRule="exact"/>
        <w:rPr>
          <w:rFonts w:ascii="Arial" w:cs="Arial" w:eastAsia="Arial" w:hAnsi="Arial"/>
          <w:sz w:val="20"/>
          <w:szCs w:val="20"/>
          <w:color w:val="auto"/>
        </w:rPr>
      </w:pPr>
    </w:p>
    <w:p>
      <w:pPr>
        <w:ind w:left="780" w:right="20" w:firstLine="649"/>
        <w:spacing w:after="0" w:line="260" w:lineRule="auto"/>
        <w:tabs>
          <w:tab w:leader="none" w:pos="1943" w:val="left"/>
        </w:tabs>
        <w:numPr>
          <w:ilvl w:val="1"/>
          <w:numId w:val="69"/>
        </w:numPr>
        <w:rPr>
          <w:rFonts w:ascii="Arial" w:cs="Arial" w:eastAsia="Arial" w:hAnsi="Arial"/>
          <w:sz w:val="20"/>
          <w:szCs w:val="20"/>
          <w:color w:val="auto"/>
        </w:rPr>
      </w:pPr>
      <w:r>
        <w:rPr>
          <w:rFonts w:ascii="Arial" w:cs="Arial" w:eastAsia="Arial" w:hAnsi="Arial"/>
          <w:sz w:val="20"/>
          <w:szCs w:val="20"/>
          <w:color w:val="auto"/>
        </w:rPr>
        <w:t>for purposes of clause (2) of the definition of “Asset Disposition,” any marketable securities portfolio owned by Holdings and its Subsidiaries on the Closing Date; and</w:t>
      </w:r>
    </w:p>
    <w:p>
      <w:pPr>
        <w:spacing w:after="0" w:line="217" w:lineRule="exact"/>
        <w:rPr>
          <w:rFonts w:ascii="Arial" w:cs="Arial" w:eastAsia="Arial" w:hAnsi="Arial"/>
          <w:sz w:val="20"/>
          <w:szCs w:val="20"/>
          <w:color w:val="auto"/>
        </w:rPr>
      </w:pPr>
    </w:p>
    <w:p>
      <w:pPr>
        <w:ind w:left="780" w:firstLine="650"/>
        <w:spacing w:after="0" w:line="287" w:lineRule="auto"/>
        <w:tabs>
          <w:tab w:leader="none" w:pos="1942" w:val="left"/>
        </w:tabs>
        <w:numPr>
          <w:ilvl w:val="1"/>
          <w:numId w:val="69"/>
        </w:numPr>
        <w:rPr>
          <w:rFonts w:ascii="Arial" w:cs="Arial" w:eastAsia="Arial" w:hAnsi="Arial"/>
          <w:sz w:val="19"/>
          <w:szCs w:val="19"/>
          <w:color w:val="auto"/>
        </w:rPr>
      </w:pPr>
      <w:r>
        <w:rPr>
          <w:rFonts w:ascii="Arial" w:cs="Arial" w:eastAsia="Arial" w:hAnsi="Arial"/>
          <w:sz w:val="19"/>
          <w:szCs w:val="19"/>
          <w:color w:val="auto"/>
        </w:rPr>
        <w:t>credit card receivables and debit card receivables in the ordinary course of business or consistent with past practice, so long as such are considered cash equivalents under GAAP and are so reflected on Holdings’ balance sheet.</w:t>
      </w:r>
    </w:p>
    <w:p>
      <w:pPr>
        <w:spacing w:after="0" w:line="179" w:lineRule="exact"/>
        <w:rPr>
          <w:sz w:val="20"/>
          <w:szCs w:val="20"/>
          <w:color w:val="auto"/>
        </w:rPr>
      </w:pPr>
    </w:p>
    <w:p>
      <w:pPr>
        <w:ind w:left="140" w:right="20" w:firstLine="1295"/>
        <w:spacing w:after="0" w:line="247" w:lineRule="auto"/>
        <w:rPr>
          <w:sz w:val="20"/>
          <w:szCs w:val="20"/>
          <w:color w:val="auto"/>
        </w:rPr>
      </w:pPr>
      <w:r>
        <w:rPr>
          <w:rFonts w:ascii="Arial" w:cs="Arial" w:eastAsia="Arial" w:hAnsi="Arial"/>
          <w:sz w:val="20"/>
          <w:szCs w:val="20"/>
          <w:color w:val="auto"/>
        </w:rPr>
        <w:t>In the case of Investments by any Foreign Subsidiary that is a Restricted Subsidiary or Investments made in a country outside the United States of America, Cash Equivalents shall also include</w:t>
      </w:r>
    </w:p>
    <w:p>
      <w:pPr>
        <w:spacing w:after="0" w:line="2" w:lineRule="exact"/>
        <w:rPr>
          <w:sz w:val="20"/>
          <w:szCs w:val="20"/>
          <w:color w:val="auto"/>
        </w:rPr>
      </w:pPr>
    </w:p>
    <w:p>
      <w:pPr>
        <w:jc w:val="both"/>
        <w:ind w:left="140" w:hanging="6"/>
        <w:spacing w:after="0" w:line="241" w:lineRule="auto"/>
        <w:tabs>
          <w:tab w:leader="none" w:pos="416"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by Foreign Subsidiaries that are Restricted Subsidiaries in accordance with normal investment practices for cash management in investments analogous to the foregoing investments in the clauses above and in this paragraph.</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5"/>
        <w:spacing w:after="0" w:line="244" w:lineRule="auto"/>
        <w:rPr>
          <w:sz w:val="20"/>
          <w:szCs w:val="20"/>
          <w:color w:val="auto"/>
        </w:rPr>
      </w:pPr>
      <w:r>
        <w:rPr>
          <w:rFonts w:ascii="Arial" w:cs="Arial" w:eastAsia="Arial" w:hAnsi="Arial"/>
          <w:sz w:val="20"/>
          <w:szCs w:val="20"/>
          <w:color w:val="auto"/>
        </w:rPr>
        <w:t xml:space="preserve">Notwithstanding the foregoing, Cash Equivalents shall include amounts denominated in currencies other than those set forth in clause (1)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(17) above) will be deemed to be Cash Equivalents for all purposes under this Agreement regardless of the treatment of such items under GAAP.</w:t>
      </w:r>
    </w:p>
    <w:p>
      <w:pPr>
        <w:spacing w:after="0" w:line="235" w:lineRule="exact"/>
        <w:rPr>
          <w:sz w:val="20"/>
          <w:szCs w:val="20"/>
          <w:color w:val="auto"/>
        </w:rPr>
      </w:pPr>
    </w:p>
    <w:p>
      <w:pPr>
        <w:jc w:val="both"/>
        <w:ind w:left="140" w:right="2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(x) any Lender, any Agent or any Affiliate of the foregoing on the Closing Date or at the time it provides any treasury, depository, credit or debit card, purchasing card, and/or cash management services or automated clearing house transfers of funds to Holdings or any Restricted Subsidiary or conducting any automated clearing house transfers of funds and</w:t>
      </w:r>
    </w:p>
    <w:p>
      <w:pPr>
        <w:spacing w:after="0" w:line="1" w:lineRule="exact"/>
        <w:rPr>
          <w:sz w:val="20"/>
          <w:szCs w:val="20"/>
          <w:color w:val="auto"/>
        </w:rPr>
      </w:pPr>
    </w:p>
    <w:p>
      <w:pPr>
        <w:jc w:val="both"/>
        <w:ind w:left="140" w:hanging="7"/>
        <w:spacing w:after="0" w:line="239" w:lineRule="auto"/>
        <w:tabs>
          <w:tab w:leader="none" w:pos="434"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any other Person designated by the Borrower by written notice to the Administrative Agent that enters into any treasury, depository, credit or debit card, purchasing card, and/or cash management services or automated clearing house transfers of funds to Holdings or any Restricted Subsidiary or conducting any automated clearing house transfers of funds;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w:t>
      </w:r>
      <w:r>
        <w:rPr>
          <w:rFonts w:ascii="Arial" w:cs="Arial" w:eastAsia="Arial" w:hAnsi="Arial"/>
          <w:sz w:val="20"/>
          <w:szCs w:val="20"/>
          <w:u w:val="single" w:color="auto"/>
          <w:color w:val="auto"/>
        </w:rPr>
        <w:t>Section</w:t>
      </w:r>
    </w:p>
    <w:p>
      <w:pPr>
        <w:spacing w:after="0" w:line="2" w:lineRule="exact"/>
        <w:rPr>
          <w:rFonts w:ascii="Arial" w:cs="Arial" w:eastAsia="Arial" w:hAnsi="Arial"/>
          <w:sz w:val="20"/>
          <w:szCs w:val="20"/>
          <w:color w:val="auto"/>
        </w:rPr>
      </w:pPr>
    </w:p>
    <w:p>
      <w:pPr>
        <w:ind w:left="140"/>
        <w:spacing w:after="0" w:line="244" w:lineRule="auto"/>
        <w:rPr>
          <w:rFonts w:ascii="Arial" w:cs="Arial" w:eastAsia="Arial" w:hAnsi="Arial"/>
          <w:sz w:val="20"/>
          <w:szCs w:val="20"/>
          <w:color w:val="auto"/>
        </w:rPr>
      </w:pPr>
      <w:r>
        <w:rPr>
          <w:rFonts w:ascii="Arial" w:cs="Arial" w:eastAsia="Arial" w:hAnsi="Arial"/>
          <w:sz w:val="20"/>
          <w:szCs w:val="20"/>
          <w:u w:val="single" w:color="auto"/>
          <w:color w:val="auto"/>
        </w:rPr>
        <w:t>9.06</w:t>
      </w:r>
      <w:r>
        <w:rPr>
          <w:rFonts w:ascii="Arial" w:cs="Arial" w:eastAsia="Arial" w:hAnsi="Arial"/>
          <w:sz w:val="20"/>
          <w:szCs w:val="20"/>
          <w:color w:val="auto"/>
        </w:rPr>
        <w:t xml:space="preserve"> in favor of the Agents, in each case, pursuant to a writing substantially in the form of Exhibit O or otherwise reasonably satisfactory to the Borrower and the Administrative Agent.</w:t>
      </w:r>
    </w:p>
    <w:p>
      <w:pPr>
        <w:spacing w:after="0" w:line="218" w:lineRule="exact"/>
        <w:rPr>
          <w:sz w:val="20"/>
          <w:szCs w:val="20"/>
          <w:color w:val="auto"/>
        </w:rPr>
      </w:pPr>
    </w:p>
    <w:p>
      <w:pPr>
        <w:jc w:val="both"/>
        <w:ind w:left="140" w:firstLine="1345"/>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209"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means any event that gives rise to the receipt by Holdings or any Restricted Subsidiary of any insurance proceeds or condemnation awards in respect of any equipment, assets or real property (including any improvements thereon) to replace or repair such equipment, assets or real property.</w:t>
      </w:r>
    </w:p>
    <w:p>
      <w:pPr>
        <w:spacing w:after="0" w:line="29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Code.</w:t>
      </w:r>
    </w:p>
    <w:p>
      <w:pPr>
        <w:spacing w:after="0" w:line="321"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w:t>
      </w:r>
    </w:p>
    <w:p>
      <w:pPr>
        <w:spacing w:after="0" w:line="324" w:lineRule="exact"/>
        <w:rPr>
          <w:sz w:val="20"/>
          <w:szCs w:val="20"/>
          <w:color w:val="auto"/>
        </w:rPr>
      </w:pPr>
    </w:p>
    <w:p>
      <w:pPr>
        <w:jc w:val="both"/>
        <w:ind w:left="140" w:firstLine="1289"/>
        <w:spacing w:after="0" w:line="246" w:lineRule="auto"/>
        <w:tabs>
          <w:tab w:leader="none" w:pos="1949"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any time prior to the consummation of an IPO, the Permitted Holders shall cease to control and own, directly or indirectly, of record and beneficially (as defined in Rules 13(d)-3 and 13(d)- 5 under the Exchange Act or any successor provisions) more than 50% of the voting interests (for the election of directors) in the outstanding voting securities having ordinary voting power for the election of directors of Holdings; or</w:t>
      </w:r>
    </w:p>
    <w:p>
      <w:pPr>
        <w:spacing w:after="0" w:line="231" w:lineRule="exact"/>
        <w:rPr>
          <w:rFonts w:ascii="Arial" w:cs="Arial" w:eastAsia="Arial" w:hAnsi="Arial"/>
          <w:sz w:val="20"/>
          <w:szCs w:val="20"/>
          <w:color w:val="auto"/>
        </w:rPr>
      </w:pPr>
    </w:p>
    <w:p>
      <w:pPr>
        <w:jc w:val="both"/>
        <w:ind w:left="140" w:firstLine="1289"/>
        <w:spacing w:after="0" w:line="271" w:lineRule="auto"/>
        <w:tabs>
          <w:tab w:leader="none" w:pos="19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at any time following the consummation of an IPO, Holdings becomes aware of (by way of a report or any other filing pursuant to Section 13(d) of the Exchange Act, proxy, vote, written notice or otherwise) any “person” (as such terms are used in Sections 13(d) and 14(d) of the Exchange Act as in effect on the Closing Date), other than one or more Permitted Holders or a Parent Entity, that is or becomes the “beneficial owner” (as defined in Rules 13d-3 and 13d-5 of the Exchange Act as in effect on the Closing Date) of more than 50.0% of the total voting power of the Voting Stock of Holdings;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so long as Holdings is a Subsidiary of any Parent Entity (and such Parent Entity shall have provided “know your customer” information reasonably requested by the Administrative Agent and the Lenders and such Parent Entity is not a Sanctioned Person), no Person shall be deemed to be or become a beneficial owner of more than 50.0% of the total voting power of the Voting Stock of Holdings unless such Person shall be or become a beneficial owner of more than 50.0%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w:t>
      </w:r>
    </w:p>
    <w:p>
      <w:pPr>
        <w:spacing w:after="0" w:line="196" w:lineRule="exact"/>
        <w:rPr>
          <w:rFonts w:ascii="Arial" w:cs="Arial" w:eastAsia="Arial" w:hAnsi="Arial"/>
          <w:sz w:val="18"/>
          <w:szCs w:val="18"/>
          <w:color w:val="auto"/>
        </w:rPr>
      </w:pPr>
    </w:p>
    <w:p>
      <w:pPr>
        <w:ind w:left="140" w:right="920" w:firstLine="1289"/>
        <w:spacing w:after="0" w:line="260" w:lineRule="auto"/>
        <w:tabs>
          <w:tab w:leader="none" w:pos="1949" w:val="left"/>
        </w:tabs>
        <w:numPr>
          <w:ilvl w:val="0"/>
          <w:numId w:val="72"/>
        </w:numPr>
        <w:rPr>
          <w:rFonts w:ascii="Arial" w:cs="Arial" w:eastAsia="Arial" w:hAnsi="Arial"/>
          <w:sz w:val="20"/>
          <w:szCs w:val="20"/>
          <w:color w:val="auto"/>
        </w:rPr>
      </w:pPr>
      <w:r>
        <w:rPr>
          <w:rFonts w:ascii="Arial" w:cs="Arial" w:eastAsia="Arial" w:hAnsi="Arial"/>
          <w:sz w:val="20"/>
          <w:szCs w:val="20"/>
          <w:color w:val="auto"/>
        </w:rPr>
        <w:t>Holdings shall fail to beneficially own, directly (or indirectly through one or more Intermediate Holding Companies), 100% of the issued and outstanding Capital Stock of the Borrower.</w:t>
      </w:r>
    </w:p>
    <w:p>
      <w:pPr>
        <w:spacing w:after="0" w:line="217"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9"/>
          <w:szCs w:val="19"/>
          <w:color w:val="auto"/>
        </w:rPr>
        <w:t>Notwithstanding the foregoing, a Change in Control shall be deemed not to have occurred pursuant to clauses (1) or (2) above at any time if the Permitted Holders have, at such time, directly or indirectly, the right or the ability, by voting power, contract or otherwise, to elect or designate for election at least a majority of the board of directors of Holdings.</w:t>
      </w:r>
    </w:p>
    <w:p>
      <w:pPr>
        <w:spacing w:after="0" w:line="210"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Holdings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provided in the definition of “</w:t>
      </w:r>
      <w:r>
        <w:rPr>
          <w:rFonts w:ascii="Arial" w:cs="Arial" w:eastAsia="Arial" w:hAnsi="Arial"/>
          <w:sz w:val="20"/>
          <w:szCs w:val="20"/>
          <w:u w:val="single" w:color="auto"/>
          <w:color w:val="auto"/>
        </w:rPr>
        <w:t>Consolidated EBITDA”</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with respect to Lenders, refers to whether such Lenders hold a particular Class of Commitments or Loans, (b) when used with respect to Commitments, refers to whether such Commitments are Revolving Credit Commitments, Initial Term Commitments, Extended Revolving Credit Commitments that are designated as an additional Class of Commitments, or commitments in respect of any Incremental Term Loans that are designated as an additional Class of Term Loans and (c) when used with respect to Loans or a Borrowing, refers to whether such Loans, or the Loans comprising such Borrowing, are Revolving Credit Loans, Initial Term Loans, Extended Term Loans that are designated as an additional Class of Term Loans, Incremental Term Loans that are designated as an additional Class of Term Loans and any Loans made pursuant to any other Class of Commitments.</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308" w:lineRule="exact"/>
        <w:rPr>
          <w:sz w:val="20"/>
          <w:szCs w:val="20"/>
          <w:color w:val="auto"/>
        </w:rPr>
      </w:pPr>
    </w:p>
    <w:p>
      <w:pPr>
        <w:ind w:left="140"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xml:space="preserve">” means a certificate of a Responsible Officer of the Borrower substantially in the form attached as </w:t>
      </w:r>
      <w:r>
        <w:rPr>
          <w:rFonts w:ascii="Arial" w:cs="Arial" w:eastAsia="Arial" w:hAnsi="Arial"/>
          <w:sz w:val="20"/>
          <w:szCs w:val="20"/>
          <w:u w:val="single" w:color="auto"/>
          <w:color w:val="auto"/>
        </w:rPr>
        <w:t>Exhibit D-1</w:t>
      </w:r>
      <w:r>
        <w:rPr>
          <w:rFonts w:ascii="Arial" w:cs="Arial" w:eastAsia="Arial" w:hAnsi="Arial"/>
          <w:sz w:val="20"/>
          <w:szCs w:val="20"/>
          <w:color w:val="auto"/>
        </w:rPr>
        <w:t xml:space="preserve"> hereto.</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4.01(k)</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Distribution</w:t>
      </w:r>
      <w:r>
        <w:rPr>
          <w:rFonts w:ascii="Arial" w:cs="Arial" w:eastAsia="Arial" w:hAnsi="Arial"/>
          <w:sz w:val="20"/>
          <w:szCs w:val="20"/>
          <w:color w:val="auto"/>
        </w:rPr>
        <w:t xml:space="preserve">” means those certain distributions on or shortly after the Closing Date from the Borrower to Holdings and from there to direct or indirect equity holders of Holdings in an aggregate amount not to exceed $575.0 million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amounts funded from cash on hand at Holdings and its Subsidiaries.</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w:t>
      </w:r>
    </w:p>
    <w:p>
      <w:pPr>
        <w:spacing w:after="0" w:line="337"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the “Collateral” as defined in the Collateral Documents and all other property of whatever kind and nature pledged or charged as collateral under any Collateral Document, and shall include the Mortgaged Properties.</w:t>
      </w:r>
    </w:p>
    <w:p>
      <w:pPr>
        <w:spacing w:after="0" w:line="193"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xml:space="preserve">” means Goldman Sachs, in its capacity as collateral agent under any of the Loan Documents, or any successor collateral agent appointed in accordance with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285"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and Guarantee Requirement</w:t>
      </w:r>
      <w:r>
        <w:rPr>
          <w:rFonts w:ascii="Arial" w:cs="Arial" w:eastAsia="Arial" w:hAnsi="Arial"/>
          <w:sz w:val="20"/>
          <w:szCs w:val="20"/>
          <w:color w:val="auto"/>
        </w:rPr>
        <w:t>” means, at any time, the requirement that:</w:t>
      </w:r>
    </w:p>
    <w:p>
      <w:pPr>
        <w:spacing w:after="0" w:line="324" w:lineRule="exact"/>
        <w:rPr>
          <w:sz w:val="20"/>
          <w:szCs w:val="20"/>
          <w:color w:val="auto"/>
        </w:rPr>
      </w:pPr>
    </w:p>
    <w:p>
      <w:pPr>
        <w:jc w:val="both"/>
        <w:ind w:left="780" w:right="20" w:firstLine="649"/>
        <w:spacing w:after="0" w:line="250" w:lineRule="auto"/>
        <w:tabs>
          <w:tab w:leader="none" w:pos="1945"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the Collateral Agent shall have received each Collateral Document required to be delivered (i) on the Closing Date pursuant to </w:t>
      </w:r>
      <w:r>
        <w:rPr>
          <w:rFonts w:ascii="Arial" w:cs="Arial" w:eastAsia="Arial" w:hAnsi="Arial"/>
          <w:sz w:val="20"/>
          <w:szCs w:val="20"/>
          <w:u w:val="single" w:color="auto"/>
          <w:color w:val="auto"/>
        </w:rPr>
        <w:t>Section 4.01(a)(iii)</w:t>
      </w:r>
      <w:r>
        <w:rPr>
          <w:rFonts w:ascii="Arial" w:cs="Arial" w:eastAsia="Arial" w:hAnsi="Arial"/>
          <w:sz w:val="20"/>
          <w:szCs w:val="20"/>
          <w:color w:val="auto"/>
        </w:rPr>
        <w:t xml:space="preserve"> or (ii) thereafter pursuant to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or the Collateral Documents, in each case, duly executed by each Loan Party that is a party thereto;</w:t>
      </w:r>
    </w:p>
    <w:p>
      <w:pPr>
        <w:spacing w:after="0" w:line="226" w:lineRule="exact"/>
        <w:rPr>
          <w:rFonts w:ascii="Arial" w:cs="Arial" w:eastAsia="Arial" w:hAnsi="Arial"/>
          <w:sz w:val="20"/>
          <w:szCs w:val="20"/>
          <w:color w:val="auto"/>
        </w:rPr>
      </w:pPr>
    </w:p>
    <w:p>
      <w:pPr>
        <w:jc w:val="both"/>
        <w:ind w:left="780" w:firstLine="650"/>
        <w:spacing w:after="0" w:line="246" w:lineRule="auto"/>
        <w:tabs>
          <w:tab w:leader="none" w:pos="1942" w:val="left"/>
        </w:tabs>
        <w:numPr>
          <w:ilvl w:val="1"/>
          <w:numId w:val="73"/>
        </w:numPr>
        <w:rPr>
          <w:rFonts w:ascii="Arial" w:cs="Arial" w:eastAsia="Arial" w:hAnsi="Arial"/>
          <w:sz w:val="20"/>
          <w:szCs w:val="20"/>
          <w:color w:val="auto"/>
        </w:rPr>
      </w:pPr>
      <w:r>
        <w:rPr>
          <w:rFonts w:ascii="Arial" w:cs="Arial" w:eastAsia="Arial" w:hAnsi="Arial"/>
          <w:sz w:val="20"/>
          <w:szCs w:val="20"/>
          <w:color w:val="auto"/>
        </w:rPr>
        <w:t>all Secured Obligations shall have been unconditionally guaranteed (the “</w:t>
      </w:r>
      <w:r>
        <w:rPr>
          <w:rFonts w:ascii="Arial" w:cs="Arial" w:eastAsia="Arial" w:hAnsi="Arial"/>
          <w:sz w:val="20"/>
          <w:szCs w:val="20"/>
          <w:u w:val="single" w:color="auto"/>
          <w:color w:val="auto"/>
        </w:rPr>
        <w:t>Guarantees</w:t>
      </w:r>
      <w:r>
        <w:rPr>
          <w:rFonts w:ascii="Arial" w:cs="Arial" w:eastAsia="Arial" w:hAnsi="Arial"/>
          <w:sz w:val="20"/>
          <w:szCs w:val="20"/>
          <w:color w:val="auto"/>
        </w:rPr>
        <w:t xml:space="preserve">”), jointly and severally, by Holdings, any Intermediate Holding Company and each Restricted Subsidiary (other than Borrower) that is a Material Subsidiary (other than any Excluded Subsidiary) including as of the Closing Date those that are listed on </w:t>
      </w:r>
      <w:r>
        <w:rPr>
          <w:rFonts w:ascii="Arial" w:cs="Arial" w:eastAsia="Arial" w:hAnsi="Arial"/>
          <w:sz w:val="20"/>
          <w:szCs w:val="20"/>
          <w:u w:val="single" w:color="auto"/>
          <w:color w:val="auto"/>
        </w:rPr>
        <w:t>Schedule 1.01D</w:t>
      </w:r>
      <w:r>
        <w:rPr>
          <w:rFonts w:ascii="Arial" w:cs="Arial" w:eastAsia="Arial" w:hAnsi="Arial"/>
          <w:sz w:val="20"/>
          <w:szCs w:val="20"/>
          <w:color w:val="auto"/>
        </w:rPr>
        <w:t xml:space="preserve"> to the Closing Date Certificate (each, a “</w:t>
      </w:r>
      <w:r>
        <w:rPr>
          <w:rFonts w:ascii="Arial" w:cs="Arial" w:eastAsia="Arial" w:hAnsi="Arial"/>
          <w:sz w:val="20"/>
          <w:szCs w:val="20"/>
          <w:u w:val="single" w:color="auto"/>
          <w:color w:val="auto"/>
        </w:rPr>
        <w:t>Guarantor</w:t>
      </w:r>
      <w:r>
        <w:rPr>
          <w:rFonts w:ascii="Arial" w:cs="Arial" w:eastAsia="Arial" w:hAnsi="Arial"/>
          <w:sz w:val="20"/>
          <w:szCs w:val="20"/>
          <w:color w:val="auto"/>
        </w:rPr>
        <w:t>”);</w:t>
      </w:r>
    </w:p>
    <w:p>
      <w:pPr>
        <w:spacing w:after="0" w:line="299" w:lineRule="exact"/>
        <w:rPr>
          <w:rFonts w:ascii="Arial" w:cs="Arial" w:eastAsia="Arial" w:hAnsi="Arial"/>
          <w:sz w:val="20"/>
          <w:szCs w:val="20"/>
          <w:color w:val="auto"/>
        </w:rPr>
      </w:pPr>
    </w:p>
    <w:p>
      <w:pPr>
        <w:jc w:val="both"/>
        <w:ind w:left="780" w:firstLine="649"/>
        <w:spacing w:after="0" w:line="275" w:lineRule="auto"/>
        <w:tabs>
          <w:tab w:leader="none" w:pos="19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Secured Obligations and the Guarantees shall have been secured pursuant to, the Security Agreement or other applicable Collateral Document by a valid and perfected security interest subject to no other Liens (other than Permitted Liens) in</w:t>
      </w:r>
    </w:p>
    <w:p>
      <w:pPr>
        <w:ind w:left="1020" w:hanging="239"/>
        <w:spacing w:after="0"/>
        <w:tabs>
          <w:tab w:leader="none" w:pos="10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all the Capital Stock of the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780"/>
        <w:spacing w:after="0" w:line="250" w:lineRule="auto"/>
        <w:rPr>
          <w:sz w:val="20"/>
          <w:szCs w:val="20"/>
          <w:color w:val="auto"/>
        </w:rPr>
      </w:pPr>
      <w:r>
        <w:rPr>
          <w:rFonts w:ascii="Arial" w:cs="Arial" w:eastAsia="Arial" w:hAnsi="Arial"/>
          <w:sz w:val="20"/>
          <w:szCs w:val="20"/>
          <w:color w:val="auto"/>
        </w:rPr>
        <w:t>Borrower and each Intermediate Holding Company, if any, and (ii) all Capital Stock (other than Excluded Equity) held directly by Holdings, the Borrower or any Guarantor in any Wholly Owned Subsidiary, in each case, subject to no Liens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50"/>
        <w:spacing w:after="0" w:line="255" w:lineRule="auto"/>
        <w:tabs>
          <w:tab w:leader="none" w:pos="1943"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except to the extent otherwise provided hereunder or under any Collateral Document, the Secured Obligations and the Guarantees shall have been secured by a perfected security interest (other than in the case of mortgages, to the extent such security interest may be perfected by delivering certificated securities and instruments, filing personal property financing statements or other similar documentation, or in the case of IP Rights, to the extent such security interest may be perfected by making any necessary filings with the United States Patent and Trademark Office or United States Copyright Office, as applicable) in, and mortgages on, substantially all tangible and intangible assets of Holdings, the Borrower, any Intermediate Holding Company and each other Guarantor (including, without limitation, accounts receivable, inventory, equipment, investment property, intellectual property, intercompany receivables, other general intangibles and proceeds of the foregoing but excluding real property (other than with respect to Material Real Property), Excluded Property and IP Rights subsisting outside the United States), in each case, with the priority required by the Collateral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security interests in real property shall be limited to the Mortgaged Properties;</w:t>
      </w:r>
    </w:p>
    <w:p>
      <w:pPr>
        <w:spacing w:after="0" w:line="227" w:lineRule="exact"/>
        <w:rPr>
          <w:rFonts w:ascii="Arial" w:cs="Arial" w:eastAsia="Arial" w:hAnsi="Arial"/>
          <w:sz w:val="19"/>
          <w:szCs w:val="19"/>
          <w:color w:val="auto"/>
        </w:rPr>
      </w:pPr>
    </w:p>
    <w:p>
      <w:pPr>
        <w:jc w:val="both"/>
        <w:ind w:left="780" w:firstLine="649"/>
        <w:spacing w:after="0" w:line="244" w:lineRule="auto"/>
        <w:tabs>
          <w:tab w:leader="none" w:pos="1941"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 the event any Guarantor is added that is organized in a Covered Jurisdiction other than the United States, such Loan Party shall grant a perfected lien on substantially all of its assets (other than (i) Excluded Property and (ii) IP Rights subsisting outside of the United States) pursuant to arrangements reasonably agreed between the Administrative Agent and the Borrower subject to customary limitations in such Covered Jurisdiction to be reasonably agreed to between the Administrative Agent and the Borrower; and</w:t>
      </w:r>
    </w:p>
    <w:p>
      <w:pPr>
        <w:spacing w:after="0" w:line="221" w:lineRule="exact"/>
        <w:rPr>
          <w:rFonts w:ascii="Arial" w:cs="Arial" w:eastAsia="Arial" w:hAnsi="Arial"/>
          <w:sz w:val="20"/>
          <w:szCs w:val="20"/>
          <w:color w:val="auto"/>
        </w:rPr>
      </w:pPr>
    </w:p>
    <w:p>
      <w:pPr>
        <w:jc w:val="both"/>
        <w:ind w:left="780" w:firstLine="650"/>
        <w:spacing w:after="0" w:line="268" w:lineRule="auto"/>
        <w:tabs>
          <w:tab w:leader="none" w:pos="19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Collateral Agent shall have received (i) counterparts of a Mortgage with respect to each Material Real Property required to be delivered pursuant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(if applicable),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6.12</w:t>
      </w:r>
      <w:r>
        <w:rPr>
          <w:rFonts w:ascii="Arial" w:cs="Arial" w:eastAsia="Arial" w:hAnsi="Arial"/>
          <w:sz w:val="18"/>
          <w:szCs w:val="18"/>
          <w:color w:val="auto"/>
        </w:rPr>
        <w:t>, as applicable, duly executed and delivered by the record owner of such property, (ii) a title insurance policy for such Mortgaged Property (or marked-up title insurance commitment having the effect of a title insurance policy) (the “</w:t>
      </w:r>
      <w:r>
        <w:rPr>
          <w:rFonts w:ascii="Arial" w:cs="Arial" w:eastAsia="Arial" w:hAnsi="Arial"/>
          <w:sz w:val="18"/>
          <w:szCs w:val="18"/>
          <w:u w:val="single" w:color="auto"/>
          <w:color w:val="auto"/>
        </w:rPr>
        <w:t>Mortgage Policies</w:t>
      </w:r>
      <w:r>
        <w:rPr>
          <w:rFonts w:ascii="Arial" w:cs="Arial" w:eastAsia="Arial" w:hAnsi="Arial"/>
          <w:sz w:val="18"/>
          <w:szCs w:val="18"/>
          <w:color w:val="auto"/>
        </w:rPr>
        <w:t xml:space="preserve">”), in an amount reasonably acceptable to the Collateral Agent, insuring the Lien of each such Mortgage as a valid first priority Lien on the property described therein, free of any other Liens except Permitted Liens, together with such endorsements, coinsurance and reinsurance as the Collateral Agent may reasonably request and to the extent available in each applicable jurisdiction, (iii) a Survey with respect to each Mortgaged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Survey shall not be required to the extent that (A) an existing survey together with an “affidavit of no change” satisfactory to the Title Company is delivered to the Collateral Agent and the Title Company and</w:t>
      </w:r>
    </w:p>
    <w:p>
      <w:pPr>
        <w:spacing w:after="0" w:line="1" w:lineRule="exact"/>
        <w:rPr>
          <w:sz w:val="20"/>
          <w:szCs w:val="20"/>
          <w:color w:val="auto"/>
        </w:rPr>
      </w:pPr>
    </w:p>
    <w:p>
      <w:pPr>
        <w:ind w:left="780" w:firstLine="2"/>
        <w:spacing w:after="0" w:line="239" w:lineRule="auto"/>
        <w:tabs>
          <w:tab w:leader="none" w:pos="1169"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Title Company removes the standard survey exception and provides reasonable and customary survey-related endorsements and other coverages in the applicable Mortgage Policy,</w:t>
      </w:r>
    </w:p>
    <w:p>
      <w:pPr>
        <w:spacing w:after="0" w:line="1" w:lineRule="exact"/>
        <w:rPr>
          <w:sz w:val="20"/>
          <w:szCs w:val="20"/>
          <w:color w:val="auto"/>
        </w:rPr>
      </w:pPr>
    </w:p>
    <w:p>
      <w:pPr>
        <w:jc w:val="both"/>
        <w:ind w:left="780" w:firstLine="1"/>
        <w:spacing w:after="0" w:line="269" w:lineRule="auto"/>
        <w:tabs>
          <w:tab w:leader="none" w:pos="1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completed “Life-of-Loan” Federal Emergency Management Agency standard flood hazard determination with respect to each Mortgaged Property (together with a notice about special flood hazard area status and flood disaster assistance duly executed by the applicable Loan Party relating thereto), (v) a copy of, or a certificate as to coverage under, and a declaration page relating to, any flood insurance policies required by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hereof, each of which (A) shall be endorsed or otherwise amended to name the Collateral Agent as mortgagee and loss payee, (B) shall (1) identify the addresses of each property located in a special flood hazard area, (2) indicate the applicable flood zone designation, the flood insurance coverage and the deductible relating thereto and (3) provide that the insurer will give the Collateral Agent thirty (30) days written notice of cancellation, non-renewal or change in coverage and (4) shall be otherwise in form and substance reasonably satisfactory to the Collateral Agent, (vi) if reasonably requested by the Collateral Agent, a legal opinion regarding due authorization, execution and enforceability of such Mortgage from counsel to the Borrower in form and substance reasonably acceptable to the</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Collateral Agent, and (vii) such existing abstracts, existing appraisals, and other documents as the Collateral Agent may reasonably request with respect to any such Mortgaged Property;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5"/>
        <w:spacing w:after="0" w:line="246" w:lineRule="auto"/>
        <w:rPr>
          <w:sz w:val="20"/>
          <w:szCs w:val="20"/>
          <w:color w:val="auto"/>
        </w:rPr>
      </w:pPr>
      <w:r>
        <w:rPr>
          <w:rFonts w:ascii="Arial" w:cs="Arial" w:eastAsia="Arial" w:hAnsi="Arial"/>
          <w:sz w:val="20"/>
          <w:szCs w:val="20"/>
          <w:color w:val="auto"/>
        </w:rPr>
        <w:t>The foregoing definition shall not require the creation or perfection of pledges of or security interests in particular assets if and for so long as the Administrative Agent and the Borrower agree in writing that the cost of creating or perfecting such pledges or security interests in such assets or obtaining title insurance or surveys in respect of such assets (including adverse tax consequences) outweighs the benefits to be obtained by the Lenders therefrom.</w:t>
      </w:r>
    </w:p>
    <w:p>
      <w:pPr>
        <w:spacing w:after="0" w:line="232" w:lineRule="exact"/>
        <w:rPr>
          <w:sz w:val="20"/>
          <w:szCs w:val="20"/>
          <w:color w:val="auto"/>
        </w:rPr>
      </w:pPr>
    </w:p>
    <w:p>
      <w:pPr>
        <w:jc w:val="both"/>
        <w:ind w:left="140" w:firstLine="1295"/>
        <w:spacing w:after="0" w:line="244" w:lineRule="auto"/>
        <w:rPr>
          <w:sz w:val="20"/>
          <w:szCs w:val="20"/>
          <w:color w:val="auto"/>
        </w:rPr>
      </w:pPr>
      <w:r>
        <w:rPr>
          <w:rFonts w:ascii="Arial" w:cs="Arial" w:eastAsia="Arial" w:hAnsi="Arial"/>
          <w:sz w:val="20"/>
          <w:szCs w:val="20"/>
          <w:color w:val="auto"/>
        </w:rPr>
        <w:t>The Administrative Agent may grant extensions of time for the perfection of security interests in or the obtaining of title insurance and surveys with respect to particular assets (including extensions beyond the Closing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Collateral Documents.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Notwithstanding the foregoing provisions of this definition or anything in this Agreement or any other Loan Document to</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contrary:</w:t>
      </w:r>
    </w:p>
    <w:p>
      <w:pPr>
        <w:spacing w:after="0" w:line="240" w:lineRule="exact"/>
        <w:rPr>
          <w:sz w:val="20"/>
          <w:szCs w:val="20"/>
          <w:color w:val="auto"/>
        </w:rPr>
      </w:pPr>
    </w:p>
    <w:p>
      <w:pPr>
        <w:jc w:val="both"/>
        <w:ind w:left="780" w:firstLine="649"/>
        <w:spacing w:after="0" w:line="250" w:lineRule="auto"/>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Liens required to be granted from time to time pursuant to the Collateral and Guarantee Requirement shall be subject to exceptions and limitations set forth in the Collateral Documents and, to the extent appropriate in the applicable jurisdiction, as agreed between the Administrative Agent and the Borrower;</w:t>
      </w:r>
    </w:p>
    <w:p>
      <w:pPr>
        <w:spacing w:after="0" w:line="226" w:lineRule="exact"/>
        <w:rPr>
          <w:rFonts w:ascii="Arial" w:cs="Arial" w:eastAsia="Arial" w:hAnsi="Arial"/>
          <w:sz w:val="20"/>
          <w:szCs w:val="20"/>
          <w:color w:val="auto"/>
        </w:rPr>
      </w:pPr>
    </w:p>
    <w:p>
      <w:pPr>
        <w:ind w:left="1940" w:hanging="511"/>
        <w:spacing w:after="0"/>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Collateral and Guarantee Requirement shall not apply to any Excluded Property;</w:t>
      </w:r>
    </w:p>
    <w:p>
      <w:pPr>
        <w:spacing w:after="0" w:line="242" w:lineRule="exact"/>
        <w:rPr>
          <w:rFonts w:ascii="Arial" w:cs="Arial" w:eastAsia="Arial" w:hAnsi="Arial"/>
          <w:sz w:val="20"/>
          <w:szCs w:val="20"/>
          <w:color w:val="auto"/>
        </w:rPr>
      </w:pPr>
    </w:p>
    <w:p>
      <w:pPr>
        <w:jc w:val="both"/>
        <w:ind w:left="780" w:firstLine="649"/>
        <w:spacing w:after="0" w:line="250" w:lineRule="auto"/>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 deposit account control agreement, securities account control agreement or other control agreements or control arrangements shall be required with respect to any deposit account, securities account or other asset specifically requiring perfection through control agreements;</w:t>
      </w:r>
    </w:p>
    <w:p>
      <w:pPr>
        <w:spacing w:after="0" w:line="226" w:lineRule="exact"/>
        <w:rPr>
          <w:rFonts w:ascii="Arial" w:cs="Arial" w:eastAsia="Arial" w:hAnsi="Arial"/>
          <w:sz w:val="20"/>
          <w:szCs w:val="20"/>
          <w:color w:val="auto"/>
        </w:rPr>
      </w:pPr>
    </w:p>
    <w:p>
      <w:pPr>
        <w:jc w:val="both"/>
        <w:ind w:left="780" w:firstLine="650"/>
        <w:spacing w:after="0" w:line="243" w:lineRule="auto"/>
        <w:tabs>
          <w:tab w:leader="none" w:pos="1941"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 actions in any jurisdiction other than the Covered Jurisdictions or that are necessary to comply with the Laws of any jurisdiction other than the Covered Jurisdictions shall be required in order to create any security interests in assets located, titled, registered or filed outside of the Covered Jurisdictions and no actions in any jurisdiction shall be required in order to create any security interests in IP Rights, subsisting outside the United States (it being understood that there shall be no security agreements, pledge agreements, or share charge (or mortgage) agreements governed under the Laws of any jurisdiction other than the Covered Jurisdictions);</w:t>
      </w:r>
    </w:p>
    <w:p>
      <w:pPr>
        <w:spacing w:after="0" w:line="236" w:lineRule="exact"/>
        <w:rPr>
          <w:rFonts w:ascii="Arial" w:cs="Arial" w:eastAsia="Arial" w:hAnsi="Arial"/>
          <w:sz w:val="20"/>
          <w:szCs w:val="20"/>
          <w:color w:val="auto"/>
        </w:rPr>
      </w:pPr>
    </w:p>
    <w:p>
      <w:pPr>
        <w:jc w:val="both"/>
        <w:ind w:left="780" w:firstLine="649"/>
        <w:spacing w:after="0" w:line="263" w:lineRule="auto"/>
        <w:tabs>
          <w:tab w:leader="none" w:pos="19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general statutory limitations, financial assistance, corporate benefit, capital maintenance rules, fraudulent preference, “thin capitalization” rules, retention of title claims and similar principle may limit the ability of a Foreign Subsidiary to provide a Guarantee or Collateral or may require that the Guarantee or Collateral be limited by an amount or otherwise, in each case as reasonably determined by the Borrower in consultation with the Administrative Agent; and</w:t>
      </w:r>
    </w:p>
    <w:p>
      <w:pPr>
        <w:spacing w:after="0" w:line="203" w:lineRule="exact"/>
        <w:rPr>
          <w:rFonts w:ascii="Arial" w:cs="Arial" w:eastAsia="Arial" w:hAnsi="Arial"/>
          <w:sz w:val="19"/>
          <w:szCs w:val="19"/>
          <w:color w:val="auto"/>
        </w:rPr>
      </w:pPr>
    </w:p>
    <w:p>
      <w:pPr>
        <w:ind w:left="780" w:firstLine="649"/>
        <w:spacing w:after="0" w:line="260" w:lineRule="auto"/>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 stock certificates of Immaterial Subsidiaries or Unrestricted Subsidiaries shall be required to be delivered to the Collateral Agent.</w:t>
      </w:r>
    </w:p>
    <w:p>
      <w:pPr>
        <w:spacing w:after="0" w:line="21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means, collectively, the Security Agreement, the Mortgages, collateral assignments, Security Agreement Supplements, security agreements, pledge agreements or other similar agreements delivered to the Collateral Agent and the Lenders pursuant to </w:t>
      </w:r>
      <w:r>
        <w:rPr>
          <w:rFonts w:ascii="Arial" w:cs="Arial" w:eastAsia="Arial" w:hAnsi="Arial"/>
          <w:sz w:val="20"/>
          <w:szCs w:val="20"/>
          <w:u w:val="single" w:color="auto"/>
          <w:color w:val="auto"/>
        </w:rPr>
        <w:t>Section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4.01(a)(iii)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6.12</w:t>
      </w:r>
      <w:r>
        <w:rPr>
          <w:rFonts w:ascii="Arial" w:cs="Arial" w:eastAsia="Arial" w:hAnsi="Arial"/>
          <w:sz w:val="16"/>
          <w:szCs w:val="16"/>
          <w:color w:val="auto"/>
        </w:rPr>
        <w:t>, the Guaranty and each of the other agreements, instruments or documents that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creates or purports to create a Lien or Guarantee in favor of the Collateral Agent for the benefit of the Secured Parties.</w:t>
      </w:r>
    </w:p>
    <w:p>
      <w:pPr>
        <w:spacing w:after="0" w:line="256"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 Term Commitment, a Revolving Credit Commitment, or an Extended Revolving Credit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Commitment.</w:t>
      </w:r>
    </w:p>
    <w:p>
      <w:pPr>
        <w:spacing w:after="0" w:line="22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Letter</w:t>
      </w:r>
      <w:r>
        <w:rPr>
          <w:rFonts w:ascii="Arial" w:cs="Arial" w:eastAsia="Arial" w:hAnsi="Arial"/>
          <w:sz w:val="19"/>
          <w:szCs w:val="19"/>
          <w:color w:val="auto"/>
        </w:rPr>
        <w:t>” means the means the Amended and Restated Commitment Letter dated September 23, 2020 by and among the Borrower, Goldman Sachs, Barclays Bank PLC (“</w:t>
      </w:r>
      <w:r>
        <w:rPr>
          <w:rFonts w:ascii="Arial" w:cs="Arial" w:eastAsia="Arial" w:hAnsi="Arial"/>
          <w:sz w:val="19"/>
          <w:szCs w:val="19"/>
          <w:u w:val="single" w:color="auto"/>
          <w:color w:val="auto"/>
        </w:rPr>
        <w:t>Barclays</w:t>
      </w:r>
      <w:r>
        <w:rPr>
          <w:rFonts w:ascii="Arial" w:cs="Arial" w:eastAsia="Arial" w:hAnsi="Arial"/>
          <w:sz w:val="19"/>
          <w:szCs w:val="19"/>
          <w:color w:val="auto"/>
        </w:rPr>
        <w:t>”), Credit Suisse AG, Cayman Islands Branch (acting through such of its affiliates or branches as it deems appropriate, “</w:t>
      </w:r>
      <w:r>
        <w:rPr>
          <w:rFonts w:ascii="Arial" w:cs="Arial" w:eastAsia="Arial" w:hAnsi="Arial"/>
          <w:sz w:val="19"/>
          <w:szCs w:val="19"/>
          <w:u w:val="single" w:color="auto"/>
          <w:color w:val="auto"/>
        </w:rPr>
        <w:t>CS</w:t>
      </w:r>
      <w:r>
        <w:rPr>
          <w:rFonts w:ascii="Arial" w:cs="Arial" w:eastAsia="Arial" w:hAnsi="Arial"/>
          <w:sz w:val="19"/>
          <w:szCs w:val="19"/>
          <w:color w:val="auto"/>
        </w:rPr>
        <w:t>”) and Credit Suisse Loan Funding LLC (“</w:t>
      </w:r>
      <w:r>
        <w:rPr>
          <w:rFonts w:ascii="Arial" w:cs="Arial" w:eastAsia="Arial" w:hAnsi="Arial"/>
          <w:sz w:val="19"/>
          <w:szCs w:val="19"/>
          <w:u w:val="single" w:color="auto"/>
          <w:color w:val="auto"/>
        </w:rPr>
        <w:t>CSLF</w:t>
      </w:r>
      <w:r>
        <w:rPr>
          <w:rFonts w:ascii="Arial" w:cs="Arial" w:eastAsia="Arial" w:hAnsi="Arial"/>
          <w:sz w:val="19"/>
          <w:szCs w:val="19"/>
          <w:color w:val="auto"/>
        </w:rPr>
        <w:t>” and, together with CS and their respective affiliates, “</w:t>
      </w:r>
      <w:r>
        <w:rPr>
          <w:rFonts w:ascii="Arial" w:cs="Arial" w:eastAsia="Arial" w:hAnsi="Arial"/>
          <w:sz w:val="19"/>
          <w:szCs w:val="19"/>
          <w:u w:val="single" w:color="auto"/>
          <w:color w:val="auto"/>
        </w:rPr>
        <w:t>Credit Suisse</w:t>
      </w:r>
      <w:r>
        <w:rPr>
          <w:rFonts w:ascii="Arial" w:cs="Arial" w:eastAsia="Arial" w:hAnsi="Arial"/>
          <w:sz w:val="19"/>
          <w:szCs w:val="19"/>
          <w:color w:val="auto"/>
        </w:rPr>
        <w:t>”), Guggenheim Securities, LLC (acting through such of its affiliates as it deems appropriate, “</w:t>
      </w:r>
      <w:r>
        <w:rPr>
          <w:rFonts w:ascii="Arial" w:cs="Arial" w:eastAsia="Arial" w:hAnsi="Arial"/>
          <w:sz w:val="19"/>
          <w:szCs w:val="19"/>
          <w:u w:val="single" w:color="auto"/>
          <w:color w:val="auto"/>
        </w:rPr>
        <w:t>Guggenheim Securities</w:t>
      </w:r>
      <w:r>
        <w:rPr>
          <w:rFonts w:ascii="Arial" w:cs="Arial" w:eastAsia="Arial" w:hAnsi="Arial"/>
          <w:sz w:val="19"/>
          <w:szCs w:val="19"/>
          <w:color w:val="auto"/>
        </w:rPr>
        <w:t>”) and each of the financing sources identified on Schedule 2 thereto (collectively, the “</w:t>
      </w:r>
      <w:r>
        <w:rPr>
          <w:rFonts w:ascii="Arial" w:cs="Arial" w:eastAsia="Arial" w:hAnsi="Arial"/>
          <w:sz w:val="19"/>
          <w:szCs w:val="19"/>
          <w:u w:val="single" w:color="auto"/>
          <w:color w:val="auto"/>
        </w:rPr>
        <w:t>Financing Sources</w:t>
      </w:r>
      <w:r>
        <w:rPr>
          <w:rFonts w:ascii="Arial" w:cs="Arial" w:eastAsia="Arial" w:hAnsi="Arial"/>
          <w:sz w:val="19"/>
          <w:szCs w:val="19"/>
          <w:color w:val="auto"/>
        </w:rPr>
        <w:t>”), MUFG Union Bank, N.A. (“</w:t>
      </w:r>
      <w:r>
        <w:rPr>
          <w:rFonts w:ascii="Arial" w:cs="Arial" w:eastAsia="Arial" w:hAnsi="Arial"/>
          <w:sz w:val="19"/>
          <w:szCs w:val="19"/>
          <w:u w:val="single" w:color="auto"/>
          <w:color w:val="auto"/>
        </w:rPr>
        <w:t>MUFG</w:t>
      </w:r>
      <w:r>
        <w:rPr>
          <w:rFonts w:ascii="Arial" w:cs="Arial" w:eastAsia="Arial" w:hAnsi="Arial"/>
          <w:sz w:val="19"/>
          <w:szCs w:val="19"/>
          <w:color w:val="auto"/>
        </w:rPr>
        <w:t>”), Nomura Securities International, Inc. (together with such affiliates as it deems appropriate, “</w:t>
      </w:r>
      <w:r>
        <w:rPr>
          <w:rFonts w:ascii="Arial" w:cs="Arial" w:eastAsia="Arial" w:hAnsi="Arial"/>
          <w:sz w:val="19"/>
          <w:szCs w:val="19"/>
          <w:u w:val="single" w:color="auto"/>
          <w:color w:val="auto"/>
        </w:rPr>
        <w:t>Nomura</w:t>
      </w:r>
      <w:r>
        <w:rPr>
          <w:rFonts w:ascii="Arial" w:cs="Arial" w:eastAsia="Arial" w:hAnsi="Arial"/>
          <w:sz w:val="19"/>
          <w:szCs w:val="19"/>
          <w:color w:val="auto"/>
        </w:rPr>
        <w:t>”), UBS AG Stamford Branch (together with any of its designated affiliates, “</w:t>
      </w:r>
      <w:r>
        <w:rPr>
          <w:rFonts w:ascii="Arial" w:cs="Arial" w:eastAsia="Arial" w:hAnsi="Arial"/>
          <w:sz w:val="19"/>
          <w:szCs w:val="19"/>
          <w:u w:val="single" w:color="auto"/>
          <w:color w:val="auto"/>
        </w:rPr>
        <w:t>UBS AG</w:t>
      </w:r>
      <w:r>
        <w:rPr>
          <w:rFonts w:ascii="Arial" w:cs="Arial" w:eastAsia="Arial" w:hAnsi="Arial"/>
          <w:sz w:val="19"/>
          <w:szCs w:val="19"/>
          <w:color w:val="auto"/>
        </w:rPr>
        <w:t>”), UBS Securities LLC (together with any of its designated affiliates, “</w:t>
      </w:r>
      <w:r>
        <w:rPr>
          <w:rFonts w:ascii="Arial" w:cs="Arial" w:eastAsia="Arial" w:hAnsi="Arial"/>
          <w:sz w:val="19"/>
          <w:szCs w:val="19"/>
          <w:u w:val="single" w:color="auto"/>
          <w:color w:val="auto"/>
        </w:rPr>
        <w:t>UBSS</w:t>
      </w:r>
      <w:r>
        <w:rPr>
          <w:rFonts w:ascii="Arial" w:cs="Arial" w:eastAsia="Arial" w:hAnsi="Arial"/>
          <w:sz w:val="19"/>
          <w:szCs w:val="19"/>
          <w:color w:val="auto"/>
        </w:rPr>
        <w:t>” and together with UBS AG, “</w:t>
      </w:r>
      <w:r>
        <w:rPr>
          <w:rFonts w:ascii="Arial" w:cs="Arial" w:eastAsia="Arial" w:hAnsi="Arial"/>
          <w:sz w:val="19"/>
          <w:szCs w:val="19"/>
          <w:u w:val="single" w:color="auto"/>
          <w:color w:val="auto"/>
        </w:rPr>
        <w:t>UBS</w:t>
      </w:r>
      <w:r>
        <w:rPr>
          <w:rFonts w:ascii="Arial" w:cs="Arial" w:eastAsia="Arial" w:hAnsi="Arial"/>
          <w:sz w:val="19"/>
          <w:szCs w:val="19"/>
          <w:color w:val="auto"/>
        </w:rPr>
        <w:t>”) and Morgan Stanley Senior Funding, Inc. (together with any of its designated affiliates, “</w:t>
      </w:r>
      <w:r>
        <w:rPr>
          <w:rFonts w:ascii="Arial" w:cs="Arial" w:eastAsia="Arial" w:hAnsi="Arial"/>
          <w:sz w:val="19"/>
          <w:szCs w:val="19"/>
          <w:u w:val="single" w:color="auto"/>
          <w:color w:val="auto"/>
        </w:rPr>
        <w:t>MS</w:t>
      </w:r>
      <w:r>
        <w:rPr>
          <w:rFonts w:ascii="Arial" w:cs="Arial" w:eastAsia="Arial" w:hAnsi="Arial"/>
          <w:sz w:val="19"/>
          <w:szCs w:val="19"/>
          <w:color w:val="auto"/>
        </w:rPr>
        <w:t>”).</w:t>
      </w:r>
    </w:p>
    <w:p>
      <w:pPr>
        <w:spacing w:after="0" w:line="292"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xml:space="preserve">” means a notice of (a) a Term Borrowing, (b) a Revolving Credit Borrowing, (c) a conversion of Loans from one Type to the other, or (d) a continuation of Eurocurrency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307" w:lineRule="exact"/>
        <w:rPr>
          <w:sz w:val="20"/>
          <w:szCs w:val="20"/>
          <w:color w:val="auto"/>
        </w:rPr>
      </w:pPr>
    </w:p>
    <w:p>
      <w:pPr>
        <w:ind w:left="140" w:right="1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Compensation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2.12(c)(ii)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D-2</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Compounded SOFR</w:t>
      </w:r>
      <w:r>
        <w:rPr>
          <w:rFonts w:ascii="Arial" w:cs="Arial" w:eastAsia="Arial" w:hAnsi="Arial"/>
          <w:sz w:val="20"/>
          <w:szCs w:val="20"/>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232" w:lineRule="exact"/>
        <w:rPr>
          <w:sz w:val="20"/>
          <w:szCs w:val="20"/>
          <w:color w:val="auto"/>
        </w:rPr>
      </w:pPr>
    </w:p>
    <w:p>
      <w:pPr>
        <w:ind w:left="140" w:right="20" w:firstLine="1937"/>
        <w:spacing w:after="0" w:line="260" w:lineRule="auto"/>
        <w:tabs>
          <w:tab w:leader="none" w:pos="2598"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the rate, or methodology for this rate, and conventions for this rate selected or recommended by the Relevant Governmental Body for determining compounded SOFR;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203" w:lineRule="exact"/>
        <w:rPr>
          <w:rFonts w:ascii="Arial" w:cs="Arial" w:eastAsia="Arial" w:hAnsi="Arial"/>
          <w:sz w:val="20"/>
          <w:szCs w:val="20"/>
          <w:color w:val="auto"/>
        </w:rPr>
      </w:pPr>
    </w:p>
    <w:p>
      <w:pPr>
        <w:jc w:val="both"/>
        <w:ind w:left="140" w:firstLine="1937"/>
        <w:spacing w:after="0" w:line="263" w:lineRule="auto"/>
        <w:tabs>
          <w:tab w:leader="none" w:pos="25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firstLine="1295"/>
        <w:spacing w:after="0" w:line="250" w:lineRule="auto"/>
        <w:rPr>
          <w:sz w:val="20"/>
          <w:szCs w:val="20"/>
          <w:color w:val="auto"/>
        </w:rPr>
      </w:pPr>
      <w:r>
        <w:rPr>
          <w:rFonts w:ascii="Arial" w:cs="Arial" w:eastAsia="Arial" w:hAnsi="Arial"/>
          <w:sz w:val="20"/>
          <w:szCs w:val="20"/>
          <w:color w:val="auto"/>
        </w:rPr>
        <w:t>provided, further,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Interest Expense</w:t>
      </w:r>
      <w:r>
        <w:rPr>
          <w:rFonts w:ascii="Arial" w:cs="Arial" w:eastAsia="Arial" w:hAnsi="Arial"/>
          <w:sz w:val="20"/>
          <w:szCs w:val="20"/>
          <w:color w:val="auto"/>
        </w:rPr>
        <w:t>” shall mean, for any period, the Consolidated Interest Expense excluding any non-cash interest expense of Holdings and its Restricted Subsidiaries for such period, determined on a consolidated basis in accordance with GAAP.</w:t>
      </w:r>
    </w:p>
    <w:p>
      <w:pPr>
        <w:spacing w:after="0" w:line="226" w:lineRule="exact"/>
        <w:rPr>
          <w:sz w:val="20"/>
          <w:szCs w:val="20"/>
          <w:color w:val="auto"/>
        </w:rPr>
      </w:pPr>
    </w:p>
    <w:p>
      <w:pPr>
        <w:jc w:val="both"/>
        <w:ind w:left="14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Depreciation and Amortization Expense</w:t>
      </w:r>
      <w:r>
        <w:rPr>
          <w:rFonts w:ascii="Arial" w:cs="Arial" w:eastAsia="Arial" w:hAnsi="Arial"/>
          <w:sz w:val="20"/>
          <w:szCs w:val="20"/>
          <w:color w:val="auto"/>
        </w:rPr>
        <w:t>” means, with respect to any Person for any period, the total amount of depreciation and amortization expense and capitalized fees, including amortization or write-off of (i) goodwill, software and intangible assets and non-cash organization costs,</w:t>
      </w:r>
    </w:p>
    <w:p>
      <w:pPr>
        <w:jc w:val="both"/>
        <w:ind w:left="140" w:hanging="7"/>
        <w:spacing w:after="0" w:line="255" w:lineRule="auto"/>
        <w:tabs>
          <w:tab w:leader="none" w:pos="652"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Qualified Securitization Financing or Receivables Facility, of such Person and its Restricted Subsidiaries for such period on a consolidated basis and otherwise determined in accordance with GAAP and any write down of assets or asset value carried on the balance sheet.</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Consolidated Net Income of such Person</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 such period:</w:t>
      </w:r>
    </w:p>
    <w:p>
      <w:pPr>
        <w:spacing w:after="0" w:line="240" w:lineRule="exact"/>
        <w:rPr>
          <w:sz w:val="20"/>
          <w:szCs w:val="20"/>
          <w:color w:val="auto"/>
        </w:rPr>
      </w:pPr>
    </w:p>
    <w:p>
      <w:pPr>
        <w:ind w:left="1420" w:hanging="639"/>
        <w:spacing w:after="0"/>
        <w:tabs>
          <w:tab w:leader="none" w:pos="14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increased (without duplication) by:</w:t>
      </w:r>
    </w:p>
    <w:p>
      <w:pPr>
        <w:spacing w:after="0" w:line="256" w:lineRule="exact"/>
        <w:rPr>
          <w:rFonts w:ascii="Arial" w:cs="Arial" w:eastAsia="Arial" w:hAnsi="Arial"/>
          <w:sz w:val="20"/>
          <w:szCs w:val="20"/>
          <w:color w:val="auto"/>
        </w:rPr>
      </w:pPr>
    </w:p>
    <w:p>
      <w:pPr>
        <w:jc w:val="both"/>
        <w:ind w:left="2080" w:hanging="651"/>
        <w:spacing w:after="0" w:line="245" w:lineRule="auto"/>
        <w:tabs>
          <w:tab w:leader="none" w:pos="2070" w:val="left"/>
        </w:tabs>
        <w:numPr>
          <w:ilvl w:val="1"/>
          <w:numId w:val="81"/>
        </w:numPr>
        <w:rPr>
          <w:rFonts w:ascii="Arial" w:cs="Arial" w:eastAsia="Arial" w:hAnsi="Arial"/>
          <w:sz w:val="20"/>
          <w:szCs w:val="20"/>
          <w:color w:val="auto"/>
        </w:rPr>
      </w:pPr>
      <w:r>
        <w:rPr>
          <w:rFonts w:ascii="Arial" w:cs="Arial" w:eastAsia="Arial" w:hAnsi="Arial"/>
          <w:sz w:val="20"/>
          <w:szCs w:val="20"/>
          <w:color w:val="auto"/>
        </w:rPr>
        <w:t>Fixed Charges of such Person for such period (including (w) non-cash rent expense, (x) net losses or any obligations on any Hedging Obligations or other derivative instruments, (y) bank, letter of credit and other financing fees and</w:t>
      </w:r>
    </w:p>
    <w:p>
      <w:pPr>
        <w:jc w:val="both"/>
        <w:ind w:left="2080" w:hanging="3"/>
        <w:spacing w:after="0" w:line="241" w:lineRule="auto"/>
        <w:tabs>
          <w:tab w:leader="none" w:pos="2371" w:val="left"/>
        </w:tabs>
        <w:numPr>
          <w:ilvl w:val="2"/>
          <w:numId w:val="81"/>
        </w:numPr>
        <w:rPr>
          <w:rFonts w:ascii="Arial" w:cs="Arial" w:eastAsia="Arial" w:hAnsi="Arial"/>
          <w:sz w:val="20"/>
          <w:szCs w:val="20"/>
          <w:color w:val="auto"/>
        </w:rPr>
      </w:pPr>
      <w:r>
        <w:rPr>
          <w:rFonts w:ascii="Arial" w:cs="Arial" w:eastAsia="Arial" w:hAnsi="Arial"/>
          <w:sz w:val="20"/>
          <w:szCs w:val="20"/>
          <w:color w:val="auto"/>
        </w:rPr>
        <w:t>costs of surety bonds in connection with financing activities, plus amounts excluded from the definition of “Consolidated Interest Expense” and any non-cash interest expense), to the extent deducted (and not added back) in computing Consolidated Net Income; plus</w:t>
      </w:r>
    </w:p>
    <w:p>
      <w:pPr>
        <w:spacing w:after="0" w:line="222" w:lineRule="exact"/>
        <w:rPr>
          <w:rFonts w:ascii="Arial" w:cs="Arial" w:eastAsia="Arial" w:hAnsi="Arial"/>
          <w:sz w:val="20"/>
          <w:szCs w:val="20"/>
          <w:color w:val="auto"/>
        </w:rPr>
      </w:pPr>
    </w:p>
    <w:p>
      <w:pPr>
        <w:jc w:val="both"/>
        <w:ind w:left="2080" w:hanging="650"/>
        <w:spacing w:after="0" w:line="269" w:lineRule="auto"/>
        <w:tabs>
          <w:tab w:leader="none" w:pos="2067"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(x) Taxes and tax expenses (including, without limitation, foreign, federal, state, local, provincial, territorial, local, unitary, franchise, excise, foreign withholding, property, value added, withholding and similar taxes (including any future taxes or other levies which replace or are intended to be in lieu of such taxes and any penalties and interest related to such taxes or arising from tax examinations) paid or accrued during such period, including penalties and interest related thereto or arising from any tax examination), (y) without duplication, any distributions made to a Parent Entity with respect to the foregoing in accordance with </w:t>
      </w:r>
      <w:r>
        <w:rPr>
          <w:rFonts w:ascii="Arial" w:cs="Arial" w:eastAsia="Arial" w:hAnsi="Arial"/>
          <w:sz w:val="18"/>
          <w:szCs w:val="18"/>
          <w:u w:val="single" w:color="auto"/>
          <w:color w:val="auto"/>
        </w:rPr>
        <w:t>Section 7.06(b)(ix)(C)</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ind w:left="2080" w:right="20" w:hanging="2"/>
        <w:spacing w:after="0" w:line="297" w:lineRule="auto"/>
        <w:tabs>
          <w:tab w:leader="none" w:pos="2374" w:val="left"/>
        </w:tabs>
        <w:numPr>
          <w:ilvl w:val="2"/>
          <w:numId w:val="81"/>
        </w:numPr>
        <w:rPr>
          <w:rFonts w:ascii="Arial" w:cs="Arial" w:eastAsia="Arial" w:hAnsi="Arial"/>
          <w:sz w:val="18"/>
          <w:szCs w:val="18"/>
          <w:u w:val="single" w:color="auto"/>
          <w:color w:val="auto"/>
        </w:rPr>
      </w:pPr>
      <w:r>
        <w:rPr>
          <w:rFonts w:ascii="Arial" w:cs="Arial" w:eastAsia="Arial" w:hAnsi="Arial"/>
          <w:sz w:val="18"/>
          <w:szCs w:val="18"/>
          <w:color w:val="auto"/>
        </w:rPr>
        <w:t>the net tax expense associated with any adjustments made pursuant to the definition of “Consolidated Net Income” in each case, to the extent deducted (and not added back) in computing Consolidated Net Income; plus</w:t>
      </w:r>
    </w:p>
    <w:p>
      <w:pPr>
        <w:spacing w:after="0" w:line="187" w:lineRule="exact"/>
        <w:rPr>
          <w:rFonts w:ascii="Arial" w:cs="Arial" w:eastAsia="Arial" w:hAnsi="Arial"/>
          <w:sz w:val="18"/>
          <w:szCs w:val="18"/>
          <w:u w:val="single" w:color="auto"/>
          <w:color w:val="auto"/>
        </w:rPr>
      </w:pPr>
    </w:p>
    <w:p>
      <w:pPr>
        <w:ind w:left="2080" w:right="20" w:hanging="651"/>
        <w:spacing w:after="0" w:line="260" w:lineRule="auto"/>
        <w:tabs>
          <w:tab w:leader="none" w:pos="2070" w:val="left"/>
        </w:tabs>
        <w:numPr>
          <w:ilvl w:val="1"/>
          <w:numId w:val="81"/>
        </w:numPr>
        <w:rPr>
          <w:rFonts w:ascii="Arial" w:cs="Arial" w:eastAsia="Arial" w:hAnsi="Arial"/>
          <w:sz w:val="20"/>
          <w:szCs w:val="20"/>
          <w:color w:val="auto"/>
        </w:rPr>
      </w:pPr>
      <w:r>
        <w:rPr>
          <w:rFonts w:ascii="Arial" w:cs="Arial" w:eastAsia="Arial" w:hAnsi="Arial"/>
          <w:sz w:val="20"/>
          <w:szCs w:val="20"/>
          <w:color w:val="auto"/>
        </w:rPr>
        <w:t>Consolidated Depreciation and Amortization Expense of such Person for such period to the extent deducted (and not added back) in computing Consolidated Net Income; plus</w:t>
      </w:r>
    </w:p>
    <w:p>
      <w:pPr>
        <w:spacing w:after="0" w:line="217" w:lineRule="exact"/>
        <w:rPr>
          <w:rFonts w:ascii="Arial" w:cs="Arial" w:eastAsia="Arial" w:hAnsi="Arial"/>
          <w:sz w:val="20"/>
          <w:szCs w:val="20"/>
          <w:color w:val="auto"/>
        </w:rPr>
      </w:pPr>
    </w:p>
    <w:p>
      <w:pPr>
        <w:jc w:val="both"/>
        <w:ind w:left="2080" w:hanging="652"/>
        <w:spacing w:after="0" w:line="250" w:lineRule="auto"/>
        <w:tabs>
          <w:tab w:leader="none" w:pos="2067"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(x) Transaction Expenses and (y) fees, costs, expenses or charges (other than Consolidated Depreciation and Amortization Expense, but including, but not limited to rationalization, tax, legal and other expenses) related to any actual,</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080"/>
        <w:spacing w:after="0" w:line="250" w:lineRule="auto"/>
        <w:rPr>
          <w:sz w:val="20"/>
          <w:szCs w:val="20"/>
          <w:color w:val="auto"/>
        </w:rPr>
      </w:pPr>
      <w:r>
        <w:rPr>
          <w:rFonts w:ascii="Arial" w:cs="Arial" w:eastAsia="Arial" w:hAnsi="Arial"/>
          <w:sz w:val="20"/>
          <w:szCs w:val="20"/>
          <w:color w:val="auto"/>
        </w:rPr>
        <w:t>proposed or contemplated Equity Offering (including any expense relating to enhanced accounting functions or other transaction costs associated with becoming a public company, including Public Company Costs), Permitted Investment,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80" w:right="20"/>
        <w:spacing w:after="0" w:line="257" w:lineRule="auto"/>
        <w:rPr>
          <w:sz w:val="20"/>
          <w:szCs w:val="20"/>
          <w:color w:val="auto"/>
        </w:rPr>
      </w:pPr>
      <w:r>
        <w:rPr>
          <w:rFonts w:ascii="Arial" w:cs="Arial" w:eastAsia="Arial" w:hAnsi="Arial"/>
          <w:sz w:val="19"/>
          <w:szCs w:val="19"/>
          <w:color w:val="auto"/>
        </w:rPr>
        <w:t>Restricted Payment, acquisition, disposition, consolidation, restructuring recapitalization or the incurrence of Indebtedness permitted to be incurred by this Agreement (including a refinancing thereof) (whether or not successful and including any such transaction consummated prior to the Closing Date), including</w:t>
      </w:r>
    </w:p>
    <w:p>
      <w:pPr>
        <w:spacing w:after="0" w:line="3" w:lineRule="exact"/>
        <w:rPr>
          <w:sz w:val="20"/>
          <w:szCs w:val="20"/>
          <w:color w:val="auto"/>
        </w:rPr>
      </w:pPr>
    </w:p>
    <w:p>
      <w:pPr>
        <w:jc w:val="both"/>
        <w:ind w:left="2080" w:hanging="103"/>
        <w:spacing w:after="0" w:line="271" w:lineRule="auto"/>
        <w:rPr>
          <w:sz w:val="20"/>
          <w:szCs w:val="20"/>
          <w:color w:val="auto"/>
        </w:rPr>
      </w:pPr>
      <w:r>
        <w:rPr>
          <w:rFonts w:ascii="Arial" w:cs="Arial" w:eastAsia="Arial" w:hAnsi="Arial"/>
          <w:sz w:val="18"/>
          <w:szCs w:val="18"/>
          <w:color w:val="auto"/>
        </w:rPr>
        <w:t>i.such fees, expenses or charges (including rating agency fees, consulting fees and other related expenses and/or letter of credit or similar fees) related to the offering or incurrence of, or ongoing administration of this Agreement, the Facilities, and other credit facilities, any Securitization Fees, any other Indebtedness permitted to be Incurred under this Agreement or any Equity Offering, and (ii) any amendment, waiver or other modification of this Agreement, Receivables Facilities, Securitization Facilities, any other credit facilities, any Securitization Fees, any other Indebtedness or any Equity Offering, in each case, whether or not consummated, to the extent deducted (and not added back) in computing Consolidated Net Income; plus</w:t>
      </w:r>
    </w:p>
    <w:p>
      <w:pPr>
        <w:spacing w:after="0" w:line="211" w:lineRule="exact"/>
        <w:rPr>
          <w:sz w:val="20"/>
          <w:szCs w:val="20"/>
          <w:color w:val="auto"/>
        </w:rPr>
      </w:pPr>
    </w:p>
    <w:p>
      <w:pPr>
        <w:jc w:val="both"/>
        <w:ind w:left="2080" w:hanging="651"/>
        <w:spacing w:after="0" w:line="254" w:lineRule="auto"/>
        <w:tabs>
          <w:tab w:leader="none" w:pos="2069"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the amount of any charge, expense, cost, accrual, reserve or loss of any kind (collectively, “</w:t>
      </w:r>
      <w:r>
        <w:rPr>
          <w:rFonts w:ascii="Arial" w:cs="Arial" w:eastAsia="Arial" w:hAnsi="Arial"/>
          <w:sz w:val="19"/>
          <w:szCs w:val="19"/>
          <w:u w:val="single" w:color="auto"/>
          <w:color w:val="auto"/>
        </w:rPr>
        <w:t>Charges</w:t>
      </w:r>
      <w:r>
        <w:rPr>
          <w:rFonts w:ascii="Arial" w:cs="Arial" w:eastAsia="Arial" w:hAnsi="Arial"/>
          <w:sz w:val="19"/>
          <w:szCs w:val="19"/>
          <w:color w:val="auto"/>
        </w:rPr>
        <w:t>”) attributable to or associated with any carve out, restructuring, integration, implementation of new initiatives, business optimization activities, cost savings, cost rationalization programs, operating expense reductions, synergies and/or similar initiatives, retention, recruiting, relocation, signing bonuses, Charges in connection with a single or one-time event (including without limitation, in connection with facility openings, pre-openings, closings, reconfigurations and/or consolidations), contract termination Charges, stock option and other equity-based compensation expenses, any Charges associated with any stock subscription or shareholder agreement or any employee benefit trust, severance costs, any Charges associated with any modification of any pension or post-retirement employee benefit plan, indemnities and expenses, including, without limitation, any one time expense relating to enhanced accounting function or other transaction costs, including those associated with becoming a standalone entity or a public company (including, for the avoidance of doubt, Public Company Costs) and (ii) fees, costs and expenses associated with acquisition related litigation and settlement thereof, in each case, whether or not consummated, to the extent deducted (and not added back) in computing Consolidated Net Income; plus</w:t>
      </w:r>
    </w:p>
    <w:p>
      <w:pPr>
        <w:spacing w:after="0" w:line="218" w:lineRule="exact"/>
        <w:rPr>
          <w:rFonts w:ascii="Arial" w:cs="Arial" w:eastAsia="Arial" w:hAnsi="Arial"/>
          <w:sz w:val="19"/>
          <w:szCs w:val="19"/>
          <w:color w:val="auto"/>
        </w:rPr>
      </w:pPr>
    </w:p>
    <w:p>
      <w:pPr>
        <w:ind w:left="2080" w:right="20" w:hanging="651"/>
        <w:spacing w:after="0" w:line="247" w:lineRule="auto"/>
        <w:tabs>
          <w:tab w:leader="none" w:pos="2079"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other non-cash charges, write-downs, write-offs, expenses, losses, increase in expenses or items reducing Consolidated Net Income for such period including</w:t>
      </w:r>
    </w:p>
    <w:p>
      <w:pPr>
        <w:spacing w:after="0" w:line="2" w:lineRule="exact"/>
        <w:rPr>
          <w:sz w:val="20"/>
          <w:szCs w:val="20"/>
          <w:color w:val="auto"/>
        </w:rPr>
      </w:pPr>
    </w:p>
    <w:p>
      <w:pPr>
        <w:jc w:val="right"/>
        <w:ind w:left="1980"/>
        <w:spacing w:after="0" w:line="266" w:lineRule="auto"/>
        <w:rPr>
          <w:sz w:val="20"/>
          <w:szCs w:val="20"/>
          <w:color w:val="auto"/>
        </w:rPr>
      </w:pPr>
      <w:r>
        <w:rPr>
          <w:rFonts w:ascii="Arial" w:cs="Arial" w:eastAsia="Arial" w:hAnsi="Arial"/>
          <w:sz w:val="18"/>
          <w:szCs w:val="18"/>
          <w:color w:val="auto"/>
        </w:rPr>
        <w:t>i.non-cash losses on non-cash asset retirement costs, non-cash expense relating to the vesting of warrants, the sale of assets and any write-offs or write-downs, deferred revenue or impairment charges, including such charges, write-downs, write-offs, expenses, losses or other items pushed down to Holdings and its Restricted Subsidiaries),</w:t>
      </w:r>
    </w:p>
    <w:p>
      <w:pPr>
        <w:jc w:val="both"/>
        <w:ind w:left="2080" w:hanging="2"/>
        <w:spacing w:after="0" w:line="255" w:lineRule="auto"/>
        <w:tabs>
          <w:tab w:leader="none" w:pos="2395" w:val="left"/>
        </w:tabs>
        <w:numPr>
          <w:ilvl w:val="0"/>
          <w:numId w:val="83"/>
        </w:numPr>
        <w:rPr>
          <w:rFonts w:ascii="Arial" w:cs="Arial" w:eastAsia="Arial" w:hAnsi="Arial"/>
          <w:sz w:val="19"/>
          <w:szCs w:val="19"/>
          <w:color w:val="auto"/>
        </w:rPr>
      </w:pPr>
      <w:r>
        <w:rPr>
          <w:rFonts w:ascii="Arial" w:cs="Arial" w:eastAsia="Arial" w:hAnsi="Arial"/>
          <w:sz w:val="19"/>
          <w:szCs w:val="19"/>
          <w:color w:val="auto"/>
        </w:rPr>
        <w:t>impairment charges, amortization (or write offs) of financing costs (including debt discount, debt issuance costs and commissions and other fees associated with Indebtedness, including this Agreement) of such Person and its Subsidiaries and/or (iii) the impact of acquisition method accounting adjustment and any non-cash write-up, write-down or write-off with respect to re- valuing assets, inventory (including any impact of changes to inventory valuation policy methods) or other inventory adjustments and liabilities in connection with the Transactions or any Investment, deferred revenue or any</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260" w:lineRule="auto"/>
        <w:rPr>
          <w:sz w:val="20"/>
          <w:szCs w:val="20"/>
          <w:color w:val="auto"/>
        </w:rPr>
      </w:pPr>
      <w:r>
        <w:rPr>
          <w:rFonts w:ascii="Arial" w:cs="Arial" w:eastAsia="Arial" w:hAnsi="Arial"/>
          <w:sz w:val="20"/>
          <w:szCs w:val="20"/>
          <w:color w:val="auto"/>
        </w:rPr>
        <w:t>effects of adjustments resulting from the application of purchase accounting, purchase price accounting (including any step-up in inventory and loss of profit on the acquired inventory)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 cash charge, the cash payment in respect thereof in such future period shall be subtracted from Consolidated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plus</w:t>
      </w:r>
    </w:p>
    <w:p>
      <w:pPr>
        <w:spacing w:after="0" w:line="209" w:lineRule="exact"/>
        <w:rPr>
          <w:sz w:val="20"/>
          <w:szCs w:val="20"/>
          <w:color w:val="auto"/>
        </w:rPr>
      </w:pPr>
    </w:p>
    <w:p>
      <w:pPr>
        <w:jc w:val="both"/>
        <w:ind w:left="2080" w:hanging="651"/>
        <w:spacing w:after="0" w:line="269" w:lineRule="auto"/>
        <w:tabs>
          <w:tab w:leader="none" w:pos="20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pro forma “run rate” cost savings, operating expense reductions, other operating improvements and initiatives and synergies (net of actual cash savings) projected by the Borrower to result from action either taken or expected to be taken in connection with, and within 18 months following, (i) any acquisition (including the commencement of activities constituting a business) or material disposition (including the termination or discontinuance of activities constituting a business), in each case of business entities or of properties or assets constituting a division or line of business (including, without limitation, a product line), and/or</w:t>
      </w:r>
    </w:p>
    <w:p>
      <w:pPr>
        <w:spacing w:after="0" w:line="1" w:lineRule="exact"/>
        <w:rPr>
          <w:rFonts w:ascii="Arial" w:cs="Arial" w:eastAsia="Arial" w:hAnsi="Arial"/>
          <w:sz w:val="18"/>
          <w:szCs w:val="18"/>
          <w:color w:val="auto"/>
        </w:rPr>
      </w:pPr>
    </w:p>
    <w:p>
      <w:pPr>
        <w:jc w:val="both"/>
        <w:ind w:left="2080" w:hanging="2"/>
        <w:spacing w:after="0"/>
        <w:tabs>
          <w:tab w:leader="none" w:pos="2421"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any other operational change or initiatives (including, to the extent applicable, in connection with the Transactions or any restructuring) (which, in each of the cases (i), (ii) and (iii) above, will be added to Consolidated EBITDA as so projected until fully realized and calculated on a Pro Forma Basis as though such synergies, cost savings, operating expense reductions, other operating improvements and initiatives had been realized on the first day of such period), net of the amount of actual benefits realized during such period from such actions; or with respect to actions being taken in connection with acquisitions, dispositions, operational changes, initiatives or such other transactions or occurrences described in this clause (g) which occurred prior to the Closing Date, within 18 months of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added to Consolidated EBITDA pursuant to this </w:t>
      </w:r>
      <w:r>
        <w:rPr>
          <w:rFonts w:ascii="Arial" w:cs="Arial" w:eastAsia="Arial" w:hAnsi="Arial"/>
          <w:sz w:val="20"/>
          <w:szCs w:val="20"/>
          <w:u w:val="single" w:color="auto"/>
          <w:color w:val="auto"/>
        </w:rPr>
        <w:t>clause (g)</w:t>
      </w:r>
      <w:r>
        <w:rPr>
          <w:rFonts w:ascii="Arial" w:cs="Arial" w:eastAsia="Arial" w:hAnsi="Arial"/>
          <w:sz w:val="20"/>
          <w:szCs w:val="20"/>
          <w:color w:val="auto"/>
        </w:rPr>
        <w:t xml:space="preserve"> shall not exceed 25% of Consolidated EBITDA (calculated after giving effect to this </w:t>
      </w:r>
      <w:r>
        <w:rPr>
          <w:rFonts w:ascii="Arial" w:cs="Arial" w:eastAsia="Arial" w:hAnsi="Arial"/>
          <w:sz w:val="20"/>
          <w:szCs w:val="20"/>
          <w:u w:val="single" w:color="auto"/>
          <w:color w:val="auto"/>
        </w:rPr>
        <w:t>clause (g)</w:t>
      </w:r>
      <w:r>
        <w:rPr>
          <w:rFonts w:ascii="Arial" w:cs="Arial" w:eastAsia="Arial" w:hAnsi="Arial"/>
          <w:sz w:val="20"/>
          <w:szCs w:val="20"/>
          <w:color w:val="auto"/>
        </w:rPr>
        <w:t>) plus</w:t>
      </w:r>
    </w:p>
    <w:p>
      <w:pPr>
        <w:spacing w:after="0" w:line="303" w:lineRule="exact"/>
        <w:rPr>
          <w:rFonts w:ascii="Arial" w:cs="Arial" w:eastAsia="Arial" w:hAnsi="Arial"/>
          <w:sz w:val="20"/>
          <w:szCs w:val="20"/>
          <w:color w:val="auto"/>
        </w:rPr>
      </w:pPr>
    </w:p>
    <w:p>
      <w:pPr>
        <w:jc w:val="both"/>
        <w:ind w:left="2080" w:hanging="651"/>
        <w:spacing w:after="0" w:line="257" w:lineRule="auto"/>
        <w:tabs>
          <w:tab w:leader="none" w:pos="20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costs or expenses incurred by Holdings,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in each case to the extent that such costs or expenses are non-cash or otherwise funded with cash proceeds contributed to the capital of the Borrower or net cash proceeds of an issuance of Capital Stock (other than Disqualified Stock) of the Borrower; plus</w:t>
      </w:r>
    </w:p>
    <w:p>
      <w:pPr>
        <w:spacing w:after="0" w:line="207" w:lineRule="exact"/>
        <w:rPr>
          <w:rFonts w:ascii="Arial" w:cs="Arial" w:eastAsia="Arial" w:hAnsi="Arial"/>
          <w:sz w:val="19"/>
          <w:szCs w:val="19"/>
          <w:color w:val="auto"/>
        </w:rPr>
      </w:pPr>
    </w:p>
    <w:p>
      <w:pPr>
        <w:ind w:left="2080" w:hanging="651"/>
        <w:spacing w:after="0" w:line="385" w:lineRule="auto"/>
        <w:tabs>
          <w:tab w:leader="none" w:pos="2068"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cash receipts (or any netting arrangements resulting in reduced cash expenditures) not representing Consolidated EBITDA or Consolidated Net Income in any period to the extent non-cash gains relating to such income were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260" w:lineRule="auto"/>
        <w:rPr>
          <w:sz w:val="20"/>
          <w:szCs w:val="20"/>
          <w:color w:val="auto"/>
        </w:rPr>
      </w:pPr>
      <w:r>
        <w:rPr>
          <w:rFonts w:ascii="Arial" w:cs="Arial" w:eastAsia="Arial" w:hAnsi="Arial"/>
          <w:sz w:val="20"/>
          <w:szCs w:val="20"/>
          <w:color w:val="auto"/>
        </w:rPr>
        <w:t>deducted in the calculation of Consolidated EBITDA pursuant to clause (2) below for any previous period and not added back; plus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80" w:right="20" w:hanging="651"/>
        <w:spacing w:after="0" w:line="260" w:lineRule="auto"/>
        <w:tabs>
          <w:tab w:leader="none" w:pos="2068"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net loss included in the Consolidated Net Income attributable to non- controlling or minority interests pursuant to the application of Accounting Standards Codification Topic 810-10-45; plus</w:t>
      </w:r>
    </w:p>
    <w:p>
      <w:pPr>
        <w:spacing w:after="0" w:line="217" w:lineRule="exact"/>
        <w:rPr>
          <w:rFonts w:ascii="Arial" w:cs="Arial" w:eastAsia="Arial" w:hAnsi="Arial"/>
          <w:sz w:val="20"/>
          <w:szCs w:val="20"/>
          <w:color w:val="auto"/>
        </w:rPr>
      </w:pPr>
    </w:p>
    <w:p>
      <w:pPr>
        <w:ind w:left="2080" w:hanging="652"/>
        <w:spacing w:after="0"/>
        <w:tabs>
          <w:tab w:leader="none" w:pos="20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amount of any non-controlling or minority interest Charges; plus</w:t>
      </w:r>
    </w:p>
    <w:p>
      <w:pPr>
        <w:spacing w:after="0" w:line="242" w:lineRule="exact"/>
        <w:rPr>
          <w:rFonts w:ascii="Arial" w:cs="Arial" w:eastAsia="Arial" w:hAnsi="Arial"/>
          <w:sz w:val="20"/>
          <w:szCs w:val="20"/>
          <w:color w:val="auto"/>
        </w:rPr>
      </w:pPr>
    </w:p>
    <w:p>
      <w:pPr>
        <w:jc w:val="both"/>
        <w:ind w:left="2080" w:hanging="652"/>
        <w:spacing w:after="0" w:line="250" w:lineRule="auto"/>
        <w:tabs>
          <w:tab w:leader="none" w:pos="2068" w:val="left"/>
        </w:tabs>
        <w:numPr>
          <w:ilvl w:val="0"/>
          <w:numId w:val="85"/>
        </w:numPr>
        <w:rPr>
          <w:rFonts w:ascii="Arial" w:cs="Arial" w:eastAsia="Arial" w:hAnsi="Arial"/>
          <w:sz w:val="20"/>
          <w:szCs w:val="20"/>
          <w:color w:val="auto"/>
        </w:rPr>
      </w:pPr>
      <w:r>
        <w:rPr>
          <w:rFonts w:ascii="Arial" w:cs="Arial" w:eastAsia="Arial" w:hAnsi="Arial"/>
          <w:sz w:val="20"/>
          <w:szCs w:val="20"/>
          <w:color w:val="auto"/>
        </w:rPr>
        <w:t>unrealized or realized losses due to foreign exchange adjustments including, without limitation, losses and expenses in connection with currency and exchange rate fluctuations, and unrealized or realized losses or other obligations from hedging activities or other derivative instruments; plus</w:t>
      </w:r>
    </w:p>
    <w:p>
      <w:pPr>
        <w:spacing w:after="0" w:line="226" w:lineRule="exact"/>
        <w:rPr>
          <w:rFonts w:ascii="Arial" w:cs="Arial" w:eastAsia="Arial" w:hAnsi="Arial"/>
          <w:sz w:val="20"/>
          <w:szCs w:val="20"/>
          <w:color w:val="auto"/>
        </w:rPr>
      </w:pPr>
    </w:p>
    <w:p>
      <w:pPr>
        <w:jc w:val="both"/>
        <w:ind w:left="2080" w:hanging="652"/>
        <w:spacing w:after="0" w:line="282" w:lineRule="auto"/>
        <w:tabs>
          <w:tab w:leader="none" w:pos="20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respect to any joint venture, an amount equal to the proportion of those items described in clauses (b) and (c) above relating to such joint venture corresponding to the Borrower’s and the Restricted Subsidiaries’ proportionate share of such joint venture’s Consolidated Net Income (determined as if such joint venture were a Restricted Subsidiary) to the extent deducted (and not added back) in computing Consolidated Net Income; plus</w:t>
      </w:r>
    </w:p>
    <w:p>
      <w:pPr>
        <w:spacing w:after="0" w:line="201" w:lineRule="exact"/>
        <w:rPr>
          <w:rFonts w:ascii="Arial" w:cs="Arial" w:eastAsia="Arial" w:hAnsi="Arial"/>
          <w:sz w:val="18"/>
          <w:szCs w:val="18"/>
          <w:color w:val="auto"/>
        </w:rPr>
      </w:pPr>
    </w:p>
    <w:p>
      <w:pPr>
        <w:jc w:val="both"/>
        <w:ind w:left="2080" w:hanging="652"/>
        <w:spacing w:after="0" w:line="243" w:lineRule="auto"/>
        <w:tabs>
          <w:tab w:leader="none" w:pos="2068"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amount of any costs or expenses relating to payments made to stock appreciation or similar rights, stock option, restricted stock, phantom equity, profits interests or other interests or rights holders of Holdings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plus</w:t>
      </w:r>
    </w:p>
    <w:p>
      <w:pPr>
        <w:spacing w:after="0" w:line="222" w:lineRule="exact"/>
        <w:rPr>
          <w:rFonts w:ascii="Arial" w:cs="Arial" w:eastAsia="Arial" w:hAnsi="Arial"/>
          <w:sz w:val="20"/>
          <w:szCs w:val="20"/>
          <w:color w:val="auto"/>
        </w:rPr>
      </w:pPr>
    </w:p>
    <w:p>
      <w:pPr>
        <w:jc w:val="both"/>
        <w:ind w:left="2080" w:hanging="652"/>
        <w:spacing w:after="0" w:line="243" w:lineRule="auto"/>
        <w:tabs>
          <w:tab w:leader="none" w:pos="2073" w:val="left"/>
        </w:tabs>
        <w:numPr>
          <w:ilvl w:val="0"/>
          <w:numId w:val="85"/>
        </w:numPr>
        <w:rPr>
          <w:rFonts w:ascii="Arial" w:cs="Arial" w:eastAsia="Arial" w:hAnsi="Arial"/>
          <w:sz w:val="20"/>
          <w:szCs w:val="20"/>
          <w:color w:val="auto"/>
        </w:rPr>
      </w:pPr>
      <w:r>
        <w:rPr>
          <w:rFonts w:ascii="Arial" w:cs="Arial" w:eastAsia="Arial" w:hAnsi="Arial"/>
          <w:sz w:val="20"/>
          <w:szCs w:val="20"/>
          <w:color w:val="auto"/>
        </w:rPr>
        <w:t>adjustments and add backs (i) contained in the financial model provided to the Administrative Agent on September 13, 2020 and supplemented on September 14, 2020, (ii) reflected in a quality of earnings report made available to the Administrative Agent conducted by financial advisors (which financial advisors are (A) nationally recognized or (B) reasonably acceptable to the Administrative Agent (it being understood and agreed that any of the “Big Four” accounting firms are acceptable)) and retained by the Borrower or (iii) consistent with Regulation S-X; plus</w:t>
      </w:r>
    </w:p>
    <w:p>
      <w:pPr>
        <w:spacing w:after="0" w:line="236" w:lineRule="exact"/>
        <w:rPr>
          <w:rFonts w:ascii="Arial" w:cs="Arial" w:eastAsia="Arial" w:hAnsi="Arial"/>
          <w:sz w:val="20"/>
          <w:szCs w:val="20"/>
          <w:color w:val="auto"/>
        </w:rPr>
      </w:pPr>
    </w:p>
    <w:p>
      <w:pPr>
        <w:jc w:val="both"/>
        <w:ind w:left="2080" w:hanging="652"/>
        <w:spacing w:after="0" w:line="260" w:lineRule="auto"/>
        <w:tabs>
          <w:tab w:leader="none" w:pos="2079"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amount of any management, monitoring, consulting, transaction or advisory fees and related indemnities and expenses pursuant to any Sponsor management agreement and payments made to the Sponsor for any financial advisory, financing, underwriting or placement services or in respect of other investment banking activities and payments to outside directors of the Borrower (or its direct or indirect parent companies), in each case, to the extent permitted to be paid under this Agreement; plus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both"/>
        <w:ind w:left="780" w:firstLine="1"/>
        <w:spacing w:after="0" w:line="291" w:lineRule="auto"/>
        <w:tabs>
          <w:tab w:leader="none" w:pos="12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Codification Topic 840—Leases) and unrealized or realized gains due to foreign exchange adjustments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20"/>
        <w:spacing w:after="0" w:line="260" w:lineRule="auto"/>
        <w:rPr>
          <w:sz w:val="20"/>
          <w:szCs w:val="20"/>
          <w:color w:val="auto"/>
        </w:rPr>
      </w:pPr>
      <w:r>
        <w:rPr>
          <w:rFonts w:ascii="Arial" w:cs="Arial" w:eastAsia="Arial" w:hAnsi="Arial"/>
          <w:sz w:val="20"/>
          <w:szCs w:val="20"/>
          <w:color w:val="auto"/>
        </w:rPr>
        <w:t>including, without limitation, gains in connection with currency and exchange rate fluctuations, and unrealized or realized gains or other obligations from hedging activities or other derivative instruments.</w:t>
      </w:r>
    </w:p>
    <w:p>
      <w:pPr>
        <w:spacing w:after="0" w:line="21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First Lien Secured Leverage Ratio</w:t>
      </w:r>
      <w:r>
        <w:rPr>
          <w:rFonts w:ascii="Arial" w:cs="Arial" w:eastAsia="Arial" w:hAnsi="Arial"/>
          <w:sz w:val="20"/>
          <w:szCs w:val="20"/>
          <w:color w:val="auto"/>
        </w:rPr>
        <w:t>” means, as of any date of determination, the ratio of (x) the Consolidated Total Indebtedness that is secured by a Lien on the Collateral (other than a Lien that is junior to the Lien securing the Secured Obligations) as of such date to (y) LTM EBITDA.</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respect to any Person for any period, without duplication, the sum of:</w:t>
      </w:r>
    </w:p>
    <w:p>
      <w:pPr>
        <w:spacing w:after="0" w:line="268" w:lineRule="exact"/>
        <w:rPr>
          <w:sz w:val="20"/>
          <w:szCs w:val="20"/>
          <w:color w:val="auto"/>
        </w:rPr>
      </w:pPr>
    </w:p>
    <w:p>
      <w:pPr>
        <w:jc w:val="both"/>
        <w:ind w:left="780" w:firstLine="649"/>
        <w:spacing w:after="0" w:line="267" w:lineRule="auto"/>
        <w:tabs>
          <w:tab w:leader="none" w:pos="1942" w:val="left"/>
        </w:tabs>
        <w:numPr>
          <w:ilvl w:val="2"/>
          <w:numId w:val="87"/>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made (less net payments, if any, received), pursuant to interest rate Hedging Obligations with respect to Indebtedness, and excluding (i) Securitization Fees, (ii) penalties and interest relating to taxes, (iii) annual agency or similar fees paid to the administrative agents, collateral agents and other agents under any Facility, (iv) any additional interest or liquidated damages owing pursuant to any registration rights obligations, (v) costs associated with obtaining Hedging Obligations,</w:t>
      </w:r>
    </w:p>
    <w:p>
      <w:pPr>
        <w:spacing w:after="0" w:line="8" w:lineRule="exact"/>
        <w:rPr>
          <w:rFonts w:ascii="Arial" w:cs="Arial" w:eastAsia="Arial" w:hAnsi="Arial"/>
          <w:sz w:val="18"/>
          <w:szCs w:val="18"/>
          <w:color w:val="auto"/>
        </w:rPr>
      </w:pPr>
    </w:p>
    <w:p>
      <w:pPr>
        <w:jc w:val="both"/>
        <w:ind w:left="780"/>
        <w:spacing w:after="0" w:line="266" w:lineRule="auto"/>
        <w:tabs>
          <w:tab w:leader="none" w:pos="11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accretion or accrual of discounted liabilities other than Indebtedness, (vii) 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Closing Date, (x) any accretion of accrued interest on discounted liabilities and any prepayment, make-whole or breakage premium, penalty or cost and</w:t>
      </w:r>
    </w:p>
    <w:p>
      <w:pPr>
        <w:ind w:left="780" w:firstLine="1"/>
        <w:spacing w:after="0" w:line="244" w:lineRule="auto"/>
        <w:tabs>
          <w:tab w:leader="none" w:pos="1151"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interest expense with respect to Indebtedness of any direct or indirect parent of such Person resulting from push-down accounting; </w:t>
      </w:r>
      <w:r>
        <w:rPr>
          <w:rFonts w:ascii="Arial" w:cs="Arial" w:eastAsia="Arial" w:hAnsi="Arial"/>
          <w:sz w:val="20"/>
          <w:szCs w:val="20"/>
          <w:i w:val="1"/>
          <w:iCs w:val="1"/>
          <w:color w:val="auto"/>
        </w:rPr>
        <w:t>plus</w:t>
      </w:r>
    </w:p>
    <w:p>
      <w:pPr>
        <w:spacing w:after="0" w:line="231" w:lineRule="exact"/>
        <w:rPr>
          <w:rFonts w:ascii="Arial" w:cs="Arial" w:eastAsia="Arial" w:hAnsi="Arial"/>
          <w:sz w:val="20"/>
          <w:szCs w:val="20"/>
          <w:color w:val="auto"/>
        </w:rPr>
      </w:pPr>
    </w:p>
    <w:p>
      <w:pPr>
        <w:ind w:left="1940" w:hanging="512"/>
        <w:spacing w:after="0"/>
        <w:tabs>
          <w:tab w:leader="none" w:pos="1940" w:val="left"/>
        </w:tabs>
        <w:numPr>
          <w:ilvl w:val="2"/>
          <w:numId w:val="89"/>
        </w:numPr>
        <w:rPr>
          <w:rFonts w:ascii="Arial" w:cs="Arial" w:eastAsia="Arial" w:hAnsi="Arial"/>
          <w:sz w:val="18"/>
          <w:szCs w:val="18"/>
          <w:i w:val="1"/>
          <w:iCs w:val="1"/>
          <w:color w:val="auto"/>
        </w:rPr>
      </w:pPr>
      <w:r>
        <w:rPr>
          <w:rFonts w:ascii="Arial" w:cs="Arial" w:eastAsia="Arial" w:hAnsi="Arial"/>
          <w:sz w:val="18"/>
          <w:szCs w:val="18"/>
          <w:color w:val="auto"/>
        </w:rPr>
        <w:t>consolidated capitalized interest of such Person and its Restricted Subsidiaries for such period, whether paid or</w:t>
      </w:r>
    </w:p>
    <w:p>
      <w:pPr>
        <w:spacing w:after="0" w:line="38" w:lineRule="exact"/>
        <w:rPr>
          <w:rFonts w:ascii="Arial" w:cs="Arial" w:eastAsia="Arial" w:hAnsi="Arial"/>
          <w:sz w:val="18"/>
          <w:szCs w:val="18"/>
          <w:i w:val="1"/>
          <w:iCs w:val="1"/>
          <w:color w:val="auto"/>
        </w:rPr>
      </w:pPr>
    </w:p>
    <w:p>
      <w:pPr>
        <w:ind w:left="780"/>
        <w:spacing w:after="0"/>
        <w:rPr>
          <w:rFonts w:ascii="Arial" w:cs="Arial" w:eastAsia="Arial" w:hAnsi="Arial"/>
          <w:sz w:val="18"/>
          <w:szCs w:val="18"/>
          <w:i w:val="1"/>
          <w:iCs w:val="1"/>
          <w:color w:val="auto"/>
        </w:rPr>
      </w:pPr>
      <w:r>
        <w:rPr>
          <w:rFonts w:ascii="Arial" w:cs="Arial" w:eastAsia="Arial" w:hAnsi="Arial"/>
          <w:sz w:val="20"/>
          <w:szCs w:val="20"/>
          <w:color w:val="auto"/>
        </w:rPr>
        <w:t xml:space="preserve">accrued; </w:t>
      </w:r>
      <w:r>
        <w:rPr>
          <w:rFonts w:ascii="Arial" w:cs="Arial" w:eastAsia="Arial" w:hAnsi="Arial"/>
          <w:sz w:val="20"/>
          <w:szCs w:val="20"/>
          <w:i w:val="1"/>
          <w:iCs w:val="1"/>
          <w:color w:val="auto"/>
        </w:rPr>
        <w:t>less</w:t>
      </w:r>
    </w:p>
    <w:p>
      <w:pPr>
        <w:spacing w:after="0" w:line="226" w:lineRule="exact"/>
        <w:rPr>
          <w:rFonts w:ascii="Arial" w:cs="Arial" w:eastAsia="Arial" w:hAnsi="Arial"/>
          <w:sz w:val="18"/>
          <w:szCs w:val="18"/>
          <w:i w:val="1"/>
          <w:iCs w:val="1"/>
          <w:color w:val="auto"/>
        </w:rPr>
      </w:pPr>
    </w:p>
    <w:p>
      <w:pPr>
        <w:ind w:left="2060" w:hanging="632"/>
        <w:spacing w:after="0"/>
        <w:tabs>
          <w:tab w:leader="none" w:pos="2060" w:val="left"/>
        </w:tabs>
        <w:numPr>
          <w:ilvl w:val="2"/>
          <w:numId w:val="89"/>
        </w:numPr>
        <w:rPr>
          <w:rFonts w:ascii="Arial" w:cs="Arial" w:eastAsia="Arial" w:hAnsi="Arial"/>
          <w:sz w:val="20"/>
          <w:szCs w:val="20"/>
          <w:color w:val="auto"/>
        </w:rPr>
      </w:pPr>
      <w:r>
        <w:rPr>
          <w:rFonts w:ascii="Arial" w:cs="Arial" w:eastAsia="Arial" w:hAnsi="Arial"/>
          <w:sz w:val="20"/>
          <w:szCs w:val="20"/>
          <w:color w:val="auto"/>
        </w:rPr>
        <w:t>interest income for such period.</w:t>
      </w:r>
    </w:p>
    <w:p>
      <w:pPr>
        <w:spacing w:after="0" w:line="256" w:lineRule="exact"/>
        <w:rPr>
          <w:sz w:val="20"/>
          <w:szCs w:val="20"/>
          <w:color w:val="auto"/>
        </w:rPr>
      </w:pPr>
    </w:p>
    <w:p>
      <w:pPr>
        <w:ind w:left="140" w:firstLine="1295"/>
        <w:spacing w:after="0" w:line="316"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means, with respect to any Person for any period, the net income (loss) of such Person and its Restricted Subsidiaries for such period determined on a consolidated basis in accordance with GAAP;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there will not be included in such Consolidated Net Income:</w:t>
      </w:r>
    </w:p>
    <w:p>
      <w:pPr>
        <w:spacing w:after="0" w:line="226" w:lineRule="exact"/>
        <w:rPr>
          <w:sz w:val="20"/>
          <w:szCs w:val="20"/>
          <w:color w:val="auto"/>
        </w:rPr>
      </w:pPr>
    </w:p>
    <w:p>
      <w:pPr>
        <w:jc w:val="both"/>
        <w:ind w:left="1440" w:hanging="659"/>
        <w:spacing w:after="0" w:line="278" w:lineRule="auto"/>
        <w:tabs>
          <w:tab w:leader="none" w:pos="14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net income (loss) of any Person if such Person is not a Restricted Subsidiary (including any net income (loss) from investments recorded in such Person under the equity method of accounting), except that the Borrower’s receipts from any such Person for such period will be included in such Consolidated Net Income up to the aggregate amount of cash or Cash Equivalents actually distributed (or to the extent converted into cash or Cash Equivalents) by such Person during such period to the Borrower or a Restricted Subsidiary as a dividend or other distribution or return on investment;</w:t>
      </w:r>
    </w:p>
    <w:p>
      <w:pPr>
        <w:spacing w:after="0" w:line="191" w:lineRule="exact"/>
        <w:rPr>
          <w:rFonts w:ascii="Arial" w:cs="Arial" w:eastAsia="Arial" w:hAnsi="Arial"/>
          <w:sz w:val="18"/>
          <w:szCs w:val="18"/>
          <w:color w:val="auto"/>
        </w:rPr>
      </w:pPr>
    </w:p>
    <w:p>
      <w:pPr>
        <w:jc w:val="both"/>
        <w:ind w:left="1420" w:hanging="639"/>
        <w:spacing w:after="0" w:line="270" w:lineRule="auto"/>
        <w:tabs>
          <w:tab w:leader="none" w:pos="14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solely for the purpose of determining the amount available for Restricted Payments under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hereof, any net income (loss) of any Restricted Subsidiary (other than the Guarantors) if such Subsidiary is subject to restrictions, directly or indirectly, on the payment of dividends or the making of distributions by such Restricted Subsidiary, directly or indirectly, to the Borrower or a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 (b) restrictions pursuant to this Agreement or other similar indebtedness, and (c) restrictions specified in Section </w:t>
      </w:r>
      <w:r>
        <w:rPr>
          <w:rFonts w:ascii="Arial" w:cs="Arial" w:eastAsia="Arial" w:hAnsi="Arial"/>
          <w:sz w:val="18"/>
          <w:szCs w:val="18"/>
          <w:u w:val="single" w:color="auto"/>
          <w:color w:val="auto"/>
        </w:rPr>
        <w:t>7.08(b)(xiv)(i))</w:t>
      </w:r>
      <w:r>
        <w:rPr>
          <w:rFonts w:ascii="Arial" w:cs="Arial" w:eastAsia="Arial" w:hAnsi="Arial"/>
          <w:sz w:val="18"/>
          <w:szCs w:val="18"/>
          <w:color w:val="auto"/>
        </w:rPr>
        <w:t>, except that Borrower’s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by such Restricted Subsidiary during such period to the Borrower or another Restricted Subsidiary as a dividend or other distribution (subject, in the case of a dividend to another Restricted Subsidiary, to the limitation contained in this clause);</w:t>
      </w:r>
    </w:p>
    <w:p>
      <w:pPr>
        <w:spacing w:after="0" w:line="212" w:lineRule="exact"/>
        <w:rPr>
          <w:rFonts w:ascii="Arial" w:cs="Arial" w:eastAsia="Arial" w:hAnsi="Arial"/>
          <w:sz w:val="18"/>
          <w:szCs w:val="18"/>
          <w:color w:val="auto"/>
        </w:rPr>
      </w:pPr>
    </w:p>
    <w:p>
      <w:pPr>
        <w:jc w:val="both"/>
        <w:ind w:left="1420" w:hanging="639"/>
        <w:spacing w:after="0" w:line="256" w:lineRule="auto"/>
        <w:tabs>
          <w:tab w:leader="none" w:pos="1408"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gain (or loss) (a) in respect of facilities no longer used or useful in the conduct of the business of the Borrower or the Restricted Subsidiaries, abandoned, closed, disposed or discontinued operations (excluding held for sale discontinued operations until actually disposed of) other than in the ordinary course of business, (b) on disposal, abandonment or discontinuance of disposed, abandoned, closed or discontinued operations, and</w:t>
      </w:r>
    </w:p>
    <w:p>
      <w:pPr>
        <w:spacing w:after="0" w:line="1" w:lineRule="exact"/>
        <w:rPr>
          <w:rFonts w:ascii="Arial" w:cs="Arial" w:eastAsia="Arial" w:hAnsi="Arial"/>
          <w:sz w:val="19"/>
          <w:szCs w:val="19"/>
          <w:color w:val="auto"/>
        </w:rPr>
      </w:pPr>
    </w:p>
    <w:p>
      <w:pPr>
        <w:jc w:val="both"/>
        <w:ind w:left="1420" w:firstLine="9"/>
        <w:spacing w:after="0" w:line="241" w:lineRule="auto"/>
        <w:tabs>
          <w:tab w:leader="none" w:pos="1713" w:val="left"/>
        </w:tabs>
        <w:numPr>
          <w:ilvl w:val="1"/>
          <w:numId w:val="90"/>
        </w:numPr>
        <w:rPr>
          <w:rFonts w:ascii="Arial" w:cs="Arial" w:eastAsia="Arial" w:hAnsi="Arial"/>
          <w:sz w:val="20"/>
          <w:szCs w:val="20"/>
          <w:color w:val="auto"/>
        </w:rPr>
      </w:pPr>
      <w:r>
        <w:rPr>
          <w:rFonts w:ascii="Arial" w:cs="Arial" w:eastAsia="Arial" w:hAnsi="Arial"/>
          <w:sz w:val="20"/>
          <w:szCs w:val="20"/>
          <w:color w:val="auto"/>
        </w:rPr>
        <w:t>attributable to asset dispositions, abandonments, sales or other dispositions of any asset (including pursuant to any Sale and Leaseback Transaction) or the designation of an Unrestricted Subsidiary other than in the ordinary course of business;</w:t>
      </w:r>
    </w:p>
    <w:p>
      <w:pPr>
        <w:spacing w:after="0" w:line="236" w:lineRule="exact"/>
        <w:rPr>
          <w:rFonts w:ascii="Arial" w:cs="Arial" w:eastAsia="Arial" w:hAnsi="Arial"/>
          <w:sz w:val="20"/>
          <w:szCs w:val="20"/>
          <w:color w:val="auto"/>
        </w:rPr>
      </w:pPr>
    </w:p>
    <w:p>
      <w:pPr>
        <w:jc w:val="both"/>
        <w:ind w:left="1420" w:hanging="639"/>
        <w:spacing w:after="0" w:line="257" w:lineRule="auto"/>
        <w:tabs>
          <w:tab w:leader="none" w:pos="1408"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any extraordinary, exceptional, unusual or nonrecurring loss, charge or expense, Transaction Expenses,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 time charges (including compensation charges), payments made pursuant to the terms of change in control agreements that the Borrower or a Subsidiary or a Parent Entity had entered into with employees of Holdings, any of its Subsidiaries or a Parent</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579"/>
        <w:spacing w:after="0"/>
        <w:rPr>
          <w:sz w:val="20"/>
          <w:szCs w:val="20"/>
          <w:color w:val="auto"/>
        </w:rPr>
      </w:pPr>
      <w:r>
        <w:rPr>
          <w:rFonts w:ascii="Arial" w:cs="Arial" w:eastAsia="Arial" w:hAnsi="Arial"/>
          <w:sz w:val="20"/>
          <w:szCs w:val="20"/>
          <w:color w:val="auto"/>
        </w:rPr>
        <w:t>Entity, costs relating to pre-opening, opening and conversion costs for facilities, losses, costs related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20"/>
        <w:spacing w:after="0" w:line="267" w:lineRule="auto"/>
        <w:rPr>
          <w:sz w:val="20"/>
          <w:szCs w:val="20"/>
          <w:color w:val="auto"/>
        </w:rPr>
      </w:pPr>
      <w:r>
        <w:rPr>
          <w:rFonts w:ascii="Arial" w:cs="Arial" w:eastAsia="Arial" w:hAnsi="Arial"/>
          <w:sz w:val="18"/>
          <w:szCs w:val="18"/>
          <w:color w:val="auto"/>
        </w:rPr>
        <w:t>facility or property disruptions or shutdowns,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 pocket costs, human resources costs (including relocation bonuses), litigation and arbitration costs, charges, fees and expenses (including payments of legal settlements, fines, judgements or orders),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 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and</w:t>
      </w:r>
    </w:p>
    <w:p>
      <w:pPr>
        <w:spacing w:after="0" w:line="5" w:lineRule="exact"/>
        <w:rPr>
          <w:sz w:val="20"/>
          <w:szCs w:val="20"/>
          <w:color w:val="auto"/>
        </w:rPr>
      </w:pPr>
    </w:p>
    <w:p>
      <w:pPr>
        <w:ind w:left="1420" w:right="20"/>
        <w:spacing w:after="0" w:line="244" w:lineRule="auto"/>
        <w:rPr>
          <w:sz w:val="20"/>
          <w:szCs w:val="20"/>
          <w:color w:val="auto"/>
        </w:rPr>
      </w:pPr>
      <w:r>
        <w:rPr>
          <w:rFonts w:ascii="Arial" w:cs="Arial" w:eastAsia="Arial" w:hAnsi="Arial"/>
          <w:sz w:val="20"/>
          <w:szCs w:val="20"/>
          <w:color w:val="auto"/>
        </w:rPr>
        <w:t>(b) any charge, expense, cost, accrual or reserve of any kind associated with acquisition related litigation and settlements thereof;</w:t>
      </w:r>
    </w:p>
    <w:p>
      <w:pPr>
        <w:spacing w:after="0" w:line="231" w:lineRule="exact"/>
        <w:rPr>
          <w:sz w:val="20"/>
          <w:szCs w:val="20"/>
          <w:color w:val="auto"/>
        </w:rPr>
      </w:pPr>
    </w:p>
    <w:p>
      <w:pPr>
        <w:jc w:val="both"/>
        <w:ind w:left="1420" w:hanging="640"/>
        <w:spacing w:after="0" w:line="276" w:lineRule="auto"/>
        <w:tabs>
          <w:tab w:leader="none" w:pos="14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at the election of the Borrower with respect to any quarterly period, the cumulative effect of a change in law, regulation or accounting principles and changes as a result of the adoption or modification of accounting policies, (b) subject to the last paragraph of the definition of “GAAP,” the cumulative effect of a change in accounting principles and changes as a result of the adoption or modification of accounting policies during such period (including any impact resulting from accounting changes) and (c) any costs, charges, losses, fees or expenses in connection with the implementation or tracking of such changes or modifications specified in the foregoing clauses (a) and (b);</w:t>
      </w:r>
    </w:p>
    <w:p>
      <w:pPr>
        <w:spacing w:after="0" w:line="191" w:lineRule="exact"/>
        <w:rPr>
          <w:rFonts w:ascii="Arial" w:cs="Arial" w:eastAsia="Arial" w:hAnsi="Arial"/>
          <w:sz w:val="18"/>
          <w:szCs w:val="18"/>
          <w:color w:val="auto"/>
        </w:rPr>
      </w:pPr>
    </w:p>
    <w:p>
      <w:pPr>
        <w:jc w:val="both"/>
        <w:ind w:left="1420" w:hanging="640"/>
        <w:spacing w:after="0" w:line="254" w:lineRule="auto"/>
        <w:tabs>
          <w:tab w:leader="none" w:pos="1419" w:val="left"/>
        </w:tabs>
        <w:numPr>
          <w:ilvl w:val="0"/>
          <w:numId w:val="91"/>
        </w:numPr>
        <w:rPr>
          <w:rFonts w:ascii="Arial" w:cs="Arial" w:eastAsia="Arial" w:hAnsi="Arial"/>
          <w:sz w:val="19"/>
          <w:szCs w:val="19"/>
          <w:color w:val="auto"/>
        </w:rPr>
      </w:pPr>
      <w:r>
        <w:rPr>
          <w:rFonts w:ascii="Arial" w:cs="Arial" w:eastAsia="Arial" w:hAnsi="Arial"/>
          <w:sz w:val="19"/>
          <w:szCs w:val="19"/>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 based incentive programs (“equity incentives”), any income (loss) associated with the equity incentives or other long-term incentive compensation plans (including under deferred compensation arrangements of Holdings or any Parent Entity or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Holdings or any Parent Entity or Subsidiary, and any cash awards granted to employees of Holdings and its Subsidiaries in replacement for forfeited awards, (b) any non-cash losses realized in such period in connection with adjustments to any employee benefit plan due to changes in estimates, actuarial assumptions, valuations, studies or judgments or non-cash compensation expense resulting from the application of Accounting Standards Codification Topic 718, Compensation—Stock Compensation and (c) any net pension or post-employment benefit costs representing amortization of unrecognized prior service</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-50-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20"/>
        <w:spacing w:after="0" w:line="260" w:lineRule="auto"/>
        <w:rPr>
          <w:sz w:val="20"/>
          <w:szCs w:val="20"/>
          <w:color w:val="auto"/>
        </w:rPr>
      </w:pPr>
      <w:r>
        <w:rPr>
          <w:rFonts w:ascii="Arial" w:cs="Arial" w:eastAsia="Arial" w:hAnsi="Arial"/>
          <w:sz w:val="20"/>
          <w:szCs w:val="20"/>
          <w:color w:val="auto"/>
        </w:rPr>
        <w:t>costs, actuarial losses, amortization of such amounts arising in prior periods, amortization of the unrecognized obligation (and loss or cost) existing at the date of initial application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-51-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of Statement of Financial Accounting Standards No. 87, 106 and 112, and any other item of a similar nature;</w:t>
      </w:r>
    </w:p>
    <w:p>
      <w:pPr>
        <w:spacing w:after="0" w:line="256" w:lineRule="exact"/>
        <w:rPr>
          <w:sz w:val="20"/>
          <w:szCs w:val="20"/>
          <w:color w:val="auto"/>
        </w:rPr>
      </w:pPr>
    </w:p>
    <w:p>
      <w:pPr>
        <w:ind w:left="1440" w:hanging="659"/>
        <w:spacing w:after="0" w:line="316" w:lineRule="auto"/>
        <w:tabs>
          <w:tab w:leader="none" w:pos="1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156" w:lineRule="exact"/>
        <w:rPr>
          <w:rFonts w:ascii="Arial" w:cs="Arial" w:eastAsia="Arial" w:hAnsi="Arial"/>
          <w:sz w:val="18"/>
          <w:szCs w:val="18"/>
          <w:color w:val="auto"/>
        </w:rPr>
      </w:pPr>
    </w:p>
    <w:p>
      <w:pPr>
        <w:jc w:val="both"/>
        <w:ind w:left="1440" w:hanging="659"/>
        <w:spacing w:after="0" w:line="250" w:lineRule="auto"/>
        <w:tabs>
          <w:tab w:leader="none" w:pos="14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226" w:lineRule="exact"/>
        <w:rPr>
          <w:rFonts w:ascii="Arial" w:cs="Arial" w:eastAsia="Arial" w:hAnsi="Arial"/>
          <w:sz w:val="20"/>
          <w:szCs w:val="20"/>
          <w:color w:val="auto"/>
        </w:rPr>
      </w:pPr>
    </w:p>
    <w:p>
      <w:pPr>
        <w:jc w:val="both"/>
        <w:ind w:left="1440" w:hanging="659"/>
        <w:spacing w:after="0" w:line="270" w:lineRule="auto"/>
        <w:tabs>
          <w:tab w:leader="none" w:pos="1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fees, losses, costs, expenses or charges incurred during such period (including any transaction, retention bonus or similar payment and earn outs), or any amortization thereof for such period, in connection with (a) any acquisition, recapitalization, Investment, Asset Disposition, disposition, dividend, issuance or repayment of Indebtedness (including such fees, expense or charges related to the offering, issuance and rating of the Loans, other securities and any of the Facilities), issuance of Capital Stock, refinancing transaction or amendment or modification of any debt instrument (including any amendment or other modification of the Loans, other securities and any of the Facilities), in each case, including the Transactions, any such transaction consummated prior to, on or after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and any adjustments resulting from the application of Accounting Standards Codification Topic 460— Guarantees or any related pronouncements) and (b) complying with the requirements under, or making elections permitted by, the documentation governing any Indebtedness;</w:t>
      </w:r>
    </w:p>
    <w:p>
      <w:pPr>
        <w:spacing w:after="0" w:line="212" w:lineRule="exact"/>
        <w:rPr>
          <w:rFonts w:ascii="Arial" w:cs="Arial" w:eastAsia="Arial" w:hAnsi="Arial"/>
          <w:sz w:val="18"/>
          <w:szCs w:val="18"/>
          <w:color w:val="auto"/>
        </w:rPr>
      </w:pPr>
    </w:p>
    <w:p>
      <w:pPr>
        <w:jc w:val="both"/>
        <w:ind w:left="1440" w:hanging="659"/>
        <w:spacing w:after="0" w:line="259" w:lineRule="auto"/>
        <w:tabs>
          <w:tab w:leader="none" w:pos="1439"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balances, other balance sheet items, Hedging Obligations or other obligations of Holdings or any Restricted Subsidiary owing to Holdings or any Restricted Subsidiary and any other realized or unrealized foreign exchange gains or losses relating to the translation of assets and liabilities denominated in foreign currencies;</w:t>
      </w:r>
    </w:p>
    <w:p>
      <w:pPr>
        <w:spacing w:after="0" w:line="205" w:lineRule="exact"/>
        <w:rPr>
          <w:rFonts w:ascii="Arial" w:cs="Arial" w:eastAsia="Arial" w:hAnsi="Arial"/>
          <w:sz w:val="19"/>
          <w:szCs w:val="19"/>
          <w:color w:val="auto"/>
        </w:rPr>
      </w:pPr>
    </w:p>
    <w:p>
      <w:pPr>
        <w:ind w:left="1440" w:right="20" w:hanging="659"/>
        <w:spacing w:after="0" w:line="260" w:lineRule="auto"/>
        <w:tabs>
          <w:tab w:leader="none" w:pos="14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unrealized or realized income (loss) or non-cash expense attributable to movement in mark-to-market valuation of foreign currencies, Indebtedness or derivative instruments pursuant to GAAP;</w:t>
      </w:r>
    </w:p>
    <w:p>
      <w:pPr>
        <w:spacing w:after="0" w:line="217" w:lineRule="exact"/>
        <w:rPr>
          <w:rFonts w:ascii="Arial" w:cs="Arial" w:eastAsia="Arial" w:hAnsi="Arial"/>
          <w:sz w:val="20"/>
          <w:szCs w:val="20"/>
          <w:color w:val="auto"/>
        </w:rPr>
      </w:pPr>
    </w:p>
    <w:p>
      <w:pPr>
        <w:jc w:val="both"/>
        <w:ind w:left="1440" w:hanging="659"/>
        <w:spacing w:after="0" w:line="244" w:lineRule="auto"/>
        <w:tabs>
          <w:tab w:leader="none" w:pos="14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non-cash increase in expenses (including expenses pushed down to Holdings and its Restricted Subsidiaries) (a) resulting from the revaluation of inventory (including any impact of changes to inventory valuation policy methods) or other inventory adjustments or (b) due to recapitalization accounting or to purchase accounting associated with the Transactions or any other acquisition or the amortization or write-off of any amounts thereof (including, without limitation, with respect to inventory, property and equipment,</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-52-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40"/>
        <w:spacing w:after="0" w:line="260" w:lineRule="auto"/>
        <w:rPr>
          <w:sz w:val="20"/>
          <w:szCs w:val="20"/>
          <w:color w:val="auto"/>
        </w:rPr>
      </w:pPr>
      <w:r>
        <w:rPr>
          <w:rFonts w:ascii="Arial" w:cs="Arial" w:eastAsia="Arial" w:hAnsi="Arial"/>
          <w:sz w:val="20"/>
          <w:szCs w:val="20"/>
          <w:color w:val="auto"/>
        </w:rPr>
        <w:t>leases, software, goodwill, intangible assets, in-process research and development, deferred revenue (including deferred costs related thereto and deferred rent) and debt line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-53-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40"/>
        <w:spacing w:after="0" w:line="246" w:lineRule="auto"/>
        <w:rPr>
          <w:sz w:val="20"/>
          <w:szCs w:val="20"/>
          <w:color w:val="auto"/>
        </w:rPr>
      </w:pPr>
      <w:r>
        <w:rPr>
          <w:rFonts w:ascii="Arial" w:cs="Arial" w:eastAsia="Arial" w:hAnsi="Arial"/>
          <w:sz w:val="20"/>
          <w:szCs w:val="20"/>
          <w:color w:val="auto"/>
        </w:rPr>
        <w:t>items thereof, resulting from the application of acquisition method accounting, recapitalization accounting or purchase accounting, as the case may be, in relation to the Transactions or any consummated acquisition (by merger, consolidation, amalgamation or otherwise), joint venture investment or other Investment or the amortization or write-off or write-down of any amounts thereof;</w:t>
      </w:r>
    </w:p>
    <w:p>
      <w:pPr>
        <w:spacing w:after="0" w:line="232" w:lineRule="exact"/>
        <w:rPr>
          <w:sz w:val="20"/>
          <w:szCs w:val="20"/>
          <w:color w:val="auto"/>
        </w:rPr>
      </w:pPr>
    </w:p>
    <w:p>
      <w:pPr>
        <w:jc w:val="both"/>
        <w:ind w:left="1440" w:hanging="659"/>
        <w:spacing w:after="0" w:line="282" w:lineRule="auto"/>
        <w:tabs>
          <w:tab w:leader="none" w:pos="14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impairment charge, write-off or write-down, including impairment charges, write-offs or write-downs related to bad debt expense,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w:t>
      </w:r>
    </w:p>
    <w:p>
      <w:pPr>
        <w:spacing w:after="0" w:line="188" w:lineRule="exact"/>
        <w:rPr>
          <w:rFonts w:ascii="Arial" w:cs="Arial" w:eastAsia="Arial" w:hAnsi="Arial"/>
          <w:sz w:val="18"/>
          <w:szCs w:val="18"/>
          <w:color w:val="auto"/>
        </w:rPr>
      </w:pPr>
    </w:p>
    <w:p>
      <w:pPr>
        <w:jc w:val="both"/>
        <w:ind w:left="1440" w:hanging="658"/>
        <w:spacing w:after="0" w:line="278" w:lineRule="auto"/>
        <w:tabs>
          <w:tab w:leader="none" w:pos="1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accruals and reserves (including contingent liabilities) that are established or adjusted in connection with the Transactions or within 18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or otherwise) and adjustments thereof and purchase price adjustments;</w:t>
      </w:r>
    </w:p>
    <w:p>
      <w:pPr>
        <w:spacing w:after="0" w:line="205" w:lineRule="exact"/>
        <w:rPr>
          <w:rFonts w:ascii="Arial" w:cs="Arial" w:eastAsia="Arial" w:hAnsi="Arial"/>
          <w:sz w:val="18"/>
          <w:szCs w:val="18"/>
          <w:color w:val="auto"/>
        </w:rPr>
      </w:pPr>
    </w:p>
    <w:p>
      <w:pPr>
        <w:jc w:val="both"/>
        <w:ind w:left="1440" w:hanging="658"/>
        <w:spacing w:after="0" w:line="243" w:lineRule="auto"/>
        <w:tabs>
          <w:tab w:leader="none" w:pos="14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and its related pronouncements or mark to market movement of other financial instruments pursuant to Accounting Standards Codification Topic 825— Financial Instruments, or the equivalent accounting standard under GAAP or an alternative basis of accounting applied in lieu of GAAP;</w:t>
      </w:r>
    </w:p>
    <w:p>
      <w:pPr>
        <w:spacing w:after="0" w:line="236" w:lineRule="exact"/>
        <w:rPr>
          <w:rFonts w:ascii="Arial" w:cs="Arial" w:eastAsia="Arial" w:hAnsi="Arial"/>
          <w:sz w:val="20"/>
          <w:szCs w:val="20"/>
          <w:color w:val="auto"/>
        </w:rPr>
      </w:pPr>
    </w:p>
    <w:p>
      <w:pPr>
        <w:jc w:val="both"/>
        <w:ind w:left="1440" w:hanging="659"/>
        <w:spacing w:after="0" w:line="250" w:lineRule="auto"/>
        <w:tabs>
          <w:tab w:leader="none" w:pos="14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212" w:lineRule="exact"/>
        <w:rPr>
          <w:rFonts w:ascii="Arial" w:cs="Arial" w:eastAsia="Arial" w:hAnsi="Arial"/>
          <w:sz w:val="20"/>
          <w:szCs w:val="20"/>
          <w:color w:val="auto"/>
        </w:rPr>
      </w:pPr>
    </w:p>
    <w:p>
      <w:pPr>
        <w:ind w:left="1420" w:hanging="639"/>
        <w:spacing w:after="0"/>
        <w:tabs>
          <w:tab w:leader="none" w:pos="1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1440" w:right="20" w:hanging="659"/>
        <w:spacing w:after="0" w:line="260" w:lineRule="auto"/>
        <w:tabs>
          <w:tab w:leader="none" w:pos="14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amount of loss or discount on sale of Securitization Assets, Receivables Assets and related assets in connection with a Qualified Securitization Financing or Receivables Facility; and</w:t>
      </w:r>
    </w:p>
    <w:p>
      <w:pPr>
        <w:spacing w:after="0" w:line="217" w:lineRule="exact"/>
        <w:rPr>
          <w:rFonts w:ascii="Arial" w:cs="Arial" w:eastAsia="Arial" w:hAnsi="Arial"/>
          <w:sz w:val="20"/>
          <w:szCs w:val="20"/>
          <w:color w:val="auto"/>
        </w:rPr>
      </w:pPr>
    </w:p>
    <w:p>
      <w:pPr>
        <w:jc w:val="both"/>
        <w:ind w:left="1440" w:hanging="659"/>
        <w:spacing w:after="0" w:line="276" w:lineRule="auto"/>
        <w:tabs>
          <w:tab w:leader="none" w:pos="14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payments to third parties in respect of research and development, including amounts paid upon signing, success, completion and other milestones and other progress payments, to the extent expensed, (ii) at the election of the Borrower with respect to any quarterly period, effects of adjustments to accruals and reserves during a period relating to any change in the methodology of calculating reserves for returns, rebates and other chargebacks (including government program rebates), and (iii) at the election of the Borrower with respect to any quarterly period, an amount equal to the net change in deferred revenue at the end of such period from the deferred revenue at the end of the previous period.</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-54-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-55-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648"/>
        <w:spacing w:after="0" w:line="307" w:lineRule="auto"/>
        <w:rPr>
          <w:sz w:val="20"/>
          <w:szCs w:val="20"/>
          <w:color w:val="auto"/>
        </w:rPr>
      </w:pPr>
      <w:r>
        <w:rPr>
          <w:rFonts w:ascii="Arial" w:cs="Arial" w:eastAsia="Arial" w:hAnsi="Arial"/>
          <w:sz w:val="16"/>
          <w:szCs w:val="16"/>
          <w:color w:val="auto"/>
        </w:rPr>
        <w:t xml:space="preserve">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it reasonably expects that such amount will in fact be paid or reimbursed within 365 days of the date of such evidence (net of any amount so added back in a prior period to the extent not so reimbursed within the applicable 365-day period), (ii) to the extent covered by insurance (including business interruption insurance) and actually reimbursed, or, so long as the Borrower has made a determination that it reasonably expects that such amount will in fact be paid or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and (iii) the amount of distributions actually made to any Parent Entity of such Person in respect of such period in accordance with </w:t>
      </w:r>
      <w:r>
        <w:rPr>
          <w:rFonts w:ascii="Arial" w:cs="Arial" w:eastAsia="Arial" w:hAnsi="Arial"/>
          <w:sz w:val="16"/>
          <w:szCs w:val="16"/>
          <w:u w:val="single" w:color="auto"/>
          <w:color w:val="auto"/>
        </w:rPr>
        <w:t>Section 7.06(b)(ix)(C)</w:t>
      </w:r>
      <w:r>
        <w:rPr>
          <w:rFonts w:ascii="Arial" w:cs="Arial" w:eastAsia="Arial" w:hAnsi="Arial"/>
          <w:sz w:val="16"/>
          <w:szCs w:val="16"/>
          <w:color w:val="auto"/>
        </w:rPr>
        <w:t xml:space="preserve"> as though such amounts had been paid as taxes directly by such Person for such periods.</w:t>
      </w:r>
    </w:p>
    <w:p>
      <w:pPr>
        <w:spacing w:after="0" w:line="200" w:lineRule="exact"/>
        <w:rPr>
          <w:sz w:val="20"/>
          <w:szCs w:val="20"/>
          <w:color w:val="auto"/>
        </w:rPr>
      </w:pPr>
    </w:p>
    <w:p>
      <w:pPr>
        <w:spacing w:after="0" w:line="222" w:lineRule="exact"/>
        <w:rPr>
          <w:sz w:val="20"/>
          <w:szCs w:val="20"/>
          <w:color w:val="auto"/>
        </w:rPr>
      </w:pPr>
    </w:p>
    <w:p>
      <w:pPr>
        <w:jc w:val="both"/>
        <w:ind w:left="140"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xml:space="preserve">” means, with respect to Holdings and its Restricted Subsidiaries, as of any date of determination, an amount equal to (a) the aggregate principal amount of outstanding third-party Indebtedness for borrowed money (excluding Indebtedness with respect to Cash Management Obligations and intercompany Indebtedness as of such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principal amount of Purchase Money Obligations and unreimbursed drawings under letters of credit of the Holdings and its Restricted Subsidiaries outstanding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unreimbursed amount under commercial letters of credit shall not be counted as Consolidated Total Indebtedness until five Business Days after such amount is drawn),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undrawn Reserved Indebtedness Amount (to the extent included in clause (a) above),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(d) the aggregate amount of unrestricted cash and Cash Equivalents included on the consolidated balance sheet of Holdings and its Restricted Subsidiaries as of the end of the most recent fiscal period for which consolidated financial statements are available, which shall not be less than $0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cash proceeds of any proposed incurrence of Indebtedness shall not be included in this clause (d) for purposes of calculating the Interest Coverage Ratio, the Consolidated Total Leverage Ratio, the Consolidated Total Senior Secured Leverage Ratio or the Consolidated First Lien Secured Leverage Ratio, as applicable) with such pro forma adjustments as are consistent with the pro forma adjustments set forth in </w:t>
      </w:r>
      <w:r>
        <w:rPr>
          <w:rFonts w:ascii="Arial" w:cs="Arial" w:eastAsia="Arial" w:hAnsi="Arial"/>
          <w:sz w:val="19"/>
          <w:szCs w:val="19"/>
          <w:u w:val="single" w:color="auto"/>
          <w:color w:val="auto"/>
        </w:rPr>
        <w:t>Section 1.09</w:t>
      </w:r>
      <w:r>
        <w:rPr>
          <w:rFonts w:ascii="Arial" w:cs="Arial" w:eastAsia="Arial" w:hAnsi="Arial"/>
          <w:sz w:val="19"/>
          <w:szCs w:val="19"/>
          <w:color w:val="auto"/>
        </w:rPr>
        <w:t>. For the avoidance of doubt, Consolidated Total Indebtedness shall exclude Indebtedness in respect of any Hedging Obligations, Capitalized Lease Obligations, operating leases, undrawn letters of credit, earnout obligations not more than five (5) Business Days past due and payable and if not recognized as debt on the balance sheet in accordance with GAAP and any Receivables Facility or Securitization Facility.</w:t>
      </w:r>
    </w:p>
    <w:p>
      <w:pPr>
        <w:spacing w:after="0" w:line="215" w:lineRule="exact"/>
        <w:rPr>
          <w:sz w:val="20"/>
          <w:szCs w:val="20"/>
          <w:color w:val="auto"/>
        </w:rPr>
      </w:pPr>
    </w:p>
    <w:p>
      <w:pPr>
        <w:ind w:left="140" w:right="26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Leverage Ratio</w:t>
      </w:r>
      <w:r>
        <w:rPr>
          <w:rFonts w:ascii="Arial" w:cs="Arial" w:eastAsia="Arial" w:hAnsi="Arial"/>
          <w:sz w:val="20"/>
          <w:szCs w:val="20"/>
          <w:color w:val="auto"/>
        </w:rPr>
        <w:t>” means, as of any date of determination, the ratio of (x) Consolidated Total Indebtedness as of such date to (y) LTM EBITDA.</w:t>
      </w:r>
    </w:p>
    <w:p>
      <w:pPr>
        <w:spacing w:after="0" w:line="21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Senior Secured Leverage Ratio</w:t>
      </w:r>
      <w:r>
        <w:rPr>
          <w:rFonts w:ascii="Arial" w:cs="Arial" w:eastAsia="Arial" w:hAnsi="Arial"/>
          <w:sz w:val="20"/>
          <w:szCs w:val="20"/>
          <w:color w:val="auto"/>
        </w:rPr>
        <w:t>” means, as of any date of determination, the ratio of (x) the Consolidated Total Indebtedness that is secured by a Lien as of such date to (y) LTM EBITDA.</w:t>
      </w:r>
    </w:p>
    <w:p>
      <w:pPr>
        <w:spacing w:after="0" w:line="217"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Working Capital</w:t>
      </w:r>
      <w:r>
        <w:rPr>
          <w:rFonts w:ascii="Arial" w:cs="Arial" w:eastAsia="Arial" w:hAnsi="Arial"/>
          <w:sz w:val="19"/>
          <w:szCs w:val="19"/>
          <w:color w:val="auto"/>
        </w:rPr>
        <w:t>” means, at any date, the excess of (a) the sum of (i) all amounts (other than cash and Cash Equivalents) that would, in conformity with GAAP, be set forth opposite the caption “total current assets” (or any like caption) on a consolidated balance sheet of Holdings and its Restricted Subsidiaries at such date and (ii) long-term accounts receivable over (b) the sum of (i) all amounts that would, in conformity with GAAP, be set forth opposite the caption “total</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liabilities” (or any like caption) on a consolidated balance sheet of Holdings and its Restricted Subsidiaries on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-57-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3" w:lineRule="auto"/>
        <w:rPr>
          <w:sz w:val="20"/>
          <w:szCs w:val="20"/>
          <w:color w:val="auto"/>
        </w:rPr>
      </w:pPr>
      <w:r>
        <w:rPr>
          <w:rFonts w:ascii="Arial" w:cs="Arial" w:eastAsia="Arial" w:hAnsi="Arial"/>
          <w:sz w:val="20"/>
          <w:szCs w:val="20"/>
          <w:color w:val="auto"/>
        </w:rPr>
        <w:t>date and (ii) long-term deferred revenue, but excluding, without duplication, (a) the current portion of any Funded Debt or other long-term liabilities, (b) all Indebtedness consisting of Revolving Credit Loans and L/C Obligations to the extent otherwise included therein, (c) the current portion of interest, (d) the current portion of current and deferred income taxes, (e) the current portion of any Capitalized Lease Obligations,</w:t>
      </w:r>
    </w:p>
    <w:p>
      <w:pPr>
        <w:spacing w:after="0" w:line="3" w:lineRule="exact"/>
        <w:rPr>
          <w:sz w:val="20"/>
          <w:szCs w:val="20"/>
          <w:color w:val="auto"/>
        </w:rPr>
      </w:pPr>
    </w:p>
    <w:p>
      <w:pPr>
        <w:jc w:val="both"/>
        <w:ind w:left="140" w:hanging="6"/>
        <w:spacing w:after="0" w:line="241" w:lineRule="auto"/>
        <w:tabs>
          <w:tab w:leader="none" w:pos="6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deferred revenue arising from cash receipts that are earmarked for specific projects, (g) the current portion of deferred acquisition costs and (h) current accrued costs associated with any restructuring or business optimization (including accrued severance and accrued facility closure costs).</w:t>
      </w:r>
    </w:p>
    <w:p>
      <w:pPr>
        <w:spacing w:after="0" w:line="236"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with respect to any Person, any obligation of such Person guaranteeing in any manner, whether directly or indirectly, any Non-Financing Lease Obligation, dividend or other obligation that does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including any obligation of such Person, whether or not contingent:</w:t>
      </w:r>
    </w:p>
    <w:p>
      <w:pPr>
        <w:spacing w:after="0" w:line="260" w:lineRule="exact"/>
        <w:rPr>
          <w:sz w:val="20"/>
          <w:szCs w:val="20"/>
          <w:color w:val="auto"/>
        </w:rPr>
      </w:pPr>
    </w:p>
    <w:p>
      <w:pPr>
        <w:ind w:left="1940" w:hanging="698"/>
        <w:spacing w:after="0"/>
        <w:tabs>
          <w:tab w:leader="none" w:pos="19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to purchase any such primary obligation or any property constituting direct or indirect security therefor;</w:t>
      </w:r>
    </w:p>
    <w:p>
      <w:pPr>
        <w:spacing w:after="0" w:line="242" w:lineRule="exact"/>
        <w:rPr>
          <w:rFonts w:ascii="Arial" w:cs="Arial" w:eastAsia="Arial" w:hAnsi="Arial"/>
          <w:sz w:val="20"/>
          <w:szCs w:val="20"/>
          <w:color w:val="auto"/>
        </w:rPr>
      </w:pPr>
    </w:p>
    <w:p>
      <w:pPr>
        <w:ind w:left="2080" w:hanging="892"/>
        <w:spacing w:after="0"/>
        <w:tabs>
          <w:tab w:leader="none" w:pos="20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to advance or supply funds:</w:t>
      </w:r>
    </w:p>
    <w:p>
      <w:pPr>
        <w:spacing w:after="0" w:line="256" w:lineRule="exact"/>
        <w:rPr>
          <w:rFonts w:ascii="Arial" w:cs="Arial" w:eastAsia="Arial" w:hAnsi="Arial"/>
          <w:sz w:val="20"/>
          <w:szCs w:val="20"/>
          <w:color w:val="auto"/>
        </w:rPr>
      </w:pPr>
    </w:p>
    <w:p>
      <w:pPr>
        <w:ind w:left="2720" w:hanging="643"/>
        <w:spacing w:after="0"/>
        <w:tabs>
          <w:tab w:leader="none" w:pos="2720" w:val="left"/>
        </w:tabs>
        <w:numPr>
          <w:ilvl w:val="1"/>
          <w:numId w:val="95"/>
        </w:numPr>
        <w:rPr>
          <w:rFonts w:ascii="Arial" w:cs="Arial" w:eastAsia="Arial" w:hAnsi="Arial"/>
          <w:sz w:val="20"/>
          <w:szCs w:val="20"/>
          <w:color w:val="auto"/>
        </w:rPr>
      </w:pPr>
      <w:r>
        <w:rPr>
          <w:rFonts w:ascii="Arial" w:cs="Arial" w:eastAsia="Arial" w:hAnsi="Arial"/>
          <w:sz w:val="20"/>
          <w:szCs w:val="20"/>
          <w:color w:val="auto"/>
        </w:rPr>
        <w:t>for the purchase or payment of any such primary obligation; or</w:t>
      </w:r>
    </w:p>
    <w:p>
      <w:pPr>
        <w:spacing w:after="0" w:line="256" w:lineRule="exact"/>
        <w:rPr>
          <w:rFonts w:ascii="Arial" w:cs="Arial" w:eastAsia="Arial" w:hAnsi="Arial"/>
          <w:sz w:val="20"/>
          <w:szCs w:val="20"/>
          <w:color w:val="auto"/>
        </w:rPr>
      </w:pPr>
    </w:p>
    <w:p>
      <w:pPr>
        <w:ind w:left="1440" w:right="360" w:firstLine="638"/>
        <w:spacing w:after="0" w:line="260" w:lineRule="auto"/>
        <w:tabs>
          <w:tab w:leader="none" w:pos="260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to maintain the working capital or equity capital of the primary obligor or otherwise to maintain the net worth or solvency of the primary obligor; or</w:t>
      </w:r>
    </w:p>
    <w:p>
      <w:pPr>
        <w:spacing w:after="0" w:line="203" w:lineRule="exact"/>
        <w:rPr>
          <w:rFonts w:ascii="Arial" w:cs="Arial" w:eastAsia="Arial" w:hAnsi="Arial"/>
          <w:sz w:val="20"/>
          <w:szCs w:val="20"/>
          <w:color w:val="auto"/>
        </w:rPr>
      </w:pPr>
    </w:p>
    <w:p>
      <w:pPr>
        <w:ind w:left="780" w:right="20" w:firstLine="353"/>
        <w:spacing w:after="0" w:line="316" w:lineRule="auto"/>
        <w:tabs>
          <w:tab w:leader="none" w:pos="19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23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Consideration</w:t>
      </w:r>
      <w:r>
        <w:rPr>
          <w:rFonts w:ascii="Arial" w:cs="Arial" w:eastAsia="Arial" w:hAnsi="Arial"/>
          <w:sz w:val="20"/>
          <w:szCs w:val="20"/>
          <w:color w:val="auto"/>
        </w:rPr>
        <w:t>” has the meaning specified in the definition of “Excess Cash</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Flow.”</w:t>
      </w:r>
    </w:p>
    <w:p>
      <w:pPr>
        <w:spacing w:after="0" w:line="308"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has the meaning specified in the definition of “Affiliate.”</w:t>
      </w:r>
    </w:p>
    <w:p>
      <w:pPr>
        <w:spacing w:after="0" w:line="324"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Controlled Investment Affiliate</w:t>
      </w:r>
      <w:r>
        <w:rPr>
          <w:rFonts w:ascii="Arial" w:cs="Arial" w:eastAsia="Arial" w:hAnsi="Arial"/>
          <w:sz w:val="19"/>
          <w:szCs w:val="19"/>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210"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Corresponding Tenor</w:t>
      </w:r>
      <w:r>
        <w:rPr>
          <w:rFonts w:ascii="Arial" w:cs="Arial" w:eastAsia="Arial" w:hAnsi="Arial"/>
          <w:sz w:val="20"/>
          <w:szCs w:val="20"/>
          <w:color w:val="auto"/>
        </w:rPr>
        <w:t>” with respect to a Benchmark Replacement means a tenor (including overnight) having approximately the same length (disregarding business day adjustment) as the applicable tenor for the applicable Interest Period with respect to the Eurocurrency Rate.</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32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  a “covered entity” as that term is defined in, and interpreted in accordance with, 12 C.F.R.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-58-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8339"/>
        <w:spacing w:after="0"/>
        <w:rPr>
          <w:sz w:val="20"/>
          <w:szCs w:val="20"/>
          <w:color w:val="auto"/>
        </w:rPr>
      </w:pPr>
      <w:r>
        <w:rPr>
          <w:rFonts w:ascii="Arial" w:cs="Arial" w:eastAsia="Arial" w:hAnsi="Arial"/>
          <w:sz w:val="20"/>
          <w:szCs w:val="20"/>
          <w:color w:val="auto"/>
        </w:rPr>
        <w:t>§252.82(b);</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-59-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right="2640" w:firstLine="245"/>
        <w:spacing w:after="0" w:line="260" w:lineRule="auto"/>
        <w:tabs>
          <w:tab w:leader="none" w:pos="1423"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§47.3(b); or</w:t>
      </w:r>
    </w:p>
    <w:p>
      <w:pPr>
        <w:spacing w:after="0" w:line="217" w:lineRule="exact"/>
        <w:rPr>
          <w:rFonts w:ascii="Arial" w:cs="Arial" w:eastAsia="Arial" w:hAnsi="Arial"/>
          <w:sz w:val="20"/>
          <w:szCs w:val="20"/>
          <w:color w:val="auto"/>
        </w:rPr>
      </w:pPr>
    </w:p>
    <w:p>
      <w:pPr>
        <w:ind w:left="860" w:right="2740" w:firstLine="245"/>
        <w:spacing w:after="0" w:line="260" w:lineRule="auto"/>
        <w:tabs>
          <w:tab w:leader="none" w:pos="1423"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§382.2(b).</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shall have the meaning provided in Section </w:t>
      </w:r>
      <w:r>
        <w:rPr>
          <w:rFonts w:ascii="Arial" w:cs="Arial" w:eastAsia="Arial" w:hAnsi="Arial"/>
          <w:sz w:val="20"/>
          <w:szCs w:val="20"/>
          <w:u w:val="single" w:color="auto"/>
          <w:color w:val="auto"/>
        </w:rPr>
        <w:t>10.21</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the United States (and each State thereof and the District of Columbia) and the jurisdiction of organization of any Restricted Subsidiary that becomes a Guarantor pursuant to the last sentence of the definition of “Guarantor.”</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 Refinanced Debt</w:t>
      </w:r>
      <w:r>
        <w:rPr>
          <w:rFonts w:ascii="Arial" w:cs="Arial" w:eastAsia="Arial" w:hAnsi="Arial"/>
          <w:sz w:val="19"/>
          <w:szCs w:val="19"/>
          <w:color w:val="auto"/>
        </w:rPr>
        <w:t>” has the meaning specified in the definition of “Credit Agreement Refinancing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Indebtedness.”</w:t>
      </w:r>
    </w:p>
    <w:p>
      <w:pPr>
        <w:spacing w:after="0" w:line="240"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 Permitted Pari Passu Refinancing Debt, (b) Permitted Junior Refinancing Debt, or (c) Permitted Unsecured Refinancing Debt obtained pursuant to a Refinancing Amendment, in each case, issued, incurred or otherwise obtained (including by means of the extension or renewal of existing Indebtedness) in exchange for, or to extend, renew, replace or refinance, in whole or part, existing Term Loans, Incremental Term Loans, Refinancing Term Loans, Revolving Credit Loans, Incremental Revolving Credit Commitments or Refinancing Revolving Credit Loans hereunder (including any successive Credit Agreement Refinancing Indebtedness) (“</w:t>
      </w:r>
      <w:r>
        <w:rPr>
          <w:rFonts w:ascii="Arial" w:cs="Arial" w:eastAsia="Arial" w:hAnsi="Arial"/>
          <w:sz w:val="18"/>
          <w:szCs w:val="18"/>
          <w:u w:val="single" w:color="auto"/>
          <w:color w:val="auto"/>
        </w:rPr>
        <w:t>Credit Agreement Refinanced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extending, renewing or refinancing Indebtedness is in an original aggregate principal amount not greater than (A) the aggregate principal amount of the Credit Agreement Refinanced Debt, plus (B) accrued, capitalized and unpaid interest thereon, any fees, premiums (including any makewhole), accrued interest associated therewith, or other reasonable amount paid, and fees, costs and expenses, commissions or underwriting discounts incurred in connection therewith, (ii) the terms applicable to such Credit Agreement Refinancing Indebtedness comply with the Required Debt Terms and (iii) such Credit Agreement Refinanced Debt (other than contingent indemnification obligations not yet accrued and payable and Letters of Credit that have been Cash Collateralized or back-stopped or as to which other arrangements reasonably satisfactory to the Administrative Agent and the applicable L/C Issuer have been made) shall be repaid, defeased or satisfied and discharged, and (unless otherwise agreed by all Lenders holding such Credit Agreement Refinanced Debt) all accrued interest, fees and premiums (if any) in connection therewith shall be paid on the date such Credit Agreement Refinancing Indebtedness is issued, incurred or obtained.</w:t>
      </w:r>
    </w:p>
    <w:p>
      <w:pPr>
        <w:spacing w:after="0" w:line="28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Extension.</w:t>
      </w:r>
    </w:p>
    <w:p>
      <w:pPr>
        <w:spacing w:after="0" w:line="308"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Consolidated Net Income</w:t>
      </w:r>
      <w:r>
        <w:rPr>
          <w:rFonts w:ascii="Arial" w:cs="Arial" w:eastAsia="Arial" w:hAnsi="Arial"/>
          <w:sz w:val="20"/>
          <w:szCs w:val="20"/>
          <w:color w:val="auto"/>
        </w:rPr>
        <w:t>” means, for any period, Consolidated Net Income for such period, taken as a single accounting period. Cumulative Consolidated Net Income shall not be less than $0.</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8.05</w:t>
      </w:r>
      <w:r>
        <w:rPr>
          <w:rFonts w:ascii="Arial" w:cs="Arial" w:eastAsia="Arial" w:hAnsi="Arial"/>
          <w:sz w:val="20"/>
          <w:szCs w:val="20"/>
          <w:color w:val="auto"/>
        </w:rPr>
        <w: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8.05</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Right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8.05</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-60-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 Intercreditor Agreement</w:t>
      </w:r>
      <w:r>
        <w:rPr>
          <w:rFonts w:ascii="Arial" w:cs="Arial" w:eastAsia="Arial" w:hAnsi="Arial"/>
          <w:sz w:val="20"/>
          <w:szCs w:val="20"/>
          <w:color w:val="auto"/>
        </w:rPr>
        <w:t>” means (a) to the extent executed in connection with any incurrence of Indebtedness secured by Liens on the Collateral that are intended to rank equal in priority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-61-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080"/>
          </w:cols>
          <w:pgMar w:left="320" w:top="122" w:right="49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0" w:lineRule="auto"/>
        <w:rPr>
          <w:sz w:val="20"/>
          <w:szCs w:val="20"/>
          <w:color w:val="auto"/>
        </w:rPr>
      </w:pPr>
      <w:r>
        <w:rPr>
          <w:rFonts w:ascii="Arial" w:cs="Arial" w:eastAsia="Arial" w:hAnsi="Arial"/>
          <w:sz w:val="18"/>
          <w:szCs w:val="18"/>
          <w:color w:val="auto"/>
        </w:rPr>
        <w:t xml:space="preserve">to the Liens on the Collateral securing the Secured Obligations (but without regard to the control of remedies), a customary intercreditor agreement (which may take the form of a “waterfall” or similar provision) (x) substantially in the form attached as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together with any changes thereto which are reasonably acceptable to the Administrative Agent or (y) in form and substance reasonably acceptable to the Administrative Agent and the Borrower, which agreement shall provide,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the Liens on the Collateral securing such other Indebtedness to the extent validly perfected and not subject to other Liens ranking senior to the Liens securing such Indebtedness but junior to the Liens securing the Secured Obligations shall rank equal in priority to the Liens on the Collateral securing the Secured Obligations (but without regard to the control of remedies) and (b) to the extent executed in connection with the incurrence of Indebtedness secured by Liens on the Collateral which are intended to rank junior to the Liens on the Collateral securing the Secured Obligations, a customary intercreditor agreement (x) substantially in the form attached as </w:t>
      </w:r>
      <w:r>
        <w:rPr>
          <w:rFonts w:ascii="Arial" w:cs="Arial" w:eastAsia="Arial" w:hAnsi="Arial"/>
          <w:sz w:val="18"/>
          <w:szCs w:val="18"/>
          <w:u w:val="single" w:color="auto"/>
          <w:color w:val="auto"/>
        </w:rPr>
        <w:t>Exhibit M</w:t>
      </w:r>
      <w:r>
        <w:rPr>
          <w:rFonts w:ascii="Arial" w:cs="Arial" w:eastAsia="Arial" w:hAnsi="Arial"/>
          <w:sz w:val="18"/>
          <w:szCs w:val="18"/>
          <w:color w:val="auto"/>
        </w:rPr>
        <w:t>, together with any changes thereto which are reasonably acceptable to the Administrative Agent or (y) in form and substance reasonably acceptable to the Administrative Agent and the Borrower, which agreement shall provide that the Liens on the Collateral securing such Indebtedness shall rank junior to the Liens on the Collateral securing the Secured Obligations.</w:t>
      </w:r>
    </w:p>
    <w:p>
      <w:pPr>
        <w:spacing w:after="0" w:line="216"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Fund Affiliate</w:t>
      </w:r>
      <w:r>
        <w:rPr>
          <w:rFonts w:ascii="Arial" w:cs="Arial" w:eastAsia="Arial" w:hAnsi="Arial"/>
          <w:sz w:val="20"/>
          <w:szCs w:val="20"/>
          <w:color w:val="auto"/>
        </w:rPr>
        <w:t>” means an Affiliated Lender that is a bona fide debt fund or investment vehicle that is primarily engaged in, or advises funds or other investment vehicles that are primarily engaged in, making, purchasing, holding or otherwise investing in commercial loans, bonds and similar extensions of credit in the ordinary course of its business, and whose managers have fiduciary duties to the investors in such fund or investment vehicle independent of, or in addition to, their fiduciary duties to Holdings and its Subsidiaries.</w:t>
      </w:r>
    </w:p>
    <w:p>
      <w:pPr>
        <w:spacing w:after="0" w:line="221"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Proceeds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21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means, solely during the occurrence and continuance of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under </w:t>
      </w:r>
      <w:r>
        <w:rPr>
          <w:rFonts w:ascii="Arial" w:cs="Arial" w:eastAsia="Arial" w:hAnsi="Arial"/>
          <w:sz w:val="20"/>
          <w:szCs w:val="20"/>
          <w:u w:val="single" w:color="auto"/>
          <w:color w:val="auto"/>
        </w:rPr>
        <w:t>Section 8.01(f)</w:t>
      </w:r>
      <w:r>
        <w:rPr>
          <w:rFonts w:ascii="Arial" w:cs="Arial" w:eastAsia="Arial" w:hAnsi="Arial"/>
          <w:sz w:val="20"/>
          <w:szCs w:val="20"/>
          <w:color w:val="auto"/>
        </w:rPr>
        <w:t>, an interest rate equal, (a) with respect to any overdue principal for any Loan, the applicable interest rate for such Loan plus 2.0% per annum and (b) with respect to any other overdue amount (including overdue interest), the interest rate applicable to Base Rate Loans that are Term Loans plus 2.0% per annum, in each case, to the fullest extent permitted by applicable Laws and which shall be payable on demand by the Required Lenders.</w:t>
      </w:r>
    </w:p>
    <w:p>
      <w:pPr>
        <w:spacing w:after="0" w:line="221"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17" w:lineRule="exact"/>
        <w:rPr>
          <w:sz w:val="20"/>
          <w:szCs w:val="20"/>
          <w:color w:val="auto"/>
        </w:rPr>
      </w:pPr>
    </w:p>
    <w:p>
      <w:pPr>
        <w:jc w:val="both"/>
        <w:ind w:left="140" w:firstLine="1296"/>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within two (2) Business Days of the date required to be funded or paid, to (i) fund any portion of its Loans required to be funded by it,</w:t>
      </w:r>
    </w:p>
    <w:p>
      <w:pPr>
        <w:spacing w:after="0" w:line="2" w:lineRule="exact"/>
        <w:rPr>
          <w:sz w:val="20"/>
          <w:szCs w:val="20"/>
          <w:color w:val="auto"/>
        </w:rPr>
      </w:pPr>
    </w:p>
    <w:p>
      <w:pPr>
        <w:jc w:val="both"/>
        <w:ind w:left="140" w:hanging="6"/>
        <w:spacing w:after="0" w:line="241" w:lineRule="auto"/>
        <w:tabs>
          <w:tab w:leader="none" w:pos="438"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fund any portion of its participations in Letters of Credit required to be funded by it or (iii) pay over to the Administrative Agent, the L/C Issuer or any other Lender any other amount required to be paid by it hereunder, unless, in the case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such Lender notifies the Administrative Agent in writing that such failure is the result of such Lender’s good faith determination that a condition precedent</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-62-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to funding (specifically identified and including the particular default, if any) has not been satisfied, (b) has notified the Borrower or the Administrative Agent, the L/C Issuer or any other Lender in writing that it does not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-63-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5" w:lineRule="auto"/>
        <w:rPr>
          <w:sz w:val="20"/>
          <w:szCs w:val="20"/>
          <w:color w:val="auto"/>
        </w:rPr>
      </w:pPr>
      <w:r>
        <w:rPr>
          <w:rFonts w:ascii="Arial" w:cs="Arial" w:eastAsia="Arial" w:hAnsi="Arial"/>
          <w:sz w:val="20"/>
          <w:szCs w:val="20"/>
          <w:color w:val="auto"/>
        </w:rPr>
        <w:t>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w:t>
      </w:r>
    </w:p>
    <w:p>
      <w:pPr>
        <w:jc w:val="both"/>
        <w:ind w:left="140" w:hanging="6"/>
        <w:spacing w:after="0"/>
        <w:tabs>
          <w:tab w:leader="none" w:pos="657"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has failed, within three (3) Business Days after request by the Administrative Agent, the L/C Issuer or any other Lender, acting in good faith, to provide a certification in writing from an authorized officer of such Lender that it will comply with its obligations to fund prospective Loans and participations in then outstanding Letters of Credit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Lender shall cease to be a Defaulting Lender pursuant to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upon such Administrative Agent’s, L/C Issuer’s or Lender’s receipt of such certification in form and substance satisfactory to it and the Administrative Agent, or (d) after the date of this Agreement, has become the subject of a Bankruptcy Event.</w:t>
      </w:r>
    </w:p>
    <w:p>
      <w:pPr>
        <w:spacing w:after="0" w:line="238"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Non-Cash Consideration</w:t>
      </w:r>
      <w:r>
        <w:rPr>
          <w:rFonts w:ascii="Arial" w:cs="Arial" w:eastAsia="Arial" w:hAnsi="Arial"/>
          <w:sz w:val="20"/>
          <w:szCs w:val="20"/>
          <w:color w:val="auto"/>
        </w:rPr>
        <w:t xml:space="preserve">” means the fair market value (as determined in good faith by the Borrower) of non-cash consideration received by Holdings or any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hereof.</w:t>
      </w:r>
    </w:p>
    <w:p>
      <w:pPr>
        <w:spacing w:after="0" w:line="301"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Preferred Stock</w:t>
      </w:r>
      <w:r>
        <w:rPr>
          <w:rFonts w:ascii="Arial" w:cs="Arial" w:eastAsia="Arial" w:hAnsi="Arial"/>
          <w:sz w:val="19"/>
          <w:szCs w:val="19"/>
          <w:color w:val="auto"/>
        </w:rPr>
        <w:t>” means Preferred Stock of Holdings or a Parent Entity (other than Disqualified Stock) (a) that is issued for cash (other than to the Borrower or a Subsidiary of the Borrower or an employee stock ownership plan or trust established by the Borrower or any such Subsidiary for the benefit of their employees to the extent funded by the Borrower or such Subsidiary) and (b) that is designated as “Designated Preferred Stock” pursuant to an Officer’s Certificate of the Borrower at or prior to the issuance thereof, the Net Cash Proceeds of which are excluded from the calculation set forth in Section 7.06(a) hereof.</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Prepayment Option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Voluntary Prepayment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Voluntary Prepayment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2.05(d)(v)</w:t>
      </w:r>
      <w:r>
        <w:rPr>
          <w:rFonts w:ascii="Arial" w:cs="Arial" w:eastAsia="Arial" w:hAnsi="Arial"/>
          <w:sz w:val="20"/>
          <w:szCs w:val="20"/>
          <w:color w:val="auto"/>
        </w:rPr>
        <w:t>.</w:t>
      </w:r>
    </w:p>
    <w:p>
      <w:pPr>
        <w:spacing w:after="0" w:line="321"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Disinterested Director</w:t>
      </w:r>
      <w:r>
        <w:rPr>
          <w:rFonts w:ascii="Arial" w:cs="Arial" w:eastAsia="Arial" w:hAnsi="Arial"/>
          <w:sz w:val="20"/>
          <w:szCs w:val="20"/>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Borrower or any options, warrants or other rights in respect of such Capital Stock.</w:t>
      </w:r>
    </w:p>
    <w:p>
      <w:pPr>
        <w:spacing w:after="0" w:line="232"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 (i) such banks, financial institutions, other institutional lenders (or related funds of such institutional lenders) or other Persons separately identified in writing by the Borrower to the Administrative Agent prior to September 23, 2020 (or identified in writing after September 23, 2020 and prior to the Closing Date, if the disqualification of such person is reasonably</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-64-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spacing w:after="0" w:line="246" w:lineRule="auto"/>
        <w:rPr>
          <w:sz w:val="20"/>
          <w:szCs w:val="20"/>
          <w:color w:val="auto"/>
        </w:rPr>
      </w:pPr>
      <w:r>
        <w:rPr>
          <w:rFonts w:ascii="Arial" w:cs="Arial" w:eastAsia="Arial" w:hAnsi="Arial"/>
          <w:sz w:val="20"/>
          <w:szCs w:val="20"/>
          <w:color w:val="auto"/>
        </w:rPr>
        <w:t>acceptable to the Lead Arrangers), (ii) competitors of the Borrower or any of its Subsidiaries identified in writing from time to time by email to the Administrative Agent, (iii) in the case of clauses (i) and (ii), any of their affiliates (other than affiliates that are bona fide debt investment funds primarily engaged in, or that advise funds or other investment vehicles that are engaged in, making, purchasing, holding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-65-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9" w:lineRule="auto"/>
        <w:rPr>
          <w:sz w:val="20"/>
          <w:szCs w:val="20"/>
          <w:color w:val="auto"/>
        </w:rPr>
      </w:pPr>
      <w:r>
        <w:rPr>
          <w:rFonts w:ascii="Arial" w:cs="Arial" w:eastAsia="Arial" w:hAnsi="Arial"/>
          <w:sz w:val="18"/>
          <w:szCs w:val="18"/>
          <w:color w:val="auto"/>
        </w:rPr>
        <w:t xml:space="preserve">investing in commercial loans, notes, bonds or similar extensions of credit or securities in the ordinary course of its business and whose managers have fiduciary duties to the investors therein independent of or in addition to their duties to such bank, financial institution, other institutional lender or competitor, as applicable) that are (A) identified by you or, in the case of clause (i), the Sponsor in writing from time to time or (B) readily identifiable on the basis of such affiliates’ name or (iv) Excluded Affiliates;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additional designation permitted by the foregoing shall not become effective until three (3) Business Days following delivery to the Administrative Agent by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no event shall any notice given pursuant to this definition apply to retroactively disqualify any Person who previously acquired and continues to hold, any Loans, Commitments or participations prior to the receipt of such notice. For the avoidance of doubt, the Administrative Agent shall not be responsible or have any liability for, or have any duty to ascertain, inquire into, monitor or enforce, compliance with the provisions hereof relating to Disqualified Lenders and shall not be obligated to ascertain, monitor or inquire as to whether any Lender or Participant or prospective Lender or Participant is a Disqualified Lender or have any liability with respect to or arising out of any assignment or participation to or disclosure of confidential information to, a Disqualified Lender. The Administrative Agent shall be permitted, upon request of any Lender or Participant, to make available the list of Disqualified Lenders upon request by the inquiring Lender or disclose to such inquiring Lender or Participant whether such specific potential Assignee or Participant is on the list of Disqualified Lenders.</w:t>
      </w:r>
    </w:p>
    <w:p>
      <w:pPr>
        <w:spacing w:after="0" w:line="222"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of such Person which by its terms (or by the terms of any security into which it is convertible or for which it is exchangeable) or upon the happening of any event:</w:t>
      </w:r>
    </w:p>
    <w:p>
      <w:pPr>
        <w:spacing w:after="0" w:line="179" w:lineRule="exact"/>
        <w:rPr>
          <w:sz w:val="20"/>
          <w:szCs w:val="20"/>
          <w:color w:val="auto"/>
        </w:rPr>
      </w:pPr>
    </w:p>
    <w:p>
      <w:pPr>
        <w:ind w:left="780" w:firstLine="544"/>
        <w:spacing w:after="0" w:line="260" w:lineRule="auto"/>
        <w:tabs>
          <w:tab w:leader="none" w:pos="19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matures or is mandatorily redeemable for cash or in exchange for Indebtedness pursuant to a sinking fund obligation or otherwise; or</w:t>
      </w:r>
    </w:p>
    <w:p>
      <w:pPr>
        <w:spacing w:after="0" w:line="217" w:lineRule="exact"/>
        <w:rPr>
          <w:rFonts w:ascii="Arial" w:cs="Arial" w:eastAsia="Arial" w:hAnsi="Arial"/>
          <w:sz w:val="20"/>
          <w:szCs w:val="20"/>
          <w:color w:val="auto"/>
        </w:rPr>
      </w:pPr>
    </w:p>
    <w:p>
      <w:pPr>
        <w:ind w:left="780" w:firstLine="490"/>
        <w:spacing w:after="0" w:line="316" w:lineRule="auto"/>
        <w:tabs>
          <w:tab w:leader="none" w:pos="1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70" w:lineRule="exact"/>
        <w:rPr>
          <w:sz w:val="20"/>
          <w:szCs w:val="20"/>
          <w:color w:val="auto"/>
        </w:rPr>
      </w:pPr>
    </w:p>
    <w:p>
      <w:pPr>
        <w:jc w:val="both"/>
        <w:ind w:left="140"/>
        <w:spacing w:after="0" w:line="254" w:lineRule="auto"/>
        <w:rPr>
          <w:sz w:val="20"/>
          <w:szCs w:val="20"/>
          <w:color w:val="auto"/>
        </w:rPr>
      </w:pPr>
      <w:r>
        <w:rPr>
          <w:rFonts w:ascii="Arial" w:cs="Arial" w:eastAsia="Arial" w:hAnsi="Arial"/>
          <w:sz w:val="19"/>
          <w:szCs w:val="19"/>
          <w:color w:val="auto"/>
        </w:rPr>
        <w:t xml:space="preserve">in each case on or prior to the earlier of (a) the Stated Maturity of the Loans or (b) the date on which there are no Loans outstanding;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 only the portion of Capital Stock which so matures or is mandatorily redeemable, is so convertible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exchangeable or is so redeemable at the option of the holder thereof prior to such date will be deemed to be Disqualified Stock and (ii) any Capital Stock that would constitute Disqualified Stock solely because the holders thereof have the right to require the Borrower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7.06</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such Capital Stock is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Holdings, any of its Subsidiaries, any Parent Entity or any other entity in which Holdings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Holdings or its Subsidiaries or by any such plan to such employees (or their respective Controlled Investment Affiliates or Immediate Family Members), such Capital Stock shall not constitute Disqualified Stock solely because it may be required to be repurchased by Holdings or its Subsidiaries in order to satisfy applicable statutory or regulatory obligations.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-66-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-67-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324"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xml:space="preserve">” means, on any date of determination, (a) with respect to any amount denominated in Dollars, such amount, and (b) with respect to any amount in any other currency, the equivalent in Dollars of such amount, determined by the Administrative Agent or the L/C Issuer, as applicable, pursuant to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using the Exchange Rate with respect to such currency at the time in effect under the provisions of such Section.</w:t>
      </w:r>
    </w:p>
    <w:p>
      <w:pPr>
        <w:spacing w:after="0" w:line="232"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Foreign Holding Company</w:t>
      </w:r>
      <w:r>
        <w:rPr>
          <w:rFonts w:ascii="Arial" w:cs="Arial" w:eastAsia="Arial" w:hAnsi="Arial"/>
          <w:sz w:val="20"/>
          <w:szCs w:val="20"/>
          <w:color w:val="auto"/>
        </w:rPr>
        <w:t>” means any Domestic Subsidiary substantially all the assets of which consist (directly or indirectly through disregarded entities or partnerships) of Capital Stock (including, for this purpose, any debt or other instrument treated as equity for U.S. federal income tax purposes) and/or indebtedness (as determined for U.S. tax purposes) of one or more Foreign Subsidiaries that are CFCs or other entities described in this definition and pledged cash and Cash Equivalents and incidental assets related thereto.</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xml:space="preserve"> means any Subsidiary that is not a Foreign Subsidiary.</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the occurrence of:</w:t>
      </w:r>
    </w:p>
    <w:p>
      <w:pPr>
        <w:spacing w:after="0" w:line="337" w:lineRule="exact"/>
        <w:rPr>
          <w:sz w:val="20"/>
          <w:szCs w:val="20"/>
          <w:color w:val="auto"/>
        </w:rPr>
      </w:pPr>
    </w:p>
    <w:p>
      <w:pPr>
        <w:jc w:val="both"/>
        <w:ind w:left="140" w:firstLine="1289"/>
        <w:spacing w:after="0" w:line="245" w:lineRule="auto"/>
        <w:tabs>
          <w:tab w:leader="none" w:pos="195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 a determination by the Administrative Agent or (ii) a notification by the Borrower to the Administrative Agent that the Borrower has determined that U.S. dollar-denominated syndicated credit facilities being executed at such time, or that include language similar to that contained in Section</w:t>
      </w:r>
    </w:p>
    <w:p>
      <w:pPr>
        <w:ind w:left="140" w:right="20"/>
        <w:spacing w:after="0" w:line="244" w:lineRule="auto"/>
        <w:rPr>
          <w:rFonts w:ascii="Arial" w:cs="Arial" w:eastAsia="Arial" w:hAnsi="Arial"/>
          <w:sz w:val="20"/>
          <w:szCs w:val="20"/>
          <w:color w:val="auto"/>
        </w:rPr>
      </w:pPr>
      <w:r>
        <w:rPr>
          <w:rFonts w:ascii="Arial" w:cs="Arial" w:eastAsia="Arial" w:hAnsi="Arial"/>
          <w:sz w:val="20"/>
          <w:szCs w:val="20"/>
          <w:color w:val="auto"/>
        </w:rPr>
        <w:t>3.02 are being executed or amended, as applicable, to incorporate or adopt a new benchmark interest rate to replace the Eurocurrency Rate, and</w:t>
      </w:r>
    </w:p>
    <w:p>
      <w:pPr>
        <w:spacing w:after="0" w:line="231" w:lineRule="exact"/>
        <w:rPr>
          <w:rFonts w:ascii="Arial" w:cs="Arial" w:eastAsia="Arial" w:hAnsi="Arial"/>
          <w:sz w:val="20"/>
          <w:szCs w:val="20"/>
          <w:color w:val="auto"/>
        </w:rPr>
      </w:pPr>
    </w:p>
    <w:p>
      <w:pPr>
        <w:jc w:val="both"/>
        <w:ind w:left="140" w:firstLine="1289"/>
        <w:spacing w:after="0" w:line="250" w:lineRule="auto"/>
        <w:tabs>
          <w:tab w:leader="none" w:pos="195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 the election by the Administrative Agent, or (ii) the election by the Borrower to declare that an Early Opt-in Election has occurred and the provision, as applicable, by the Administrative Agent of written notice of such election to the Borrower and the Lenders or by the Borrower of written notice of such election to the Administrative Agent.</w:t>
      </w:r>
    </w:p>
    <w:p>
      <w:pPr>
        <w:spacing w:after="0" w:line="213"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79"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jc w:val="both"/>
        <w:ind w:left="140" w:right="26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means, with respect to any term loan facility or other term loans, as of any date of determination, the sum of (i) the higher of (A) the Eurocurrency Rate on such date for a deposit in Dollars or Euros, as applicable, with a maturity of three months and (B) the Eurocurrency Rate “floor,” if any, with respect thereto as of such date, (ii) the Applicable Rate (or other applicable margin) as of such date for Eurocurrency Rate Loans (or other loans that accrue interest by reference to a similar</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-68-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50" w:lineRule="auto"/>
        <w:rPr>
          <w:sz w:val="20"/>
          <w:szCs w:val="20"/>
          <w:color w:val="auto"/>
        </w:rPr>
      </w:pPr>
      <w:r>
        <w:rPr>
          <w:rFonts w:ascii="Arial" w:cs="Arial" w:eastAsia="Arial" w:hAnsi="Arial"/>
          <w:sz w:val="20"/>
          <w:szCs w:val="20"/>
          <w:color w:val="auto"/>
        </w:rPr>
        <w:t>reference rate) without giving effect to any pricing step-downs and (iii) the amount of original issue discount and upfront fees thereon (converted to yield assuming a four-year average life and without any present value discount or, if less, the remaining life to maturity, and assuming that the commitments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-69-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040"/>
          </w:cols>
          <w:pgMar w:left="320" w:top="122" w:right="5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120"/>
        <w:spacing w:after="0" w:line="259" w:lineRule="auto"/>
        <w:rPr>
          <w:sz w:val="20"/>
          <w:szCs w:val="20"/>
          <w:color w:val="auto"/>
        </w:rPr>
      </w:pPr>
      <w:r>
        <w:rPr>
          <w:rFonts w:ascii="Arial" w:cs="Arial" w:eastAsia="Arial" w:hAnsi="Arial"/>
          <w:sz w:val="19"/>
          <w:szCs w:val="19"/>
          <w:color w:val="auto"/>
        </w:rPr>
        <w:t xml:space="preserve">under any such facility that is a revolving facility are fully drawn), but excluding the effect of any amendment, arrangement, structuring, commitment, underwriting, syndication and any similar fees payable to any lead arranger (or its Affiliates) in connection with the commitment or syndication of such Indebtedness, consent fees paid to consenting lenders, ticking fees on undrawn commitments, call protection and any other fees not paid or payable generally to all lenders in the primary syndication of such term loan facility or other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for any term loans that are not incurred under this Agreement shall be based on the stated interest rate basis for such term loans.</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7.06(b)(e)</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Assignee permitted by and consented to in accordance with </w:t>
      </w:r>
      <w:r>
        <w:rPr>
          <w:rFonts w:ascii="Arial" w:cs="Arial" w:eastAsia="Arial" w:hAnsi="Arial"/>
          <w:sz w:val="20"/>
          <w:szCs w:val="20"/>
          <w:u w:val="single" w:color="auto"/>
          <w:color w:val="auto"/>
        </w:rPr>
        <w:t>Section 10.07(b)</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wetlands, flora and fauna.</w:t>
      </w:r>
    </w:p>
    <w:p>
      <w:pPr>
        <w:spacing w:after="0" w:line="20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applicable Laws relating to pollution, the protection of the environment, natural resources or to the generation, transport, storage, use, treatment, Release or threat of Release of any hazardous materials or, to the extent relating to exposure to hazardous materials, human health.</w:t>
      </w:r>
    </w:p>
    <w:p>
      <w:pPr>
        <w:spacing w:after="0" w:line="226"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any Loan Party or any of its respective Subsidiaries directly or indirectly resulting from or based upon (a) violation of any Environmental Law, (b) the generation, use, handling, transportation, storage or treatment of any Hazardous Materials, (c) exposure of any Person to any Hazardous Materials, (d) the Release or threatened Release of any Hazardous Materials into the Environment or (e) any contract, agreement or other consensual arrangement to the extent liability is assumed or imposed with respect to any of the foregoing.</w:t>
      </w:r>
    </w:p>
    <w:p>
      <w:pPr>
        <w:spacing w:after="0" w:line="236"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(x) a sale of Capital Stock (other than through the issuance of Disqualified Stock or Designated Preferred Stock or an Excluded Contribution) other than (a) offerings registered on Form S-8 (or any successor form) under the Securities Act or any similar offering in other jurisdictions or other equity securities of Holdings or any Parent Entity and (b) issuances of Capital Stock to any Subsidiary of Holdings or Holdings or (y) a cash equity contribution to Holdings or any of its Restricted Subsidiaries.</w:t>
      </w:r>
    </w:p>
    <w:p>
      <w:pPr>
        <w:spacing w:after="0" w:line="2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time to time.</w:t>
      </w:r>
    </w:p>
    <w:p>
      <w:pPr>
        <w:spacing w:after="0" w:line="308"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is under common control with any Loan Party and is treated as a single employer within the meaning of Section 414 of the Code or Section 4001 of ERISA.</w:t>
      </w:r>
    </w:p>
    <w:p>
      <w:pPr>
        <w:spacing w:after="0" w:line="179"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-70-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hanging="6"/>
        <w:spacing w:after="0" w:line="250" w:lineRule="auto"/>
        <w:tabs>
          <w:tab w:leader="none" w:pos="65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 failure to satisfy the minimum funding standard under Section 412 of the Code or Section 302 of ERISA with respect to a Pension Plan, whether or not waived, or a failure to make any required contribution to a Multiemployer Plan; (d) a complete or partial withdrawal by any Loan Party or any ERISA Affiliate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-71-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1" w:lineRule="auto"/>
        <w:rPr>
          <w:sz w:val="20"/>
          <w:szCs w:val="20"/>
          <w:color w:val="auto"/>
        </w:rPr>
      </w:pPr>
      <w:r>
        <w:rPr>
          <w:rFonts w:ascii="Arial" w:cs="Arial" w:eastAsia="Arial" w:hAnsi="Arial"/>
          <w:sz w:val="18"/>
          <w:szCs w:val="18"/>
          <w:color w:val="auto"/>
        </w:rPr>
        <w:t>from a Multiemployer Plan, notification of any Loan Party or ERISA Affiliate concerning the imposition of Withdrawal Liability or notification that a Multiemployer Plan is insolvent or in reorganization within the meaning of Title IV of ERISA or in endangered or critical status, within the meaning of Section 305 of ERISA; (e) the filing of a notice of intent to terminate, the treatment of a Pension Plan or Multiemployer Plan amendment as a termination under Section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Loan Party or any ERISA Affiliate; (h) a determination that any Pension Plan is, or is expected to be, in “at-risk” status (within the meaning of Section 303(i)(4)(A) of ERISA or Section 430(i)(4)(A) of the Code); or (i) the occurrence of a non-exempt prohibited transaction with respect to any Pension Plan maintained or contributed to by any Loan Party (within the meaning of Section 4975 of the Code or Section 406 of ERISA) which could result in liability to any Loan Party.</w:t>
      </w:r>
    </w:p>
    <w:p>
      <w:pPr>
        <w:spacing w:after="0" w:line="210" w:lineRule="exact"/>
        <w:rPr>
          <w:sz w:val="20"/>
          <w:szCs w:val="20"/>
          <w:color w:val="auto"/>
        </w:rPr>
      </w:pPr>
    </w:p>
    <w:p>
      <w:pPr>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324" w:lineRule="exact"/>
        <w:rPr>
          <w:sz w:val="20"/>
          <w:szCs w:val="20"/>
          <w:color w:val="auto"/>
        </w:rPr>
      </w:pPr>
    </w:p>
    <w:p>
      <w:pPr>
        <w:jc w:val="both"/>
        <w:ind w:left="780" w:firstLine="545"/>
        <w:spacing w:after="0" w:line="271" w:lineRule="auto"/>
        <w:tabs>
          <w:tab w:leader="none" w:pos="19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Interest Period with respect to any Eurocurrency Rate Loan (i) the rate per annum equal to the 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as administered by ICE Benchmark Administration (or any other Person that takes over the administration of such rate) for the applicable currency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at approximately 11:00 a.m., London time, on the relevant Quotation Date (the “</w:t>
      </w:r>
      <w:r>
        <w:rPr>
          <w:rFonts w:ascii="Arial" w:cs="Arial" w:eastAsia="Arial" w:hAnsi="Arial"/>
          <w:sz w:val="18"/>
          <w:szCs w:val="18"/>
          <w:u w:val="single" w:color="auto"/>
          <w:color w:val="auto"/>
        </w:rPr>
        <w:t>LIBOR Screen Rate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page or service ceases to be available, the Administrative Agent may specify another page or service displaying the relevant rate after consultation with the Borrower; provided, further, that the Eurocurrency Rate shall not be less than (x) 0.50% with respect to Revolving Credit Loans and (y)(A) prior to the Amendment No. 1 Effective Date, 1.00% per annum with respect to Initial Term Loans and (B) on and after the Amendment No. 1 Effective Date, 0.50% per annum with respect to Initial Term Loans; and</w:t>
      </w:r>
    </w:p>
    <w:p>
      <w:pPr>
        <w:spacing w:after="0" w:line="210" w:lineRule="exact"/>
        <w:rPr>
          <w:rFonts w:ascii="Arial" w:cs="Arial" w:eastAsia="Arial" w:hAnsi="Arial"/>
          <w:sz w:val="18"/>
          <w:szCs w:val="18"/>
          <w:color w:val="auto"/>
        </w:rPr>
      </w:pPr>
    </w:p>
    <w:p>
      <w:pPr>
        <w:jc w:val="both"/>
        <w:ind w:left="140" w:firstLine="1130"/>
        <w:spacing w:after="0" w:line="250" w:lineRule="auto"/>
        <w:tabs>
          <w:tab w:leader="none" w:pos="19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for any rate calculation with respect to a Base Rate Loan on any date, the rate per annum equal to LIBOR, at or about 11:00 a.m., London time determined on the relevant Quotation Date for U.S. Dollar deposits with a term of one month commencing that day;</w:t>
      </w:r>
    </w:p>
    <w:p>
      <w:pPr>
        <w:spacing w:after="0" w:line="226" w:lineRule="exact"/>
        <w:rPr>
          <w:sz w:val="20"/>
          <w:szCs w:val="20"/>
          <w:color w:val="auto"/>
        </w:rPr>
      </w:pPr>
    </w:p>
    <w:p>
      <w:pPr>
        <w:ind w:left="1420"/>
        <w:spacing w:after="0"/>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w:t>
      </w:r>
    </w:p>
    <w:p>
      <w:pPr>
        <w:spacing w:after="0" w:line="243" w:lineRule="exact"/>
        <w:rPr>
          <w:sz w:val="20"/>
          <w:szCs w:val="20"/>
          <w:color w:val="auto"/>
        </w:rPr>
      </w:pPr>
    </w:p>
    <w:p>
      <w:pPr>
        <w:jc w:val="both"/>
        <w:ind w:left="140"/>
        <w:spacing w:after="0" w:line="245" w:lineRule="auto"/>
        <w:rPr>
          <w:sz w:val="20"/>
          <w:szCs w:val="20"/>
          <w:color w:val="auto"/>
        </w:rPr>
      </w:pPr>
      <w:r>
        <w:rPr>
          <w:rFonts w:ascii="Arial" w:cs="Arial" w:eastAsia="Arial" w:hAnsi="Arial"/>
          <w:sz w:val="20"/>
          <w:szCs w:val="20"/>
          <w:color w:val="auto"/>
        </w:rPr>
        <w:t xml:space="preserve">to the extent a comparable or successor rate is approved pursuant to the provisions of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“LIBOR” shall mean the successor rate;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(x) with respect to Revolving Credit Loans, if LIBOR shall be less than 0.50%, LIBOR shall be deemed to be 0.50% for purposes of this Agreement and</w:t>
      </w:r>
    </w:p>
    <w:p>
      <w:pPr>
        <w:jc w:val="both"/>
        <w:ind w:left="140" w:hanging="6"/>
        <w:spacing w:after="0" w:line="281" w:lineRule="auto"/>
        <w:tabs>
          <w:tab w:leader="none" w:pos="6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prior to the Amendment No. 1 Effective Date, with respect to Initial Term Loans, if LIBOR shall be less than 1.00%, LIBOR shall be deemed to be 1.00% for purposes of this Agreement and (B) on and after the Amendment No. 1 Effective Date, with respect to Initial Term Loans, if LIBOR shall be less than 0.50%, LIBOR shall be deemed to be 0.50%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-72-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38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-73-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3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with respect to Holdings, the Borrower and the Restricted Subsidiaries, for any period, an amount equal to the excess of:</w:t>
      </w:r>
    </w:p>
    <w:p>
      <w:pPr>
        <w:spacing w:after="0" w:line="217" w:lineRule="exact"/>
        <w:rPr>
          <w:sz w:val="20"/>
          <w:szCs w:val="20"/>
          <w:color w:val="auto"/>
        </w:rPr>
      </w:pPr>
    </w:p>
    <w:p>
      <w:pPr>
        <w:ind w:left="2080" w:hanging="755"/>
        <w:spacing w:after="0"/>
        <w:tabs>
          <w:tab w:leader="none" w:pos="20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42" w:lineRule="exact"/>
        <w:rPr>
          <w:rFonts w:ascii="Arial" w:cs="Arial" w:eastAsia="Arial" w:hAnsi="Arial"/>
          <w:sz w:val="20"/>
          <w:szCs w:val="20"/>
          <w:color w:val="auto"/>
        </w:rPr>
      </w:pPr>
    </w:p>
    <w:p>
      <w:pPr>
        <w:ind w:left="2580" w:hanging="503"/>
        <w:spacing w:after="0"/>
        <w:tabs>
          <w:tab w:leader="none" w:pos="258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Consolidated Net Income of Holdings, the Borrower and the Restricted Subsidiaries for such period;</w:t>
      </w:r>
    </w:p>
    <w:p>
      <w:pPr>
        <w:spacing w:after="0" w:line="267" w:lineRule="exact"/>
        <w:rPr>
          <w:rFonts w:ascii="Arial" w:cs="Arial" w:eastAsia="Arial" w:hAnsi="Arial"/>
          <w:sz w:val="19"/>
          <w:szCs w:val="19"/>
          <w:color w:val="auto"/>
        </w:rPr>
      </w:pPr>
    </w:p>
    <w:p>
      <w:pPr>
        <w:ind w:left="1420" w:right="20" w:firstLine="656"/>
        <w:spacing w:after="0" w:line="260" w:lineRule="auto"/>
        <w:tabs>
          <w:tab w:leader="none" w:pos="258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an amount equal to the amount of all non-cash charges (including depreciation and amortization) to the extent deducted in arriving at such Consolidated Net Income;</w:t>
      </w:r>
    </w:p>
    <w:p>
      <w:pPr>
        <w:spacing w:after="0" w:line="217" w:lineRule="exact"/>
        <w:rPr>
          <w:rFonts w:ascii="Arial" w:cs="Arial" w:eastAsia="Arial" w:hAnsi="Arial"/>
          <w:sz w:val="20"/>
          <w:szCs w:val="20"/>
          <w:color w:val="auto"/>
        </w:rPr>
      </w:pPr>
    </w:p>
    <w:p>
      <w:pPr>
        <w:jc w:val="both"/>
        <w:ind w:left="1420" w:firstLine="656"/>
        <w:spacing w:after="0" w:line="250" w:lineRule="auto"/>
        <w:tabs>
          <w:tab w:leader="none" w:pos="258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decreases in Consolidated Working Capital for such period (other than any such decreases arising from acquisitions by Holdings, the Borrower and the Restricted Subsidiaries completed during such period or the application of purchase accounting);</w:t>
      </w:r>
    </w:p>
    <w:p>
      <w:pPr>
        <w:spacing w:after="0" w:line="212" w:lineRule="exact"/>
        <w:rPr>
          <w:rFonts w:ascii="Arial" w:cs="Arial" w:eastAsia="Arial" w:hAnsi="Arial"/>
          <w:sz w:val="20"/>
          <w:szCs w:val="20"/>
          <w:color w:val="auto"/>
        </w:rPr>
      </w:pPr>
    </w:p>
    <w:p>
      <w:pPr>
        <w:jc w:val="both"/>
        <w:ind w:left="1440" w:right="20" w:firstLine="637"/>
        <w:spacing w:after="0" w:line="291" w:lineRule="auto"/>
        <w:tabs>
          <w:tab w:leader="none" w:pos="2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Asset Dispositions or other dispositions of property or assets by Holdings, the Borrower and the Restricted Subsidiaries during such period (other than Asset Dispositions in the ordinary course of business) to the extent deducted in arriving at such Consolidated Net Income; and</w:t>
      </w:r>
    </w:p>
    <w:p>
      <w:pPr>
        <w:spacing w:after="0" w:line="192" w:lineRule="exact"/>
        <w:rPr>
          <w:rFonts w:ascii="Arial" w:cs="Arial" w:eastAsia="Arial" w:hAnsi="Arial"/>
          <w:sz w:val="18"/>
          <w:szCs w:val="18"/>
          <w:color w:val="auto"/>
        </w:rPr>
      </w:pPr>
    </w:p>
    <w:p>
      <w:pPr>
        <w:ind w:left="1440" w:firstLine="637"/>
        <w:spacing w:after="0" w:line="260" w:lineRule="auto"/>
        <w:tabs>
          <w:tab w:leader="none" w:pos="260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cash receipts in respect of Swap Contracts during such period to the extent not otherwise included in Consolidated Net Income; </w:t>
      </w:r>
      <w:r>
        <w:rPr>
          <w:rFonts w:ascii="Arial" w:cs="Arial" w:eastAsia="Arial" w:hAnsi="Arial"/>
          <w:sz w:val="20"/>
          <w:szCs w:val="20"/>
          <w:u w:val="single" w:color="auto"/>
          <w:color w:val="auto"/>
        </w:rPr>
        <w:t>over</w:t>
      </w:r>
    </w:p>
    <w:p>
      <w:pPr>
        <w:spacing w:after="0" w:line="284" w:lineRule="exact"/>
        <w:rPr>
          <w:rFonts w:ascii="Arial" w:cs="Arial" w:eastAsia="Arial" w:hAnsi="Arial"/>
          <w:sz w:val="20"/>
          <w:szCs w:val="20"/>
          <w:color w:val="auto"/>
        </w:rPr>
      </w:pPr>
    </w:p>
    <w:p>
      <w:pPr>
        <w:ind w:left="2080" w:hanging="810"/>
        <w:spacing w:after="0"/>
        <w:tabs>
          <w:tab w:leader="none" w:pos="20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56" w:lineRule="exact"/>
        <w:rPr>
          <w:rFonts w:ascii="Arial" w:cs="Arial" w:eastAsia="Arial" w:hAnsi="Arial"/>
          <w:sz w:val="20"/>
          <w:szCs w:val="20"/>
          <w:color w:val="auto"/>
        </w:rPr>
      </w:pPr>
    </w:p>
    <w:p>
      <w:pPr>
        <w:ind w:left="1440" w:firstLine="638"/>
        <w:spacing w:after="0" w:line="260" w:lineRule="auto"/>
        <w:tabs>
          <w:tab w:leader="none" w:pos="2601"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and cash charges to the extent included in arriving at such Consolidated Net Income;</w:t>
      </w:r>
    </w:p>
    <w:p>
      <w:pPr>
        <w:spacing w:after="0" w:line="203" w:lineRule="exact"/>
        <w:rPr>
          <w:rFonts w:ascii="Arial" w:cs="Arial" w:eastAsia="Arial" w:hAnsi="Arial"/>
          <w:sz w:val="20"/>
          <w:szCs w:val="20"/>
          <w:color w:val="auto"/>
        </w:rPr>
      </w:pPr>
    </w:p>
    <w:p>
      <w:pPr>
        <w:jc w:val="both"/>
        <w:ind w:left="1420" w:firstLine="657"/>
        <w:spacing w:after="0" w:line="246" w:lineRule="auto"/>
        <w:tabs>
          <w:tab w:leader="none" w:pos="2581"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(xi)</w:t>
      </w:r>
      <w:r>
        <w:rPr>
          <w:rFonts w:ascii="Arial" w:cs="Arial" w:eastAsia="Arial" w:hAnsi="Arial"/>
          <w:sz w:val="20"/>
          <w:szCs w:val="20"/>
          <w:color w:val="auto"/>
        </w:rPr>
        <w:t xml:space="preserve"> below in prior fiscal years, the amount of capital expenditures or acquisitions made in cash during such period, except to the extent that such capital expenditures or acquisitions were financed with the proceeds of an incurrence or issuance of Funded Debt (other than a revolving line of credit) of Holdings or its Restricted Subsidiaries;</w:t>
      </w:r>
    </w:p>
    <w:p>
      <w:pPr>
        <w:spacing w:after="0" w:line="231" w:lineRule="exact"/>
        <w:rPr>
          <w:rFonts w:ascii="Arial" w:cs="Arial" w:eastAsia="Arial" w:hAnsi="Arial"/>
          <w:sz w:val="20"/>
          <w:szCs w:val="20"/>
          <w:color w:val="auto"/>
        </w:rPr>
      </w:pPr>
    </w:p>
    <w:p>
      <w:pPr>
        <w:jc w:val="both"/>
        <w:ind w:left="1440" w:firstLine="638"/>
        <w:spacing w:after="0" w:line="272" w:lineRule="auto"/>
        <w:tabs>
          <w:tab w:leader="none" w:pos="26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aggregate amount of all principal payments of Indebtedness of Holdings and its Restricted Subsidiaries (including (A) the principal component of Capitalized Lease Obligations and (B) the amount of repayments of Term Loans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and any mandatory prepayment of Term Loans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to the extent required due to an Asset Disposition that resulted in an increase to such Consolidated Net Income and not in excess of the amount of such increase but excluding (X) all other prepayments of Term Loans, (Y) all prepayments under the Revolving Credit Facility and (Z) all prepayments in respect of any other revolving credit facility, except, in the case of </w:t>
      </w:r>
      <w:r>
        <w:rPr>
          <w:rFonts w:ascii="Arial" w:cs="Arial" w:eastAsia="Arial" w:hAnsi="Arial"/>
          <w:sz w:val="18"/>
          <w:szCs w:val="18"/>
          <w:u w:val="single" w:color="auto"/>
          <w:color w:val="auto"/>
        </w:rPr>
        <w:t>clause (Z)</w:t>
      </w:r>
      <w:r>
        <w:rPr>
          <w:rFonts w:ascii="Arial" w:cs="Arial" w:eastAsia="Arial" w:hAnsi="Arial"/>
          <w:sz w:val="18"/>
          <w:szCs w:val="18"/>
          <w:color w:val="auto"/>
        </w:rPr>
        <w:t>, to the extent there is an equivalent permanent reduction in commitments thereunder) made during such period, except to the extent financed with the proceeds of an incurrence or issuance of other Funded Debt (other than a revolving line of credit) of Holdings or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-74-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40" w:firstLine="637"/>
        <w:spacing w:after="0" w:line="260" w:lineRule="auto"/>
        <w:tabs>
          <w:tab w:leader="none" w:pos="26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Asset Dispositions by Holdings and its Restricted Subsidiaries during such period (other than Asset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-75-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Dispositions in the ordinary course of business) to the extent included in arriving at such Consolidated Net Income;</w:t>
      </w:r>
    </w:p>
    <w:p>
      <w:pPr>
        <w:spacing w:after="0" w:line="268" w:lineRule="exact"/>
        <w:rPr>
          <w:sz w:val="20"/>
          <w:szCs w:val="20"/>
          <w:color w:val="auto"/>
        </w:rPr>
      </w:pPr>
    </w:p>
    <w:p>
      <w:pPr>
        <w:jc w:val="both"/>
        <w:ind w:left="1440" w:firstLine="637"/>
        <w:spacing w:after="0" w:line="250" w:lineRule="auto"/>
        <w:tabs>
          <w:tab w:leader="none" w:pos="26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increases in Consolidated Working Capital for such period (other than any such increases arising from acquisitions by Holdings and its Restricted Subsidiaries completed during such period or the application of purchase accounting);</w:t>
      </w:r>
    </w:p>
    <w:p>
      <w:pPr>
        <w:spacing w:after="0" w:line="212" w:lineRule="exact"/>
        <w:rPr>
          <w:rFonts w:ascii="Arial" w:cs="Arial" w:eastAsia="Arial" w:hAnsi="Arial"/>
          <w:sz w:val="20"/>
          <w:szCs w:val="20"/>
          <w:color w:val="auto"/>
        </w:rPr>
      </w:pPr>
    </w:p>
    <w:p>
      <w:pPr>
        <w:jc w:val="both"/>
        <w:ind w:left="1440" w:firstLine="637"/>
        <w:spacing w:after="0" w:line="250" w:lineRule="auto"/>
        <w:tabs>
          <w:tab w:leader="none" w:pos="26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cash payments by Holdings and its Restricted Subsidiaries during such period in respect of long-term liabilities of Holdings and its Restricted Subsidiaries other than Indebtedness (including such Indebtedness specified in </w:t>
      </w:r>
      <w:r>
        <w:rPr>
          <w:rFonts w:ascii="Arial" w:cs="Arial" w:eastAsia="Arial" w:hAnsi="Arial"/>
          <w:sz w:val="20"/>
          <w:szCs w:val="20"/>
          <w:u w:val="single" w:color="auto"/>
          <w:color w:val="auto"/>
        </w:rPr>
        <w:t>clause (b)(iii)</w:t>
      </w:r>
      <w:r>
        <w:rPr>
          <w:rFonts w:ascii="Arial" w:cs="Arial" w:eastAsia="Arial" w:hAnsi="Arial"/>
          <w:sz w:val="20"/>
          <w:szCs w:val="20"/>
          <w:color w:val="auto"/>
        </w:rPr>
        <w:t xml:space="preserve"> above);</w:t>
      </w:r>
    </w:p>
    <w:p>
      <w:pPr>
        <w:spacing w:after="0" w:line="293" w:lineRule="exact"/>
        <w:rPr>
          <w:rFonts w:ascii="Arial" w:cs="Arial" w:eastAsia="Arial" w:hAnsi="Arial"/>
          <w:sz w:val="20"/>
          <w:szCs w:val="20"/>
          <w:color w:val="auto"/>
        </w:rPr>
      </w:pPr>
    </w:p>
    <w:p>
      <w:pPr>
        <w:jc w:val="both"/>
        <w:ind w:left="1420" w:firstLine="657"/>
        <w:spacing w:after="0" w:line="244" w:lineRule="auto"/>
        <w:tabs>
          <w:tab w:leader="none" w:pos="2581"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(xi)</w:t>
      </w:r>
      <w:r>
        <w:rPr>
          <w:rFonts w:ascii="Arial" w:cs="Arial" w:eastAsia="Arial" w:hAnsi="Arial"/>
          <w:sz w:val="20"/>
          <w:szCs w:val="20"/>
          <w:color w:val="auto"/>
        </w:rPr>
        <w:t xml:space="preserve"> below in prior periods, the amount of Investments made during such period pursuant to </w:t>
      </w:r>
      <w:r>
        <w:rPr>
          <w:rFonts w:ascii="Arial" w:cs="Arial" w:eastAsia="Arial" w:hAnsi="Arial"/>
          <w:sz w:val="20"/>
          <w:szCs w:val="20"/>
          <w:u w:val="single" w:color="auto"/>
          <w:color w:val="auto"/>
        </w:rPr>
        <w:t>Section 7.06(b)</w:t>
      </w:r>
      <w:r>
        <w:rPr>
          <w:rFonts w:ascii="Arial" w:cs="Arial" w:eastAsia="Arial" w:hAnsi="Arial"/>
          <w:sz w:val="20"/>
          <w:szCs w:val="20"/>
          <w:color w:val="auto"/>
        </w:rPr>
        <w:t xml:space="preserve"> (other than those under clauses (a), (c), (d) or (e) of the definition of Permitted Investments) except to the extent that such Investments and acquisitions were financed with the proceeds of an incurrence or issuance of Funded Debt (other than a revolving line of credit) of Holdings or its Restricted Subsidiaries;</w:t>
      </w:r>
    </w:p>
    <w:p>
      <w:pPr>
        <w:spacing w:after="0" w:line="234" w:lineRule="exact"/>
        <w:rPr>
          <w:rFonts w:ascii="Arial" w:cs="Arial" w:eastAsia="Arial" w:hAnsi="Arial"/>
          <w:sz w:val="20"/>
          <w:szCs w:val="20"/>
          <w:color w:val="auto"/>
        </w:rPr>
      </w:pPr>
    </w:p>
    <w:p>
      <w:pPr>
        <w:ind w:left="1420" w:firstLine="657"/>
        <w:spacing w:after="0" w:line="247" w:lineRule="auto"/>
        <w:tabs>
          <w:tab w:leader="none" w:pos="2581"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 amount of Restricted Payments paid during such period (A) pursuant to </w:t>
      </w:r>
      <w:r>
        <w:rPr>
          <w:rFonts w:ascii="Arial" w:cs="Arial" w:eastAsia="Arial" w:hAnsi="Arial"/>
          <w:sz w:val="20"/>
          <w:szCs w:val="20"/>
          <w:u w:val="single" w:color="auto"/>
          <w:color w:val="auto"/>
        </w:rPr>
        <w:t>Section 7.06(b)</w:t>
      </w:r>
      <w:r>
        <w:rPr>
          <w:rFonts w:ascii="Arial" w:cs="Arial" w:eastAsia="Arial" w:hAnsi="Arial"/>
          <w:sz w:val="20"/>
          <w:szCs w:val="20"/>
          <w:color w:val="auto"/>
        </w:rPr>
        <w:t xml:space="preserve"> (other than those under </w:t>
      </w:r>
      <w:r>
        <w:rPr>
          <w:rFonts w:ascii="Arial" w:cs="Arial" w:eastAsia="Arial" w:hAnsi="Arial"/>
          <w:sz w:val="20"/>
          <w:szCs w:val="20"/>
          <w:u w:val="single" w:color="auto"/>
          <w:color w:val="auto"/>
        </w:rPr>
        <w:t>Section 7.06(b)(xvii)</w:t>
      </w:r>
      <w:r>
        <w:rPr>
          <w:rFonts w:ascii="Arial" w:cs="Arial" w:eastAsia="Arial" w:hAnsi="Arial"/>
          <w:sz w:val="20"/>
          <w:szCs w:val="20"/>
          <w:color w:val="auto"/>
        </w:rPr>
        <w:t xml:space="preserve"> or clauses (a), (c), (d) or</w:t>
      </w:r>
    </w:p>
    <w:p>
      <w:pPr>
        <w:spacing w:after="0" w:line="1" w:lineRule="exact"/>
        <w:rPr>
          <w:rFonts w:ascii="Arial" w:cs="Arial" w:eastAsia="Arial" w:hAnsi="Arial"/>
          <w:sz w:val="20"/>
          <w:szCs w:val="20"/>
          <w:color w:val="auto"/>
        </w:rPr>
      </w:pPr>
    </w:p>
    <w:p>
      <w:pPr>
        <w:jc w:val="both"/>
        <w:ind w:left="1440" w:hanging="10"/>
        <w:spacing w:after="0" w:line="281" w:lineRule="auto"/>
        <w:tabs>
          <w:tab w:leader="none" w:pos="17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of the definition of Permitted Investments) and (B) with amounts available for Restricted Payments pursuant to </w:t>
      </w:r>
      <w:r>
        <w:rPr>
          <w:rFonts w:ascii="Arial" w:cs="Arial" w:eastAsia="Arial" w:hAnsi="Arial"/>
          <w:sz w:val="18"/>
          <w:szCs w:val="18"/>
          <w:u w:val="single" w:color="auto"/>
          <w:color w:val="auto"/>
        </w:rPr>
        <w:t>Section 7.06(a)</w:t>
      </w:r>
      <w:r>
        <w:rPr>
          <w:rFonts w:ascii="Arial" w:cs="Arial" w:eastAsia="Arial" w:hAnsi="Arial"/>
          <w:sz w:val="18"/>
          <w:szCs w:val="18"/>
          <w:color w:val="auto"/>
        </w:rPr>
        <w:t>, except to the extent that such Restricted Payments were financed with the proceeds of an incurrence or issuance of Funded Debt (other than a revolving line of credit) of Holdings or its Restricted Subsidiaries;</w:t>
      </w:r>
    </w:p>
    <w:p>
      <w:pPr>
        <w:spacing w:after="0" w:line="201" w:lineRule="exact"/>
        <w:rPr>
          <w:rFonts w:ascii="Arial" w:cs="Arial" w:eastAsia="Arial" w:hAnsi="Arial"/>
          <w:sz w:val="18"/>
          <w:szCs w:val="18"/>
          <w:color w:val="auto"/>
        </w:rPr>
      </w:pPr>
    </w:p>
    <w:p>
      <w:pPr>
        <w:jc w:val="both"/>
        <w:ind w:left="1440" w:firstLine="637"/>
        <w:spacing w:after="0" w:line="282" w:lineRule="auto"/>
        <w:tabs>
          <w:tab w:leader="none" w:pos="2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Holdings and its Restricted Subsidiaries during such period that are required to be made in connection with any prepayment of Indebtedness except to the extent that such amounts were financed with the proceeds of an incurrence or issuance of Funded Debt (other than a revolving line of credit) of Holdings or its Restricted Subsidiaries;</w:t>
      </w:r>
    </w:p>
    <w:p>
      <w:pPr>
        <w:spacing w:after="0" w:line="188" w:lineRule="exact"/>
        <w:rPr>
          <w:rFonts w:ascii="Arial" w:cs="Arial" w:eastAsia="Arial" w:hAnsi="Arial"/>
          <w:sz w:val="18"/>
          <w:szCs w:val="18"/>
          <w:color w:val="auto"/>
        </w:rPr>
      </w:pPr>
    </w:p>
    <w:p>
      <w:pPr>
        <w:jc w:val="both"/>
        <w:ind w:left="1440" w:firstLine="637"/>
        <w:spacing w:after="0" w:line="260" w:lineRule="auto"/>
        <w:tabs>
          <w:tab w:leader="none" w:pos="260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aggregate amount of expenditures actually made by Holdings and its Restricted Subsidiaries in cash during such period (including expenditures for the payment of financing fees) to the extent that such expenditures are not expensed during such period or otherwise were not deducted or added back in determining Consolidated Net Income for such period and were not financed with the proceeds of an incurrence or issuance of Indebtedness for borrowed money (other than a revolving line of credit) of Holdings or its Restricted Subsidiaries;</w:t>
      </w:r>
    </w:p>
    <w:p>
      <w:pPr>
        <w:spacing w:after="0" w:line="220" w:lineRule="exact"/>
        <w:rPr>
          <w:rFonts w:ascii="Arial" w:cs="Arial" w:eastAsia="Arial" w:hAnsi="Arial"/>
          <w:sz w:val="19"/>
          <w:szCs w:val="19"/>
          <w:color w:val="auto"/>
        </w:rPr>
      </w:pPr>
    </w:p>
    <w:p>
      <w:pPr>
        <w:jc w:val="both"/>
        <w:ind w:left="1420" w:firstLine="657"/>
        <w:spacing w:after="0" w:line="257" w:lineRule="auto"/>
        <w:tabs>
          <w:tab w:leader="none" w:pos="258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prior periods, the aggregate consideration required to be paid in cash by Holdings or any of the Restricted Subsidiaries pursuant to binding contracts, commitments, letters of intent or purchase orders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xml:space="preserve">”) entered into during such period, relating to Permitted Investments (other than those under clauses (a), (d) or (e) of the definition of Permitted Investments, but including in joint ventures), capital expenditures or acquisitions to be consummated or made during the period of four consecutive fiscal quarters of Holdings following the end of such period except to the extent intended to be financed with the proceeds of an incurrence or issuance of other Indebtedness of Holdings or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-76-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9"/>
        <w:spacing w:after="0"/>
        <w:rPr>
          <w:sz w:val="20"/>
          <w:szCs w:val="20"/>
          <w:color w:val="auto"/>
        </w:rPr>
      </w:pPr>
      <w:r>
        <w:rPr>
          <w:rFonts w:ascii="Arial" w:cs="Arial" w:eastAsia="Arial" w:hAnsi="Arial"/>
          <w:sz w:val="20"/>
          <w:szCs w:val="20"/>
          <w:color w:val="auto"/>
        </w:rPr>
        <w:t>utilized to finance such Permitted Investments, capital expenditures or acquisitions during such period of four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-77-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40"/>
        <w:spacing w:after="0" w:line="269" w:lineRule="auto"/>
        <w:rPr>
          <w:sz w:val="20"/>
          <w:szCs w:val="20"/>
          <w:color w:val="auto"/>
        </w:rPr>
      </w:pPr>
      <w:r>
        <w:rPr>
          <w:rFonts w:ascii="Arial" w:cs="Arial" w:eastAsia="Arial" w:hAnsi="Arial"/>
          <w:sz w:val="19"/>
          <w:szCs w:val="19"/>
          <w:color w:val="auto"/>
        </w:rPr>
        <w:t>consecutive fiscal quarters (excluding such payments financed with long term Indebtedness for borrowed money (other than a revolving line of credit)) is less than the Contract Consideration, the amount of such shortfall, shall be added to the calculation of Excess Cash Flow at the end of such period of four consecutive fiscal quarters;</w:t>
      </w:r>
    </w:p>
    <w:p>
      <w:pPr>
        <w:spacing w:after="0" w:line="210" w:lineRule="exact"/>
        <w:rPr>
          <w:sz w:val="20"/>
          <w:szCs w:val="20"/>
          <w:color w:val="auto"/>
        </w:rPr>
      </w:pPr>
    </w:p>
    <w:p>
      <w:pPr>
        <w:jc w:val="both"/>
        <w:ind w:left="1420" w:firstLine="657"/>
        <w:spacing w:after="0" w:line="250" w:lineRule="auto"/>
        <w:tabs>
          <w:tab w:leader="none" w:pos="258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amount of cash taxes (including penalties and interest) paid or tax reserves set aside or payable (without duplication) in such period to the extent they exceed the amount of tax expense deducted in determining Consolidated Net Income for such period; and</w:t>
      </w:r>
    </w:p>
    <w:p>
      <w:pPr>
        <w:spacing w:after="0" w:line="212" w:lineRule="exact"/>
        <w:rPr>
          <w:rFonts w:ascii="Arial" w:cs="Arial" w:eastAsia="Arial" w:hAnsi="Arial"/>
          <w:sz w:val="20"/>
          <w:szCs w:val="20"/>
          <w:color w:val="auto"/>
        </w:rPr>
      </w:pPr>
    </w:p>
    <w:p>
      <w:pPr>
        <w:ind w:left="1440" w:firstLine="637"/>
        <w:spacing w:after="0" w:line="260" w:lineRule="auto"/>
        <w:tabs>
          <w:tab w:leader="none" w:pos="260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cash expenditures in respect of Swap Contracts during such fiscal year to the extent not deducted in arriving at such Consolidated Net Income.</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324" w:lineRule="exact"/>
        <w:rPr>
          <w:sz w:val="20"/>
          <w:szCs w:val="20"/>
          <w:color w:val="auto"/>
        </w:rPr>
      </w:pPr>
    </w:p>
    <w:p>
      <w:pPr>
        <w:jc w:val="both"/>
        <w:ind w:left="140"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xml:space="preserve">” means, on any day, for purposes of determining the Dollar Equivalent of any currency other than Dollars, the rate at which such other currency may be exchanged into Dollars at the time of determination on such day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 such date for the purchase of Dollars for delivery two Business Days later,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at the time of any such determination, for any reason, no such spot rate is being quoted, the Administrative Agent may use</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reasonable method it deems appropriate to determine such rate, and such determination shall be conclusive absent manifest error.</w:t>
      </w:r>
    </w:p>
    <w:p>
      <w:pPr>
        <w:spacing w:after="0" w:line="214"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Affiliate</w:t>
      </w:r>
      <w:r>
        <w:rPr>
          <w:rFonts w:ascii="Arial" w:cs="Arial" w:eastAsia="Arial" w:hAnsi="Arial"/>
          <w:sz w:val="20"/>
          <w:szCs w:val="20"/>
          <w:color w:val="auto"/>
        </w:rPr>
        <w:t>” means any Commitment Party’s (as defined in the Commitment Letter) or any of its affiliates’ deal teams that are engaged (x) primarily as principals in private equity or venture capital or (y) in the sale of the Borrower and its subsidiaries, including through the provision of advisory services.</w:t>
      </w:r>
    </w:p>
    <w:p>
      <w:pPr>
        <w:spacing w:after="0" w:line="213"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w:t>
      </w:r>
      <w:r>
        <w:rPr>
          <w:rFonts w:ascii="Arial" w:cs="Arial" w:eastAsia="Arial" w:hAnsi="Arial"/>
          <w:sz w:val="19"/>
          <w:szCs w:val="19"/>
          <w:color w:val="auto"/>
        </w:rPr>
        <w:t>” means Net Cash Proceeds or property or assets received by Holdings as capital contributions to the equity (other than through the issuance of Disqualified Stock or Designated Preferred Stock) of Holdings after the Closing Date or from the issuance or sale (other than to a Restricted Subsidiary or an employee stock ownership plan or trust established by Holdings or any Subsidiary of Holdings for the benefit of their employees to the extent funded by Holdings or any Restricted Subsidiary) of Capital Stock (other than Disqualified Stock or Designated Preferred Stock) of Holdings.</w:t>
      </w:r>
    </w:p>
    <w:p>
      <w:pPr>
        <w:spacing w:after="0" w:line="207" w:lineRule="exact"/>
        <w:rPr>
          <w:sz w:val="20"/>
          <w:szCs w:val="20"/>
          <w:color w:val="auto"/>
        </w:rPr>
      </w:pPr>
    </w:p>
    <w:p>
      <w:pPr>
        <w:jc w:val="both"/>
        <w:ind w:left="140"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Equity</w:t>
      </w:r>
      <w:r>
        <w:rPr>
          <w:rFonts w:ascii="Arial" w:cs="Arial" w:eastAsia="Arial" w:hAnsi="Arial"/>
          <w:sz w:val="18"/>
          <w:szCs w:val="18"/>
          <w:color w:val="auto"/>
        </w:rPr>
        <w:t xml:space="preserve">” means Capital Stock (i) of any Unrestricted Subsidiary, any Immaterial Subsidiary and/or any non-Wholly Owned Subsidiary, (ii) of any Subsidiary acquired pursuant to a Permitted Investment financed with Indebtedness permitted pursuant to </w:t>
      </w:r>
      <w:r>
        <w:rPr>
          <w:rFonts w:ascii="Arial" w:cs="Arial" w:eastAsia="Arial" w:hAnsi="Arial"/>
          <w:sz w:val="18"/>
          <w:szCs w:val="18"/>
          <w:u w:val="single" w:color="auto"/>
          <w:color w:val="auto"/>
        </w:rPr>
        <w:t>Section 7.03(v)(x)</w:t>
      </w:r>
      <w:r>
        <w:rPr>
          <w:rFonts w:ascii="Arial" w:cs="Arial" w:eastAsia="Arial" w:hAnsi="Arial"/>
          <w:sz w:val="18"/>
          <w:szCs w:val="18"/>
          <w:color w:val="auto"/>
        </w:rPr>
        <w:t xml:space="preserve"> if such Capital Stock is pledged and/or mortgaged as security for such Indebtedness and if and for so long as the terms of such Indebtedness prohibit the creation of any other Lien on such Capital Stock, (iii) that is voting Capital Stock of any wholly-owned Foreign Subsidiary of the Borrower that is a CFC or Subsidiary of the Borrower that is a Domestic Foreign Holding Company, in excess of 65% of the issued and outstanding voting Capital Stock of such wholly-owned CFC or Domestic Foreign Holding</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-78-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Company, (iv) of any Subsidiary with respect to which the Administrative Agent and the Borrower have determined in their reasonable judgment and agreed in writing that the costs of providing a pledge of such Capital Stock or perfection thereof</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-79-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3" w:lineRule="auto"/>
        <w:rPr>
          <w:sz w:val="20"/>
          <w:szCs w:val="20"/>
          <w:color w:val="auto"/>
        </w:rPr>
      </w:pPr>
      <w:r>
        <w:rPr>
          <w:rFonts w:ascii="Arial" w:cs="Arial" w:eastAsia="Arial" w:hAnsi="Arial"/>
          <w:sz w:val="20"/>
          <w:szCs w:val="20"/>
          <w:color w:val="auto"/>
        </w:rPr>
        <w:t>(including adverse tax consequences) outweighs the benefits to be obtained by the Secured Parties therefrom, (v) of any Captive Insurance Subsidiaries, not-for-profit subsidiaries, special purpose entities (including any special purpose entity used to effect a Qualified Securitization Financing) and (vi) of any Subsidiary organized outside the United States the pledge of which is prohibited by applicable Laws or which would reasonably be expected to result in a violation or breach of, or conflict with, fiduciary duties of such Subsidiary’s officers, directors or managers after giving effect to the applicable anti-assignment provisions of the Uniform Commercial Code of any applicable jurisdiction or other applicable law.</w:t>
      </w:r>
    </w:p>
    <w:p>
      <w:pPr>
        <w:spacing w:after="0" w:line="236" w:lineRule="exact"/>
        <w:rPr>
          <w:sz w:val="20"/>
          <w:szCs w:val="20"/>
          <w:color w:val="auto"/>
        </w:rPr>
      </w:pPr>
    </w:p>
    <w:p>
      <w:pPr>
        <w:jc w:val="both"/>
        <w:ind w:left="140"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means (i) any fee-owned real property that is not a Material Real Property and any leasehold interests in real property (it being understood and agreed that no action shall be required with respect to creation or perfection of security interests with respect to such leasehold interests, including to obtain landlord waivers, estoppels or collateral access letters)), (ii) motor vehicles and other assets subject to certificates of title, to the extent a Lien thereon cannot be perfected by the filing of a UCC financing statement (or analogous procedures under applicable Laws in the relevant Covered Jurisdiction), letter of credit rights to the extent a Lien thereon cannot be perfected by the filing of a UCC financing statement (or analogous procedures under applicable Laws in the relevant Covered Jurisdiction) and commercial tort claims with a value of less than $10.0 million, (iii) assets for which a pledge thereof or a security interest therein is prohibited by applicable law, rule or regulation, of any applicable jurisdiction or other applicable law or which would require governmental (including regulatory) consent, approval, license or authorization to provide such pledge thereof or security interest therein unless such consent, approval, license or authorization has been received, after giving effect to the applicable anti-assignment provisions of the Uniform Commercial Code, (iv) margin stock, (v) any cash, cash equivalents (including securities entitlements and related assets) held in payroll, healthcare, employee wage and benefits, tax (including sales tax) escrow, fiduciary and trust accounts (including any securities entitlements or related assets contained therein) or, except to the extent otherwise constituting proceeds of Collateral, deposit accounts, (vi) any segregated funds held in escrow for the benefit of an unaffiliated third party (other than the Borrower or a Guarantor), (vii) any lease, license or other agreements, or any property subject to a purchase money security interest, Capitalized Lease Obligation or similar arrangements, in each case to the extent permitted under the Loan Documents, to the extent that a pledge thereof or the grant of a security interest therein would violate or invalidate such lease, license or agreement, purchase money, capitalized lease or similar arrangement, or create a right of termination or payment in favor of any other party thereto (other than a Borrower or a Guarantor or a Subsidiary of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(viii) any intent-to-use trademark or service mark application in the United States prior to the filing of a “Statement of Use” or “Amendment to Allege Use” with respect thereto, only to the extent, if any, that, and solely during the period, if any, in which, the grant, attachment, or enforcement of a security interest therein would impair the validity or enforceability of such intent-to-use trademark or service mark application under applicable U.S. federal law, (ix) Excluded Equity, (x) [reserved], (xi) any governmental licenses or state or local franchises, charters or authorizations, to the extent a security interest in any such licenses, franchise, charter or authorization would be prohibited or restricted thereby (including any legally effective prohibition or restriction) after giving effect to the applicable anti-assignment provisions of the UCC or other similar applicable law, (xii) the assets of any CFC or Domestic Foreign Holding Company,</w:t>
      </w:r>
    </w:p>
    <w:p>
      <w:pPr>
        <w:spacing w:after="0" w:line="19" w:lineRule="exact"/>
        <w:rPr>
          <w:sz w:val="20"/>
          <w:szCs w:val="20"/>
          <w:color w:val="auto"/>
        </w:rPr>
      </w:pPr>
    </w:p>
    <w:p>
      <w:pPr>
        <w:jc w:val="both"/>
        <w:ind w:left="140" w:hanging="6"/>
        <w:spacing w:after="0" w:line="257" w:lineRule="auto"/>
        <w:tabs>
          <w:tab w:leader="none" w:pos="61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any assets to the extent a security interest in such assets would result in adverse tax consequences that are not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as reasonably determined by the Borrower, in consultation with (but without the consent of) the Administrative Agent and (xiv) any assets with respect to which the Borrower and the Administrative Agent reasonably agree in writing that the cost and/or burden of obtaining or perfecting such security are excessive in relation to the benefits to the Lenders afforded thereby.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-80-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xml:space="preserve">” means (a) each Subsidiary listed on </w:t>
      </w:r>
      <w:r>
        <w:rPr>
          <w:rFonts w:ascii="Arial" w:cs="Arial" w:eastAsia="Arial" w:hAnsi="Arial"/>
          <w:sz w:val="20"/>
          <w:szCs w:val="20"/>
          <w:u w:val="single" w:color="auto"/>
          <w:color w:val="auto"/>
        </w:rPr>
        <w:t>Schedule 1.01C</w:t>
      </w:r>
      <w:r>
        <w:rPr>
          <w:rFonts w:ascii="Arial" w:cs="Arial" w:eastAsia="Arial" w:hAnsi="Arial"/>
          <w:sz w:val="20"/>
          <w:szCs w:val="20"/>
          <w:color w:val="auto"/>
        </w:rPr>
        <w:t xml:space="preserve"> of the Closing Date Certificate, (b) any Subsidiary that is prohibited by applicable Law, rule or regulation or by 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-81-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7" w:lineRule="auto"/>
        <w:rPr>
          <w:sz w:val="20"/>
          <w:szCs w:val="20"/>
          <w:color w:val="auto"/>
        </w:rPr>
      </w:pPr>
      <w:r>
        <w:rPr>
          <w:rFonts w:ascii="Arial" w:cs="Arial" w:eastAsia="Arial" w:hAnsi="Arial"/>
          <w:sz w:val="18"/>
          <w:szCs w:val="18"/>
          <w:color w:val="auto"/>
        </w:rPr>
        <w:t>contractual obligation existing on the Closing Date or on the date such Subsidiary is acquired (so long as in respect of any such contractual obligation, such prohibition is not incurred in contemplation of such acquisition) from guaranteeing the Secured Obligations or which would require governmental (including regulatory) consent, approval, license or authorization to provide a Guarantee unless such consent, approval, license or authorization has been received, (c) [reserved], (d) any Foreign Subsidiary, (e) any Restricted Subsidiary acquired pursuant to a Permitted Investment that, at the time of such Permitted Investment, has assumed secured Indebtedness permitted under this Agreement not incurred in contemplation of such Permitted Investment and each Restricted Subsidiary that is a Subsidiary thereof that guarantees such Indebtedness, in each case, to the extent such secured Indebtedness prohibits such Subsidiary from becoming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Restricted Subsidiary shall cease to be an Excluded Subsidiary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if such secured Indebtedness is repaid or becomes unsecured, if such Restricted Subsidiary ceases to be an obligor with respect to such secured Indebtedness or such prohibition no longer exists, as applicable), (f) any Immaterial Subsidiary or Unrestricted Subsidiary,</w:t>
      </w:r>
    </w:p>
    <w:p>
      <w:pPr>
        <w:spacing w:after="0" w:line="8" w:lineRule="exact"/>
        <w:rPr>
          <w:sz w:val="20"/>
          <w:szCs w:val="20"/>
          <w:color w:val="auto"/>
        </w:rPr>
      </w:pPr>
    </w:p>
    <w:p>
      <w:pPr>
        <w:jc w:val="both"/>
        <w:ind w:left="140" w:hanging="7"/>
        <w:spacing w:after="0" w:line="269" w:lineRule="auto"/>
        <w:tabs>
          <w:tab w:leader="none" w:pos="4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Captive Insurance Subsidiaries, (h) not-for-profit Subsidiaries, (i) special purpose entities (including any entity used to effect any Qualified Securitization Financing), (j) any non-Wholly Owned Subsidiary, (k)(i) any Domestic Subsidiary of a Foreign Subsidiary that is a CFC and (ii) any Domestic Foreign Holding Company, (l) JV Entities, (m) any Subsidiary that is an “investment company” under the Investment Company Act of 1940, as amended, (n) any Restricted Subsidiary, the provision of a Guarantee by which would reasonably be expected to result in adverse tax consequences to the Borrower or any of the Restricted Subsidiaries that are not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 reasonably determined by the Borrower, in consultation with (but without the consent of) the Administrative Agent and (o) any other Subsidiary with respect to which the Administrative Agent and the Borrower reasonably agree that the cost, burden or other consequences (including any tax consequences) of providing a Guarantee outweighs, or is excessive in relation to the value afforded thereby;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subject to the consent of the Administrative Agent (not to be unreasonably withheld, delayed or conditioned), any Restricted Subsidiary that would otherwise constitute an Excluded Subsidiary hereunder that elects to become a Guarantor pursuant to the definition thereof shall no longer constitute an Excluded Subsidiary.</w:t>
      </w:r>
    </w:p>
    <w:p>
      <w:pPr>
        <w:spacing w:after="0" w:line="213"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solely to the extent that, all or a portion of the Guarantee of such Guarantor of, or the grant by such Guarantor of a security interest pursuant to the Collateral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w:t>
      </w:r>
    </w:p>
    <w:p>
      <w:pPr>
        <w:spacing w:after="0" w:line="195" w:lineRule="exact"/>
        <w:rPr>
          <w:sz w:val="20"/>
          <w:szCs w:val="20"/>
          <w:color w:val="auto"/>
        </w:rPr>
      </w:pPr>
    </w:p>
    <w:p>
      <w:pPr>
        <w:jc w:val="both"/>
        <w:ind w:left="14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left="140" w:hanging="6"/>
        <w:spacing w:after="0" w:line="239" w:lineRule="auto"/>
        <w:tabs>
          <w:tab w:leader="none" w:pos="65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imposed as a result of such Recipient’s being organized under the laws of, or having its principal office or, in the case of any Lender, its applicable lending office located in, the jurisdiction imposing such Tax (or any political subdivision thereof) or (ii) that are Other Connection Taxes, (b) in the case of a Lender, any</w:t>
      </w:r>
    </w:p>
    <w:p>
      <w:pPr>
        <w:spacing w:after="0" w:line="1" w:lineRule="exact"/>
        <w:rPr>
          <w:rFonts w:ascii="Arial" w:cs="Arial" w:eastAsia="Arial" w:hAnsi="Arial"/>
          <w:sz w:val="20"/>
          <w:szCs w:val="20"/>
          <w:color w:val="auto"/>
        </w:rPr>
      </w:pPr>
    </w:p>
    <w:p>
      <w:pPr>
        <w:jc w:val="both"/>
        <w:ind w:left="140"/>
        <w:spacing w:after="0" w:line="241" w:lineRule="auto"/>
        <w:rPr>
          <w:rFonts w:ascii="Arial" w:cs="Arial" w:eastAsia="Arial" w:hAnsi="Arial"/>
          <w:sz w:val="20"/>
          <w:szCs w:val="20"/>
          <w:color w:val="auto"/>
        </w:rPr>
      </w:pPr>
      <w:r>
        <w:rPr>
          <w:rFonts w:ascii="Arial" w:cs="Arial" w:eastAsia="Arial" w:hAnsi="Arial"/>
          <w:sz w:val="20"/>
          <w:szCs w:val="20"/>
          <w:color w:val="auto"/>
        </w:rPr>
        <w:t>U.S. federal withholding Tax that is imposed on amounts payable to such Lender with respect to an applicable interest in a Loan or Commitment pursuant to a law in effect at the time such Lender acquires such interest in the Loan or Commitment (or designates a new lending office), except to the extent that</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-82-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2" w:name="page213"/>
    <w:bookmarkEnd w:id="21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such Lender (or its assignor, if any) was entitled, at the time of designation of a new lending office (or assignment), to receive additional amounts from the Borrower with respect to such withholding Tax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-83-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520"/>
        <w:spacing w:after="0" w:line="260" w:lineRule="auto"/>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(c) Taxes attributable to such Recipient’s failure to comply with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and (d) any U.S. federal withholding Taxes imposed pursuant to FATCA.</w:t>
      </w:r>
    </w:p>
    <w:p>
      <w:pPr>
        <w:spacing w:after="0" w:line="21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that certain Amended and Restated ABL Credit and Guarantee Agreement, dated as of March 23, 2020, as amended, by and among the Borrower, Holdings, ATI Investment Holdings, Inc., the subsidiary guarantors from time to time party thereto, the lenders party thereto from time to time and Wells Fargo Bank National Association, as collateral and administrative agent.</w:t>
      </w:r>
    </w:p>
    <w:p>
      <w:pPr>
        <w:spacing w:after="0" w:line="21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Class of Term Loans or a Revolving Credit Facility, as the context may</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require.</w:t>
      </w:r>
    </w:p>
    <w:p>
      <w:pPr>
        <w:spacing w:after="0" w:line="321"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current Sections 1471 through 1474 of the Code (and any amended or successor version to the extent such version is substantively comparable and not materially more onerous to comply with) or any current or future Treasury regulations promulgated thereunder or other official administrative interpretations thereof, any agreements entered into pursuant to current Section 1471(b)(1) of the Code (or any amended or successor version described above) and any fiscal or regulatory legislation, rules or practices adopted pursuant to any intergovernmental agreement, treaty or convention among Governmental Authorities and implementing such Section of the Code.</w:t>
      </w:r>
    </w:p>
    <w:p>
      <w:pPr>
        <w:spacing w:after="0" w:line="236"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if the Federal Funds Rate as so determined would be less than zero, such rate shall be deemed to be zero for the purposes of</w:t>
      </w:r>
      <w:r>
        <w:rPr>
          <w:rFonts w:ascii="Arial" w:cs="Arial" w:eastAsia="Arial" w:hAnsi="Arial"/>
          <w:sz w:val="20"/>
          <w:szCs w:val="20"/>
          <w:i w:val="1"/>
          <w:iCs w:val="1"/>
          <w:color w:val="auto"/>
        </w:rPr>
        <w:t xml:space="preserve"> </w:t>
      </w:r>
      <w:r>
        <w:rPr>
          <w:rFonts w:ascii="Arial" w:cs="Arial" w:eastAsia="Arial" w:hAnsi="Arial"/>
          <w:sz w:val="20"/>
          <w:szCs w:val="20"/>
          <w:color w:val="auto"/>
        </w:rPr>
        <w:t>this Agreement.</w:t>
      </w:r>
    </w:p>
    <w:p>
      <w:pPr>
        <w:spacing w:after="0" w:line="221"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 of New York’s Website</w:t>
      </w:r>
      <w:r>
        <w:rPr>
          <w:rFonts w:ascii="Arial" w:cs="Arial" w:eastAsia="Arial" w:hAnsi="Arial"/>
          <w:sz w:val="20"/>
          <w:szCs w:val="20"/>
          <w:color w:val="auto"/>
        </w:rPr>
        <w:t>” means the website of the NYFRB at http://www.newyorkfed.org, or any successor source.</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79" w:lineRule="exact"/>
        <w:rPr>
          <w:sz w:val="20"/>
          <w:szCs w:val="20"/>
          <w:color w:val="auto"/>
        </w:rPr>
      </w:pPr>
    </w:p>
    <w:p>
      <w:pPr>
        <w:jc w:val="both"/>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means the Amended and Restated Fee Letter dated September 23, 2020 by and among the Borrower, Goldman Sachs, Barclays, CS, Guggenheim Securities and each of the Financing Sources, MUFG, Nomura, UBS and MS.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means has the meaning set forth in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Event of Default</w:t>
      </w:r>
      <w:r>
        <w:rPr>
          <w:rFonts w:ascii="Arial" w:cs="Arial" w:eastAsia="Arial" w:hAnsi="Arial"/>
          <w:sz w:val="20"/>
          <w:szCs w:val="20"/>
          <w:color w:val="auto"/>
        </w:rPr>
        <w:t xml:space="preserve">” means the covenant set forth in </w:t>
      </w:r>
      <w:r>
        <w:rPr>
          <w:rFonts w:ascii="Arial" w:cs="Arial" w:eastAsia="Arial" w:hAnsi="Arial"/>
          <w:sz w:val="20"/>
          <w:szCs w:val="20"/>
          <w:u w:val="single" w:color="auto"/>
          <w:color w:val="auto"/>
        </w:rPr>
        <w:t>Section 7.09(b)</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-84-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-85-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15" w:name="page216"/>
    <w:bookmarkEnd w:id="21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Charges</w:t>
      </w:r>
      <w:r>
        <w:rPr>
          <w:rFonts w:ascii="Arial" w:cs="Arial" w:eastAsia="Arial" w:hAnsi="Arial"/>
          <w:sz w:val="20"/>
          <w:szCs w:val="20"/>
          <w:color w:val="auto"/>
        </w:rPr>
        <w:t>” means, with respect to any Person for any period, the sum of: (without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duplication)</w:t>
      </w:r>
    </w:p>
    <w:p>
      <w:pPr>
        <w:spacing w:after="0" w:line="308" w:lineRule="exact"/>
        <w:rPr>
          <w:sz w:val="20"/>
          <w:szCs w:val="20"/>
          <w:color w:val="auto"/>
        </w:rPr>
      </w:pPr>
    </w:p>
    <w:p>
      <w:pPr>
        <w:ind w:left="2060" w:hanging="631"/>
        <w:spacing w:after="0"/>
        <w:tabs>
          <w:tab w:leader="none" w:pos="20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Consolidated Interest Expense of such Person for such period; </w:t>
      </w:r>
      <w:r>
        <w:rPr>
          <w:rFonts w:ascii="Arial" w:cs="Arial" w:eastAsia="Arial" w:hAnsi="Arial"/>
          <w:sz w:val="20"/>
          <w:szCs w:val="20"/>
          <w:u w:val="single" w:color="auto"/>
          <w:color w:val="auto"/>
        </w:rPr>
        <w:t>plus</w:t>
      </w:r>
    </w:p>
    <w:p>
      <w:pPr>
        <w:spacing w:after="0" w:line="323" w:lineRule="exact"/>
        <w:rPr>
          <w:rFonts w:ascii="Arial" w:cs="Arial" w:eastAsia="Arial" w:hAnsi="Arial"/>
          <w:sz w:val="20"/>
          <w:szCs w:val="20"/>
          <w:color w:val="auto"/>
        </w:rPr>
      </w:pPr>
    </w:p>
    <w:p>
      <w:pPr>
        <w:ind w:left="780" w:firstLine="649"/>
        <w:spacing w:after="0" w:line="260" w:lineRule="auto"/>
        <w:tabs>
          <w:tab w:leader="none" w:pos="194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all cash dividends or other distributions paid (excluding items eliminated in consolidation) on any series of Preferred Stock of any Restricted Subsidiary of such Person during such period; </w:t>
      </w:r>
      <w:r>
        <w:rPr>
          <w:rFonts w:ascii="Arial" w:cs="Arial" w:eastAsia="Arial" w:hAnsi="Arial"/>
          <w:sz w:val="20"/>
          <w:szCs w:val="20"/>
          <w:u w:val="single" w:color="auto"/>
          <w:color w:val="auto"/>
        </w:rPr>
        <w:t>plus</w:t>
      </w:r>
    </w:p>
    <w:p>
      <w:pPr>
        <w:spacing w:after="0" w:line="284" w:lineRule="exact"/>
        <w:rPr>
          <w:rFonts w:ascii="Arial" w:cs="Arial" w:eastAsia="Arial" w:hAnsi="Arial"/>
          <w:sz w:val="20"/>
          <w:szCs w:val="20"/>
          <w:color w:val="auto"/>
        </w:rPr>
      </w:pPr>
    </w:p>
    <w:p>
      <w:pPr>
        <w:ind w:left="780" w:right="660" w:firstLine="649"/>
        <w:spacing w:after="0" w:line="260" w:lineRule="auto"/>
        <w:tabs>
          <w:tab w:leader="none" w:pos="194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 cash dividends, or other distributions paid (excluding items eliminated in consolidation) on any series of Disqualified Stock of such Person during such period.</w:t>
      </w:r>
    </w:p>
    <w:p>
      <w:pPr>
        <w:spacing w:after="0" w:line="217"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 Waters Flood Insurance Reform Act of 2012 as now or hereafter in effect or any successor statute thereto.</w:t>
      </w:r>
    </w:p>
    <w:p>
      <w:pPr>
        <w:spacing w:after="0" w:line="188" w:lineRule="exact"/>
        <w:rPr>
          <w:sz w:val="20"/>
          <w:szCs w:val="20"/>
          <w:color w:val="auto"/>
        </w:rPr>
      </w:pPr>
    </w:p>
    <w:p>
      <w:pPr>
        <w:jc w:val="both"/>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benefit plan, program, policy, arrangement or agreement maintained or contributed to or by, or entered into with, any Loan Party or any Restricted Subsidiary with respect to employees outside the United States.</w:t>
      </w:r>
    </w:p>
    <w:p>
      <w:pPr>
        <w:spacing w:after="0" w:line="170"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 Subsidiary (which may be a corporation, limited liability company, partnership or other legal entity) organized under the laws of a jurisdiction outside the United States, other than any such entity that is (whether as a matter of law, pursuant to an election by such entity or otherwise) treated as a partnership in which any Loan Party is a partner or as a branch of any Loan Party for United States income tax purposes.</w:t>
      </w:r>
    </w:p>
    <w:p>
      <w:pPr>
        <w:spacing w:after="0" w:line="23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 of its activities.</w:t>
      </w:r>
    </w:p>
    <w:p>
      <w:pPr>
        <w:spacing w:after="0" w:line="204"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202"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as in effect on the date of any calculation or determination required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Borrower notifies the Administrative Agent that the Borrower requests an amendment to any provision hereof to eliminate the effect of any change occurring after the Closing Date in GAAP or in the</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-86-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6" w:name="page217"/>
    <w:bookmarkEnd w:id="21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spacing w:after="0" w:line="246" w:lineRule="auto"/>
        <w:rPr>
          <w:sz w:val="20"/>
          <w:szCs w:val="20"/>
          <w:color w:val="auto"/>
        </w:rPr>
      </w:pPr>
      <w:r>
        <w:rPr>
          <w:rFonts w:ascii="Arial" w:cs="Arial" w:eastAsia="Arial" w:hAnsi="Arial"/>
          <w:sz w:val="20"/>
          <w:szCs w:val="20"/>
          <w:color w:val="auto"/>
        </w:rPr>
        <w:t>application thereof on the operation of such provision (or if the Administrative Agent notifies the Borrower that the Required Lenders request amendment of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-87-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00"/>
        <w:spacing w:after="0" w:line="260" w:lineRule="auto"/>
        <w:rPr>
          <w:sz w:val="20"/>
          <w:szCs w:val="20"/>
          <w:color w:val="auto"/>
        </w:rPr>
      </w:pPr>
      <w:r>
        <w:rPr>
          <w:rFonts w:ascii="Arial" w:cs="Arial" w:eastAsia="Arial" w:hAnsi="Arial"/>
          <w:sz w:val="20"/>
          <w:szCs w:val="20"/>
          <w:color w:val="auto"/>
        </w:rPr>
        <w:t xml:space="preserve">become effective until such notice shall have been withdrawn or such provision amended in accordance herewith;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any such election, once made, shall be irrevocable.</w:t>
      </w:r>
    </w:p>
    <w:p>
      <w:pPr>
        <w:spacing w:after="0" w:line="217"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If there occurs a change in GAAP and such change would cause a change in the method of calculation of any standards, terms or measures (including all computations of amounts and ratios) used in this Agreement (an “</w:t>
      </w:r>
      <w:r>
        <w:rPr>
          <w:rFonts w:ascii="Arial" w:cs="Arial" w:eastAsia="Arial" w:hAnsi="Arial"/>
          <w:sz w:val="18"/>
          <w:szCs w:val="18"/>
          <w:u w:val="single" w:color="auto"/>
          <w:color w:val="auto"/>
        </w:rPr>
        <w:t>Accounting Change</w:t>
      </w:r>
      <w:r>
        <w:rPr>
          <w:rFonts w:ascii="Arial" w:cs="Arial" w:eastAsia="Arial" w:hAnsi="Arial"/>
          <w:sz w:val="18"/>
          <w:szCs w:val="18"/>
          <w:color w:val="auto"/>
        </w:rPr>
        <w:t>”), then the Borrower may elect that such standards, terms or measures shall be calculated as if such Accounting Change had not occurred.</w:t>
      </w:r>
    </w:p>
    <w:p>
      <w:pPr>
        <w:spacing w:after="0" w:line="179"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 Intercompany Note</w:t>
      </w:r>
      <w:r>
        <w:rPr>
          <w:rFonts w:ascii="Arial" w:cs="Arial" w:eastAsia="Arial" w:hAnsi="Arial"/>
          <w:sz w:val="20"/>
          <w:szCs w:val="20"/>
          <w:color w:val="auto"/>
        </w:rPr>
        <w:t>” collectively, (a) that certain Global Intercompany Note and Subordination Agreement, dated as of the Closing Date, by and among Holdings, the Borrower and the other Restricted Subsidiaries party thereto and (b) each other supplement delivered in connection therewith.</w:t>
      </w:r>
    </w:p>
    <w:p>
      <w:pPr>
        <w:spacing w:after="0" w:line="30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Goldman Sachs</w:t>
      </w:r>
      <w:r>
        <w:rPr>
          <w:rFonts w:ascii="Arial" w:cs="Arial" w:eastAsia="Arial" w:hAnsi="Arial"/>
          <w:sz w:val="20"/>
          <w:szCs w:val="20"/>
          <w:color w:val="auto"/>
        </w:rPr>
        <w:t>” has the meaning specified in the introductory paragraph to this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Agreement.</w:t>
      </w:r>
    </w:p>
    <w:p>
      <w:pPr>
        <w:spacing w:after="0" w:line="308"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any other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(includes any supra-national bodies such as the European Union or the European Central Bank).</w:t>
      </w:r>
    </w:p>
    <w:p>
      <w:pPr>
        <w:spacing w:after="0" w:line="235"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10.07(h)</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any obligation, contingent or otherwise, of any Person directly or indirectly guaranteeing any</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Indebtedness of any other Person, including any such obligation, direct or indirect, contingent or otherwise, of such Person:</w:t>
      </w:r>
    </w:p>
    <w:p>
      <w:pPr>
        <w:spacing w:after="0" w:line="240" w:lineRule="exact"/>
        <w:rPr>
          <w:sz w:val="20"/>
          <w:szCs w:val="20"/>
          <w:color w:val="auto"/>
        </w:rPr>
      </w:pPr>
    </w:p>
    <w:p>
      <w:pPr>
        <w:jc w:val="both"/>
        <w:ind w:left="780" w:firstLine="649"/>
        <w:spacing w:after="0" w:line="269" w:lineRule="auto"/>
        <w:tabs>
          <w:tab w:leader="none" w:pos="194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210" w:lineRule="exact"/>
        <w:rPr>
          <w:rFonts w:ascii="Arial" w:cs="Arial" w:eastAsia="Arial" w:hAnsi="Arial"/>
          <w:sz w:val="19"/>
          <w:szCs w:val="19"/>
          <w:color w:val="auto"/>
        </w:rPr>
      </w:pPr>
    </w:p>
    <w:p>
      <w:pPr>
        <w:ind w:left="780" w:firstLine="649"/>
        <w:spacing w:after="0" w:line="260" w:lineRule="auto"/>
        <w:tabs>
          <w:tab w:leader="none" w:pos="194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entered into primarily for purposes of assuring in any other manner the obligee of such Indebtedness of the payment thereof or to protect such obligee against loss in respect thereof (in whole or in part);</w:t>
      </w:r>
    </w:p>
    <w:p>
      <w:pPr>
        <w:spacing w:after="0" w:line="204"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“Guarantee” will not include (x) endorsements for collection or deposit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course of business or consistent with past practice and (y) standard contractual indemnities or product warranties provided in the ordinary course of business,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amount of any Guarantee shall be deemed to be the lower of (i) an amount equal to the stated or determinable amount of the primary obligation in respect of which such Guarantee is made and</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-88-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hanging="6"/>
        <w:spacing w:after="0" w:line="250" w:lineRule="auto"/>
        <w:tabs>
          <w:tab w:leader="none" w:pos="64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-89-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00"/>
        <w:spacing w:after="0" w:line="260" w:lineRule="auto"/>
        <w:rPr>
          <w:sz w:val="20"/>
          <w:szCs w:val="20"/>
          <w:color w:val="auto"/>
        </w:rPr>
      </w:pPr>
      <w:r>
        <w:rPr>
          <w:rFonts w:ascii="Arial" w:cs="Arial" w:eastAsia="Arial" w:hAnsi="Arial"/>
          <w:sz w:val="20"/>
          <w:szCs w:val="20"/>
          <w:color w:val="auto"/>
        </w:rPr>
        <w:t>such guaranteeing Person’s maximum reasonably anticipated liability in respect thereof as determined by such Person in good faith. The term “Guarantee” used as a verb has a corresponding meaning.</w:t>
      </w:r>
    </w:p>
    <w:p>
      <w:pPr>
        <w:spacing w:after="0" w:line="217" w:lineRule="exact"/>
        <w:rPr>
          <w:sz w:val="20"/>
          <w:szCs w:val="20"/>
          <w:color w:val="auto"/>
        </w:rPr>
      </w:pPr>
    </w:p>
    <w:p>
      <w:pPr>
        <w:jc w:val="both"/>
        <w:ind w:left="14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specified in the definition of “Collateral and Guarantee Requirement.” For avoidance of doubt, the Borrower in its sole discretion may cause any Restricted Subsidiary that is not a Guarantor to Guarantee the Secured Obligations by causing such Restricted Subsidiary to execute and deliver to the Administrative Agent a Guaranty Supplement (as defined in the Guaranty and to satisfy the Collateral and Guarantee Requirement), and any such Restricted Subsidiary shall thereafter be a Guarantor, Loan Party and Subsidiary Guarantor (and not an Excluded Subsidiary) hereunder for all purposes;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Restricted Subsidiary is not organized in an existing Covered Jurisdiction, the jurisdiction or organization of such Restricted Subsidiary shall be reasonably satisfactory to the Collateral Agent including taking into account imposition of fiduciary duties and/or if acting as Collateral Agent or entering into Loan Documents with Subsidiaries in such jurisdiction is prohibited by applicable Law or would expose the Collateral Agent, in its capacity as such, to material additional liabilities or political risk.</w:t>
      </w:r>
    </w:p>
    <w:p>
      <w:pPr>
        <w:spacing w:after="0" w:line="197" w:lineRule="exact"/>
        <w:rPr>
          <w:sz w:val="20"/>
          <w:szCs w:val="20"/>
          <w:color w:val="auto"/>
        </w:rPr>
      </w:pPr>
    </w:p>
    <w:p>
      <w:pPr>
        <w:ind w:left="140" w:right="25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collectively, (a) the Guaranty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and (b) each other guaranty and guaranty supplement delivered pursuant to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260"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other chemicals, pollutants, contaminants, substances or wastes of any nature regulated pursuant to any Environmental Law due to their dangerous or deleterious properties or characteristics, including petroleum or petroleum distillates, friable asbestos or asbestos-containing materials, polychlorinated biphenyls, radon gas and toxic mold.</w:t>
      </w:r>
    </w:p>
    <w:p>
      <w:pPr>
        <w:spacing w:after="0" w:line="232" w:lineRule="exact"/>
        <w:rPr>
          <w:sz w:val="20"/>
          <w:szCs w:val="20"/>
          <w:color w:val="auto"/>
        </w:rPr>
      </w:pPr>
    </w:p>
    <w:p>
      <w:pPr>
        <w:jc w:val="both"/>
        <w:ind w:left="140"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(x) any Person that is a Lender, an Agent or an Affiliate of the foregoing on the Closing Date, or at the time it enters into a Swap Contract with a Loan Party or any Restricted Subsidiary and (y) any other Person designated by the Borrower with notice to the Administrative Agent that enters into a Swap Contract with a Loan Party or any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in favor of the Agents, in each case, pursuant to a writing substantially in the form of Exhibit O or otherwise reasonably satisfactory to the Borrower and the Administrative Agent.</w:t>
      </w:r>
    </w:p>
    <w:p>
      <w:pPr>
        <w:spacing w:after="0" w:line="237"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203" w:lineRule="exact"/>
        <w:rPr>
          <w:sz w:val="20"/>
          <w:szCs w:val="20"/>
          <w:color w:val="auto"/>
        </w:rPr>
      </w:pPr>
    </w:p>
    <w:p>
      <w:pPr>
        <w:jc w:val="both"/>
        <w:ind w:left="140"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 Company</w:t>
      </w:r>
      <w:r>
        <w:rPr>
          <w:rFonts w:ascii="Arial" w:cs="Arial" w:eastAsia="Arial" w:hAnsi="Arial"/>
          <w:sz w:val="19"/>
          <w:szCs w:val="19"/>
          <w:color w:val="auto"/>
        </w:rPr>
        <w:t>” means any Person so long as such Person directly or indirectly holds 100% of the total voting power of the Voting Stock of Holdings,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-90-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-91-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has the meaning specified in the introductory paragraph to this Agreement.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337" w:lineRule="exact"/>
        <w:rPr>
          <w:sz w:val="20"/>
          <w:szCs w:val="20"/>
          <w:color w:val="auto"/>
        </w:rPr>
      </w:pPr>
    </w:p>
    <w:p>
      <w:pPr>
        <w:jc w:val="both"/>
        <w:ind w:left="140" w:firstLine="1345"/>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each Restricted Subsidiary of the Borrower that (i) has not guaranteed any other Indebtedness of the Borrower and (ii) has Total Assets and total revenues of less than 5.0% of Total Assets and, together with all other Borrower Subsidiaries (as determined in accordance with GAAP), has Total Assets and total revenues of less than 10.0% of Total Assets, in each case, measured at the end of the most recent fiscal period for which consolidated financial statements are available (which may be internal consolidated financial statements) and revenues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212"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Immediate Family Members</w:t>
      </w:r>
      <w:r>
        <w:rPr>
          <w:rFonts w:ascii="Arial" w:cs="Arial" w:eastAsia="Arial" w:hAnsi="Arial"/>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23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7.01(b)</w:t>
      </w:r>
      <w:r>
        <w:rPr>
          <w:rFonts w:ascii="Arial" w:cs="Arial" w:eastAsia="Arial" w:hAnsi="Arial"/>
          <w:sz w:val="20"/>
          <w:szCs w:val="20"/>
          <w:color w:val="auto"/>
        </w:rPr>
        <w:t>.</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Incurrence Test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 (a)</w:t>
      </w:r>
      <w:r>
        <w:rPr>
          <w:rFonts w:ascii="Arial" w:cs="Arial" w:eastAsia="Arial" w:hAnsi="Arial"/>
          <w:sz w:val="20"/>
          <w:szCs w:val="20"/>
          <w:color w:val="auto"/>
        </w:rPr>
        <w:t>.</w:t>
      </w:r>
    </w:p>
    <w:p>
      <w:pPr>
        <w:spacing w:after="0" w:line="324" w:lineRule="exact"/>
        <w:rPr>
          <w:sz w:val="20"/>
          <w:szCs w:val="20"/>
          <w:color w:val="auto"/>
        </w:rPr>
      </w:pPr>
    </w:p>
    <w:p>
      <w:pPr>
        <w:ind w:left="1440"/>
        <w:spacing w:after="0"/>
        <w:tabs>
          <w:tab w:leader="none" w:pos="2640" w:val="left"/>
          <w:tab w:leader="none" w:pos="3660" w:val="left"/>
          <w:tab w:leader="none" w:pos="4360" w:val="left"/>
          <w:tab w:leader="none" w:pos="5760" w:val="left"/>
          <w:tab w:leader="none" w:pos="6220" w:val="left"/>
          <w:tab w:leader="none" w:pos="6660" w:val="left"/>
          <w:tab w:leader="none" w:pos="7540" w:val="left"/>
          <w:tab w:leader="none" w:pos="846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w:t>
      </w:r>
      <w:r>
        <w:rPr>
          <w:sz w:val="20"/>
          <w:szCs w:val="20"/>
          <w:color w:val="auto"/>
        </w:rPr>
        <w:tab/>
      </w:r>
      <w:r>
        <w:rPr>
          <w:rFonts w:ascii="Arial" w:cs="Arial" w:eastAsia="Arial" w:hAnsi="Arial"/>
          <w:sz w:val="20"/>
          <w:szCs w:val="20"/>
          <w:u w:val="single" w:color="auto"/>
          <w:color w:val="auto"/>
        </w:rPr>
        <w:t>Revolving</w:t>
        <w:tab/>
        <w:t>Credit</w:t>
        <w:tab/>
        <w:t>Commitments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has</w:t>
        <w:tab/>
        <w:t>the</w:t>
        <w:tab/>
        <w:t>meaning</w:t>
        <w:tab/>
        <w:t>specified</w:t>
      </w:r>
      <w:r>
        <w:rPr>
          <w:sz w:val="20"/>
          <w:szCs w:val="20"/>
          <w:color w:val="auto"/>
        </w:rPr>
        <w:tab/>
      </w:r>
      <w:r>
        <w:rPr>
          <w:rFonts w:ascii="Arial" w:cs="Arial" w:eastAsia="Arial" w:hAnsi="Arial"/>
          <w:sz w:val="16"/>
          <w:szCs w:val="16"/>
          <w:color w:val="auto"/>
        </w:rPr>
        <w:t>in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Section 2.14(e)</w:t>
      </w:r>
      <w:r>
        <w:rPr>
          <w:rFonts w:ascii="Arial" w:cs="Arial" w:eastAsia="Arial" w:hAnsi="Arial"/>
          <w:sz w:val="20"/>
          <w:szCs w:val="20"/>
          <w:color w:val="auto"/>
        </w:rPr>
        <w:t>.</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Incur</w:t>
      </w:r>
      <w:r>
        <w:rPr>
          <w:rFonts w:ascii="Arial" w:cs="Arial" w:eastAsia="Arial" w:hAnsi="Arial"/>
          <w:sz w:val="20"/>
          <w:szCs w:val="20"/>
          <w:color w:val="auto"/>
        </w:rPr>
        <w:t xml:space="preserve">” means issue, create, assume, enter into any Guarantee of, incur, extend or otherwise become liable 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Indebtedness or Capital Stock of a Person existing at the time such Person becomes a Restricted Subsidiary (whether by</w:t>
      </w:r>
      <w:r>
        <w:rPr>
          <w:rFonts w:ascii="Arial" w:cs="Arial" w:eastAsia="Arial" w:hAnsi="Arial"/>
          <w:sz w:val="20"/>
          <w:szCs w:val="20"/>
          <w:i w:val="1"/>
          <w:iCs w:val="1"/>
          <w:color w:val="auto"/>
        </w:rPr>
        <w:t xml:space="preserve"> </w:t>
      </w:r>
      <w:r>
        <w:rPr>
          <w:rFonts w:ascii="Arial" w:cs="Arial" w:eastAsia="Arial" w:hAnsi="Arial"/>
          <w:sz w:val="20"/>
          <w:szCs w:val="20"/>
          <w:color w:val="auto"/>
        </w:rPr>
        <w:t>merger, amalgamation, consolidation, acquisition or otherwise) will be deemed to be Incurred by such Restricted Subsidiary at the time it becomes a Restricted Subsidiary and the terms “Incurred,” “</w:t>
      </w:r>
      <w:r>
        <w:rPr>
          <w:rFonts w:ascii="Arial" w:cs="Arial" w:eastAsia="Arial" w:hAnsi="Arial"/>
          <w:sz w:val="20"/>
          <w:szCs w:val="20"/>
          <w:u w:val="single" w:color="auto"/>
          <w:color w:val="auto"/>
        </w:rPr>
        <w:t>Incurring</w:t>
      </w:r>
      <w:r>
        <w:rPr>
          <w:rFonts w:ascii="Arial" w:cs="Arial" w:eastAsia="Arial" w:hAnsi="Arial"/>
          <w:sz w:val="20"/>
          <w:szCs w:val="20"/>
          <w:color w:val="auto"/>
        </w:rPr>
        <w:t>” and “</w:t>
      </w:r>
      <w:r>
        <w:rPr>
          <w:rFonts w:ascii="Arial" w:cs="Arial" w:eastAsia="Arial" w:hAnsi="Arial"/>
          <w:sz w:val="20"/>
          <w:szCs w:val="20"/>
          <w:u w:val="single" w:color="auto"/>
          <w:color w:val="auto"/>
        </w:rPr>
        <w:t>Incurrence</w:t>
      </w:r>
      <w:r>
        <w:rPr>
          <w:rFonts w:ascii="Arial" w:cs="Arial" w:eastAsia="Arial" w:hAnsi="Arial"/>
          <w:sz w:val="20"/>
          <w:szCs w:val="20"/>
          <w:color w:val="auto"/>
        </w:rPr>
        <w:t>” have meanings correlative to the foregoing and any Indebtedness pursuant to any revolving credit or similar facility shall only be “Incurred” at the time any funds are borrowed thereunder.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-92-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17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on any date of determination (without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duplication):</w:t>
      </w:r>
    </w:p>
    <w:p>
      <w:pPr>
        <w:spacing w:after="0" w:line="308" w:lineRule="exact"/>
        <w:rPr>
          <w:sz w:val="20"/>
          <w:szCs w:val="20"/>
          <w:color w:val="auto"/>
        </w:rPr>
      </w:pPr>
    </w:p>
    <w:p>
      <w:pPr>
        <w:ind w:left="2080" w:hanging="755"/>
        <w:spacing w:after="0"/>
        <w:tabs>
          <w:tab w:leader="none" w:pos="20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principal of indebtedness of such Person for borrowed money;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-93-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40" w:hanging="616"/>
        <w:spacing w:after="0"/>
        <w:tabs>
          <w:tab w:leader="none" w:pos="19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principal of obligations of such Person evidenced by bonds, debentures, notes or other similar instruments;</w:t>
      </w:r>
    </w:p>
    <w:p>
      <w:pPr>
        <w:spacing w:after="0" w:line="279" w:lineRule="exact"/>
        <w:rPr>
          <w:rFonts w:ascii="Arial" w:cs="Arial" w:eastAsia="Arial" w:hAnsi="Arial"/>
          <w:sz w:val="18"/>
          <w:szCs w:val="18"/>
          <w:color w:val="auto"/>
        </w:rPr>
      </w:pPr>
    </w:p>
    <w:p>
      <w:pPr>
        <w:jc w:val="both"/>
        <w:ind w:left="780" w:firstLine="490"/>
        <w:spacing w:after="0" w:line="244" w:lineRule="auto"/>
        <w:tabs>
          <w:tab w:leader="none" w:pos="1940" w:val="left"/>
        </w:tabs>
        <w:numPr>
          <w:ilvl w:val="2"/>
          <w:numId w:val="116"/>
        </w:numPr>
        <w:rPr>
          <w:rFonts w:ascii="Arial" w:cs="Arial" w:eastAsia="Arial" w:hAnsi="Arial"/>
          <w:sz w:val="20"/>
          <w:szCs w:val="20"/>
          <w:color w:val="auto"/>
        </w:rPr>
      </w:pPr>
      <w:r>
        <w:rPr>
          <w:rFonts w:ascii="Arial" w:cs="Arial" w:eastAsia="Arial" w:hAnsi="Arial"/>
          <w:sz w:val="20"/>
          <w:szCs w:val="20"/>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221" w:lineRule="exact"/>
        <w:rPr>
          <w:rFonts w:ascii="Arial" w:cs="Arial" w:eastAsia="Arial" w:hAnsi="Arial"/>
          <w:sz w:val="20"/>
          <w:szCs w:val="20"/>
          <w:color w:val="auto"/>
        </w:rPr>
      </w:pPr>
    </w:p>
    <w:p>
      <w:pPr>
        <w:jc w:val="both"/>
        <w:ind w:left="780" w:firstLine="435"/>
        <w:spacing w:after="0" w:line="291" w:lineRule="auto"/>
        <w:tabs>
          <w:tab w:leader="none" w:pos="19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192" w:lineRule="exact"/>
        <w:rPr>
          <w:rFonts w:ascii="Arial" w:cs="Arial" w:eastAsia="Arial" w:hAnsi="Arial"/>
          <w:sz w:val="18"/>
          <w:szCs w:val="18"/>
          <w:color w:val="auto"/>
        </w:rPr>
      </w:pPr>
    </w:p>
    <w:p>
      <w:pPr>
        <w:ind w:left="2060" w:hanging="834"/>
        <w:spacing w:after="0"/>
        <w:tabs>
          <w:tab w:leader="none" w:pos="206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Capitalized Lease Obligations of such Person;</w:t>
      </w:r>
    </w:p>
    <w:p>
      <w:pPr>
        <w:spacing w:after="0" w:line="256" w:lineRule="exact"/>
        <w:rPr>
          <w:rFonts w:ascii="Arial" w:cs="Arial" w:eastAsia="Arial" w:hAnsi="Arial"/>
          <w:sz w:val="20"/>
          <w:szCs w:val="20"/>
          <w:color w:val="auto"/>
        </w:rPr>
      </w:pPr>
    </w:p>
    <w:p>
      <w:pPr>
        <w:jc w:val="both"/>
        <w:ind w:left="780" w:firstLine="501"/>
        <w:spacing w:after="0" w:line="250" w:lineRule="auto"/>
        <w:tabs>
          <w:tab w:leader="none" w:pos="192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212" w:lineRule="exact"/>
        <w:rPr>
          <w:rFonts w:ascii="Arial" w:cs="Arial" w:eastAsia="Arial" w:hAnsi="Arial"/>
          <w:sz w:val="20"/>
          <w:szCs w:val="20"/>
          <w:color w:val="auto"/>
        </w:rPr>
      </w:pPr>
    </w:p>
    <w:p>
      <w:pPr>
        <w:jc w:val="both"/>
        <w:ind w:left="780" w:firstLine="446"/>
        <w:spacing w:after="0" w:line="306" w:lineRule="auto"/>
        <w:tabs>
          <w:tab w:leader="none" w:pos="194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 xml:space="preserve">the principal component of all Indebtedness of other Persons secured by a Lien on any asset of such Person, whether or not such Indebtedness is assumed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 of such Indebtedness will be the lesser of (a) the fair market value of such asset at such date of determination (as determined in good faith by the Borrower) and</w:t>
      </w:r>
    </w:p>
    <w:p>
      <w:pPr>
        <w:ind w:left="1060" w:hanging="277"/>
        <w:spacing w:after="0"/>
        <w:tabs>
          <w:tab w:leader="none" w:pos="10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amount of such Indebtedness of such other Persons;</w:t>
      </w:r>
    </w:p>
    <w:p>
      <w:pPr>
        <w:spacing w:after="0" w:line="240" w:lineRule="exact"/>
        <w:rPr>
          <w:rFonts w:ascii="Arial" w:cs="Arial" w:eastAsia="Arial" w:hAnsi="Arial"/>
          <w:sz w:val="20"/>
          <w:szCs w:val="20"/>
          <w:color w:val="auto"/>
        </w:rPr>
      </w:pPr>
    </w:p>
    <w:p>
      <w:pPr>
        <w:ind w:left="1940" w:hanging="768"/>
        <w:spacing w:after="0"/>
        <w:tabs>
          <w:tab w:leader="none" w:pos="19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Guarantees by such Person of the principal component of Indebtedness of the type referred to in clauses (1), (2),</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(3), (4), (5) and (9) hereof of other Persons to the extent guaranteed by such Person; and</w:t>
      </w:r>
    </w:p>
    <w:p>
      <w:pPr>
        <w:spacing w:after="0" w:line="240" w:lineRule="exact"/>
        <w:rPr>
          <w:rFonts w:ascii="Arial" w:cs="Arial" w:eastAsia="Arial" w:hAnsi="Arial"/>
          <w:sz w:val="18"/>
          <w:szCs w:val="18"/>
          <w:color w:val="auto"/>
        </w:rPr>
      </w:pPr>
    </w:p>
    <w:p>
      <w:pPr>
        <w:jc w:val="both"/>
        <w:ind w:left="780" w:firstLine="336"/>
        <w:spacing w:after="0" w:line="291" w:lineRule="auto"/>
        <w:tabs>
          <w:tab w:leader="none" w:pos="19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79"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226" w:lineRule="exact"/>
        <w:rPr>
          <w:sz w:val="20"/>
          <w:szCs w:val="20"/>
          <w:color w:val="auto"/>
        </w:rPr>
      </w:pPr>
    </w:p>
    <w:p>
      <w:pPr>
        <w:jc w:val="both"/>
        <w:ind w:left="140" w:firstLine="1295"/>
        <w:spacing w:after="0" w:line="274" w:lineRule="auto"/>
        <w:rPr>
          <w:sz w:val="20"/>
          <w:szCs w:val="20"/>
          <w:color w:val="auto"/>
        </w:rPr>
      </w:pPr>
      <w:r>
        <w:rPr>
          <w:rFonts w:ascii="Arial" w:cs="Arial" w:eastAsia="Arial" w:hAnsi="Arial"/>
          <w:sz w:val="18"/>
          <w:szCs w:val="18"/>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-94-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-95-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Notwithstanding the foregoing, in no event shall the following constitute Indebtedness:</w:t>
      </w:r>
    </w:p>
    <w:p>
      <w:pPr>
        <w:spacing w:after="0" w:line="256" w:lineRule="exact"/>
        <w:rPr>
          <w:sz w:val="20"/>
          <w:szCs w:val="20"/>
          <w:color w:val="auto"/>
        </w:rPr>
      </w:pPr>
    </w:p>
    <w:p>
      <w:pPr>
        <w:ind w:left="780" w:right="500" w:firstLine="787"/>
        <w:spacing w:after="0" w:line="260" w:lineRule="auto"/>
        <w:tabs>
          <w:tab w:leader="none" w:pos="1942" w:val="left"/>
        </w:tabs>
        <w:numPr>
          <w:ilvl w:val="4"/>
          <w:numId w:val="119"/>
        </w:numPr>
        <w:rPr>
          <w:rFonts w:ascii="Arial" w:cs="Arial" w:eastAsia="Arial" w:hAnsi="Arial"/>
          <w:sz w:val="20"/>
          <w:szCs w:val="20"/>
          <w:color w:val="auto"/>
        </w:rPr>
      </w:pPr>
      <w:r>
        <w:rPr>
          <w:rFonts w:ascii="Arial" w:cs="Arial" w:eastAsia="Arial" w:hAnsi="Arial"/>
          <w:sz w:val="20"/>
          <w:szCs w:val="20"/>
          <w:color w:val="auto"/>
        </w:rPr>
        <w:t>Contingent Obligations Incurred in the ordinary course of business or consistent with past practice, other than Guarantees or other assumptions of Indebtedness;</w:t>
      </w:r>
    </w:p>
    <w:p>
      <w:pPr>
        <w:spacing w:after="0" w:line="203" w:lineRule="exact"/>
        <w:rPr>
          <w:rFonts w:ascii="Arial" w:cs="Arial" w:eastAsia="Arial" w:hAnsi="Arial"/>
          <w:sz w:val="20"/>
          <w:szCs w:val="20"/>
          <w:color w:val="auto"/>
        </w:rPr>
      </w:pPr>
    </w:p>
    <w:p>
      <w:pPr>
        <w:ind w:left="2080" w:hanging="569"/>
        <w:spacing w:after="0"/>
        <w:tabs>
          <w:tab w:leader="none" w:pos="2080" w:val="left"/>
        </w:tabs>
        <w:numPr>
          <w:ilvl w:val="2"/>
          <w:numId w:val="120"/>
        </w:numPr>
        <w:rPr>
          <w:rFonts w:ascii="Arial" w:cs="Arial" w:eastAsia="Arial" w:hAnsi="Arial"/>
          <w:sz w:val="20"/>
          <w:szCs w:val="20"/>
          <w:color w:val="auto"/>
        </w:rPr>
      </w:pPr>
      <w:r>
        <w:rPr>
          <w:rFonts w:ascii="Arial" w:cs="Arial" w:eastAsia="Arial" w:hAnsi="Arial"/>
          <w:sz w:val="20"/>
          <w:szCs w:val="20"/>
          <w:color w:val="auto"/>
        </w:rPr>
        <w:t>Cash Management Obligations;</w:t>
      </w:r>
    </w:p>
    <w:p>
      <w:pPr>
        <w:spacing w:after="0" w:line="256" w:lineRule="exact"/>
        <w:rPr>
          <w:rFonts w:ascii="Arial" w:cs="Arial" w:eastAsia="Arial" w:hAnsi="Arial"/>
          <w:sz w:val="20"/>
          <w:szCs w:val="20"/>
          <w:color w:val="auto"/>
        </w:rPr>
      </w:pPr>
    </w:p>
    <w:p>
      <w:pPr>
        <w:jc w:val="both"/>
        <w:ind w:left="780" w:firstLine="676"/>
        <w:spacing w:after="0" w:line="291" w:lineRule="auto"/>
        <w:tabs>
          <w:tab w:leader="none" w:pos="19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lease, concession or license of property (or Guarantee thereof) which would be considered an operating lease under GAAP as in effect on December 31, 2018, Non-Financing Lease Obligations, Sale and Leaseback Transactions or any prepayments of deposits received from clients or customers in the ordinary course of business or consistent with past practice;</w:t>
      </w:r>
    </w:p>
    <w:p>
      <w:pPr>
        <w:spacing w:after="0" w:line="192" w:lineRule="exact"/>
        <w:rPr>
          <w:rFonts w:ascii="Arial" w:cs="Arial" w:eastAsia="Arial" w:hAnsi="Arial"/>
          <w:sz w:val="18"/>
          <w:szCs w:val="18"/>
          <w:color w:val="auto"/>
        </w:rPr>
      </w:pPr>
    </w:p>
    <w:p>
      <w:pPr>
        <w:ind w:left="780" w:firstLine="687"/>
        <w:spacing w:after="0" w:line="260" w:lineRule="auto"/>
        <w:tabs>
          <w:tab w:leader="none" w:pos="1938" w:val="left"/>
        </w:tabs>
        <w:numPr>
          <w:ilvl w:val="1"/>
          <w:numId w:val="121"/>
        </w:numPr>
        <w:rPr>
          <w:rFonts w:ascii="Arial" w:cs="Arial" w:eastAsia="Arial" w:hAnsi="Arial"/>
          <w:sz w:val="20"/>
          <w:szCs w:val="20"/>
          <w:color w:val="auto"/>
        </w:rPr>
      </w:pPr>
      <w:r>
        <w:rPr>
          <w:rFonts w:ascii="Arial" w:cs="Arial" w:eastAsia="Arial" w:hAnsi="Arial"/>
          <w:sz w:val="20"/>
          <w:szCs w:val="20"/>
          <w:color w:val="auto"/>
        </w:rPr>
        <w:t>obligations under any license, permit or other approval (or Guarantees given in respect of such obligations) incurred prior to the Closing Date or in the ordinary course of business or consistent with past practice;</w:t>
      </w:r>
    </w:p>
    <w:p>
      <w:pPr>
        <w:spacing w:after="0" w:line="203" w:lineRule="exact"/>
        <w:rPr>
          <w:rFonts w:ascii="Arial" w:cs="Arial" w:eastAsia="Arial" w:hAnsi="Arial"/>
          <w:sz w:val="20"/>
          <w:szCs w:val="20"/>
          <w:color w:val="auto"/>
        </w:rPr>
      </w:pPr>
    </w:p>
    <w:p>
      <w:pPr>
        <w:jc w:val="both"/>
        <w:ind w:left="780" w:firstLine="742"/>
        <w:spacing w:after="0" w:line="260" w:lineRule="auto"/>
        <w:tabs>
          <w:tab w:leader="none" w:pos="1939" w:val="left"/>
        </w:tabs>
        <w:numPr>
          <w:ilvl w:val="3"/>
          <w:numId w:val="121"/>
        </w:numPr>
        <w:rPr>
          <w:rFonts w:ascii="Arial" w:cs="Arial" w:eastAsia="Arial" w:hAnsi="Arial"/>
          <w:sz w:val="19"/>
          <w:szCs w:val="19"/>
          <w:color w:val="auto"/>
        </w:rPr>
      </w:pPr>
      <w:r>
        <w:rPr>
          <w:rFonts w:ascii="Arial" w:cs="Arial" w:eastAsia="Arial" w:hAnsi="Arial"/>
          <w:sz w:val="19"/>
          <w:szCs w:val="19"/>
          <w:color w:val="auto"/>
        </w:rPr>
        <w:t xml:space="preserve">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at the time of closing, the amount of any such payment is not determinable and, to the extent such</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thereafter becomes fixed and determined, the amount is paid in a timely manner;</w:t>
      </w:r>
    </w:p>
    <w:p>
      <w:pPr>
        <w:spacing w:after="0" w:line="221" w:lineRule="exact"/>
        <w:rPr>
          <w:sz w:val="20"/>
          <w:szCs w:val="20"/>
          <w:color w:val="auto"/>
        </w:rPr>
      </w:pPr>
    </w:p>
    <w:p>
      <w:pPr>
        <w:jc w:val="both"/>
        <w:ind w:left="780" w:right="20" w:firstLine="687"/>
        <w:spacing w:after="0" w:line="250" w:lineRule="auto"/>
        <w:tabs>
          <w:tab w:leader="none" w:pos="1938" w:val="left"/>
        </w:tabs>
        <w:numPr>
          <w:ilvl w:val="2"/>
          <w:numId w:val="122"/>
        </w:numPr>
        <w:rPr>
          <w:rFonts w:ascii="Arial" w:cs="Arial" w:eastAsia="Arial" w:hAnsi="Arial"/>
          <w:sz w:val="20"/>
          <w:szCs w:val="20"/>
          <w:color w:val="auto"/>
        </w:rPr>
      </w:pPr>
      <w:r>
        <w:rPr>
          <w:rFonts w:ascii="Arial" w:cs="Arial" w:eastAsia="Arial" w:hAnsi="Arial"/>
          <w:sz w:val="20"/>
          <w:szCs w:val="20"/>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226" w:lineRule="exact"/>
        <w:rPr>
          <w:rFonts w:ascii="Arial" w:cs="Arial" w:eastAsia="Arial" w:hAnsi="Arial"/>
          <w:sz w:val="20"/>
          <w:szCs w:val="20"/>
          <w:color w:val="auto"/>
        </w:rPr>
      </w:pPr>
    </w:p>
    <w:p>
      <w:pPr>
        <w:ind w:left="1960" w:hanging="549"/>
        <w:spacing w:after="0"/>
        <w:tabs>
          <w:tab w:leader="none" w:pos="196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obligations under or in respect of Qualified Securitization Financing or Receivables Facilities;</w:t>
      </w:r>
    </w:p>
    <w:p>
      <w:pPr>
        <w:spacing w:after="0" w:line="242" w:lineRule="exact"/>
        <w:rPr>
          <w:rFonts w:ascii="Arial" w:cs="Arial" w:eastAsia="Arial" w:hAnsi="Arial"/>
          <w:sz w:val="20"/>
          <w:szCs w:val="20"/>
          <w:color w:val="auto"/>
        </w:rPr>
      </w:pPr>
    </w:p>
    <w:p>
      <w:pPr>
        <w:ind w:left="1960" w:hanging="603"/>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deferred obligations owing to the Permitted Holders pursuant to management agreements in effect on the Closing</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40" w:lineRule="exact"/>
        <w:rPr>
          <w:rFonts w:ascii="Arial" w:cs="Arial" w:eastAsia="Arial" w:hAnsi="Arial"/>
          <w:sz w:val="18"/>
          <w:szCs w:val="18"/>
          <w:color w:val="auto"/>
        </w:rPr>
      </w:pPr>
    </w:p>
    <w:p>
      <w:pPr>
        <w:ind w:left="780" w:right="20" w:firstLine="688"/>
        <w:spacing w:after="0" w:line="260" w:lineRule="auto"/>
        <w:tabs>
          <w:tab w:leader="none" w:pos="1938" w:val="left"/>
        </w:tabs>
        <w:numPr>
          <w:ilvl w:val="2"/>
          <w:numId w:val="124"/>
        </w:numPr>
        <w:rPr>
          <w:rFonts w:ascii="Arial" w:cs="Arial" w:eastAsia="Arial" w:hAnsi="Arial"/>
          <w:sz w:val="20"/>
          <w:szCs w:val="20"/>
          <w:color w:val="auto"/>
        </w:rPr>
      </w:pPr>
      <w:r>
        <w:rPr>
          <w:rFonts w:ascii="Arial" w:cs="Arial" w:eastAsia="Arial" w:hAnsi="Arial"/>
          <w:sz w:val="20"/>
          <w:szCs w:val="20"/>
          <w:color w:val="auto"/>
        </w:rPr>
        <w:t>Indebtedness of any Parent Entity appearing on the balance sheet of the Borrower solely by reason of push down accounting under GAAP;</w:t>
      </w:r>
    </w:p>
    <w:p>
      <w:pPr>
        <w:spacing w:after="0" w:line="217" w:lineRule="exact"/>
        <w:rPr>
          <w:rFonts w:ascii="Arial" w:cs="Arial" w:eastAsia="Arial" w:hAnsi="Arial"/>
          <w:sz w:val="20"/>
          <w:szCs w:val="20"/>
          <w:color w:val="auto"/>
        </w:rPr>
      </w:pPr>
    </w:p>
    <w:p>
      <w:pPr>
        <w:ind w:left="780" w:firstLine="743"/>
        <w:spacing w:after="0" w:line="260" w:lineRule="auto"/>
        <w:tabs>
          <w:tab w:leader="none" w:pos="1943" w:val="left"/>
        </w:tabs>
        <w:numPr>
          <w:ilvl w:val="3"/>
          <w:numId w:val="124"/>
        </w:numPr>
        <w:rPr>
          <w:rFonts w:ascii="Arial" w:cs="Arial" w:eastAsia="Arial" w:hAnsi="Arial"/>
          <w:sz w:val="20"/>
          <w:szCs w:val="20"/>
          <w:color w:val="auto"/>
        </w:rPr>
      </w:pPr>
      <w:r>
        <w:rPr>
          <w:rFonts w:ascii="Arial" w:cs="Arial" w:eastAsia="Arial" w:hAnsi="Arial"/>
          <w:sz w:val="20"/>
          <w:szCs w:val="20"/>
          <w:color w:val="auto"/>
        </w:rPr>
        <w:t>Capital Stock (other than in the case of clause (6) above, Disqualified Stock or Preferred Stock of a Restricted Subsidiary); or</w:t>
      </w:r>
    </w:p>
    <w:p>
      <w:pPr>
        <w:spacing w:after="0" w:line="204" w:lineRule="exact"/>
        <w:rPr>
          <w:sz w:val="20"/>
          <w:szCs w:val="20"/>
          <w:color w:val="auto"/>
        </w:rPr>
      </w:pPr>
    </w:p>
    <w:p>
      <w:pPr>
        <w:jc w:val="both"/>
        <w:ind w:left="780" w:firstLine="687"/>
        <w:spacing w:after="0" w:line="269" w:lineRule="auto"/>
        <w:tabs>
          <w:tab w:leader="none" w:pos="193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hereof.</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-96-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6" w:name="page227"/>
    <w:bookmarkEnd w:id="22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all Taxes, other than Excluded Taxes, imposed on or in respect of any payment made by or on account of any Loan Party under any Loan Document and (b) to the extent not otherwise described in (a), Other Taxes.</w:t>
      </w:r>
    </w:p>
    <w:p>
      <w:pPr>
        <w:spacing w:after="0" w:line="15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-97-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7" w:name="page228"/>
    <w:bookmarkEnd w:id="22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Financial Advisor</w:t>
      </w:r>
      <w:r>
        <w:rPr>
          <w:rFonts w:ascii="Arial" w:cs="Arial" w:eastAsia="Arial" w:hAnsi="Arial"/>
          <w:sz w:val="20"/>
          <w:szCs w:val="20"/>
          <w:color w:val="auto"/>
        </w:rPr>
        <w:t xml:space="preserve">” means an accounting, appraisal, investment banking firm or consultant to Persons engaged in Similar Businesses of nationally recognized standing;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such firm or appraiser is not an Affiliate of the Borrower.</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10.08</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7.08(b)(xvi)</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Borrowing</w:t>
      </w:r>
      <w:r>
        <w:rPr>
          <w:rFonts w:ascii="Arial" w:cs="Arial" w:eastAsia="Arial" w:hAnsi="Arial"/>
          <w:sz w:val="19"/>
          <w:szCs w:val="19"/>
          <w:color w:val="auto"/>
        </w:rPr>
        <w:t>” means one or more borrowings of Revolving Credit Loans or issuances or deemed issuances of Letters of Credit on the Closing Date as specified in the definition of the term “Permitted Initial Revolving Borrowing.”</w:t>
      </w:r>
    </w:p>
    <w:p>
      <w:pPr>
        <w:spacing w:after="0" w:line="179"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Commitment</w:t>
      </w:r>
      <w:r>
        <w:rPr>
          <w:rFonts w:ascii="Arial" w:cs="Arial" w:eastAsia="Arial" w:hAnsi="Arial"/>
          <w:sz w:val="18"/>
          <w:szCs w:val="18"/>
          <w:color w:val="auto"/>
        </w:rPr>
        <w:t xml:space="preserve">” means, as to any Lender, its obligation to make an Initial Term Loan to the Borrower on the Closing Date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not to exceed the amount set forth opposite such Lender’s name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under the caption “Initial Term Commitment” or in the Assignment and Assumption pursuant to which such Lender becomes a party hereto, as applicable. The initial aggregate amount of the Initial Term Commitments is $575.0 million.</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at any time, any Lender that has an Initial Term Commitment or an Initial Term Loan at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such time.</w:t>
      </w:r>
    </w:p>
    <w:p>
      <w:pPr>
        <w:spacing w:after="0" w:line="240"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w:t>
      </w:r>
      <w:r>
        <w:rPr>
          <w:rFonts w:ascii="Arial" w:cs="Arial" w:eastAsia="Arial" w:hAnsi="Arial"/>
          <w:sz w:val="20"/>
          <w:szCs w:val="20"/>
          <w:color w:val="auto"/>
        </w:rPr>
        <w:t xml:space="preserve">” means (i) a Loan made pursuant to </w:t>
      </w:r>
      <w:r>
        <w:rPr>
          <w:rFonts w:ascii="Arial" w:cs="Arial" w:eastAsia="Arial" w:hAnsi="Arial"/>
          <w:sz w:val="20"/>
          <w:szCs w:val="20"/>
          <w:u w:val="single" w:color="auto"/>
          <w:color w:val="auto"/>
        </w:rPr>
        <w:t>Section 2.01(a)(i)</w:t>
      </w:r>
      <w:r>
        <w:rPr>
          <w:rFonts w:ascii="Arial" w:cs="Arial" w:eastAsia="Arial" w:hAnsi="Arial"/>
          <w:sz w:val="20"/>
          <w:szCs w:val="20"/>
          <w:color w:val="auto"/>
        </w:rPr>
        <w:t xml:space="preserve">. Initial Term Loans made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2.01(a)</w:t>
      </w:r>
      <w:r>
        <w:rPr>
          <w:rFonts w:ascii="Arial" w:cs="Arial" w:eastAsia="Arial" w:hAnsi="Arial"/>
          <w:sz w:val="20"/>
          <w:szCs w:val="20"/>
          <w:color w:val="auto"/>
        </w:rPr>
        <w:t xml:space="preserve"> on the Closing Date shall be deemed to constitute one Class of Loans for all purposes hereunder.</w:t>
      </w:r>
    </w:p>
    <w:p>
      <w:pPr>
        <w:spacing w:after="0" w:line="204"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U.S. and non-U.S. (a) patents and patent applications, (b) trademarks, service marks, trade names, trade dress, and other source identifiers, designs and domain names, (c) copyrights, (d) design rights, inventions, original works of authorship, trade secrets, confidential information, know-how and all other intellectual property rights and interests, whether registered or unregistered and (e) all registrations and applications for registration therefor.</w:t>
      </w:r>
    </w:p>
    <w:p>
      <w:pPr>
        <w:spacing w:after="0" w:line="217" w:lineRule="exact"/>
        <w:rPr>
          <w:sz w:val="20"/>
          <w:szCs w:val="20"/>
          <w:color w:val="auto"/>
        </w:rPr>
      </w:pPr>
    </w:p>
    <w:p>
      <w:pPr>
        <w:jc w:val="both"/>
        <w:ind w:left="14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License Agreement</w:t>
      </w:r>
      <w:r>
        <w:rPr>
          <w:rFonts w:ascii="Arial" w:cs="Arial" w:eastAsia="Arial" w:hAnsi="Arial"/>
          <w:sz w:val="16"/>
          <w:szCs w:val="16"/>
          <w:color w:val="auto"/>
        </w:rPr>
        <w:t>” means any cost sharing agreement, commission or royalty agreement, license or sublicense agreement, distribution agreement, services agreement, IP Rights assignment or transfer agreement, any related agreements or similar agreements, in each case where all parties to such agreement are one or more of Holdings, the Borrower or a Restricted Subsidiary.</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the ratio of (a) LTM EBITDA as of such date to (b) Consolidated Cash Interest Expense</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as of such date.</w:t>
      </w:r>
    </w:p>
    <w:p>
      <w:pPr>
        <w:spacing w:after="0" w:line="227" w:lineRule="exact"/>
        <w:rPr>
          <w:sz w:val="20"/>
          <w:szCs w:val="20"/>
          <w:color w:val="auto"/>
        </w:rPr>
      </w:pPr>
    </w:p>
    <w:p>
      <w:pPr>
        <w:jc w:val="both"/>
        <w:ind w:left="140" w:firstLine="1345"/>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Loan other than a Base Rate Loan, the last day of each Interest Period applicable to such Loan and the Maturity Date of the Facility under which such Loan was made;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Interest Period for a Eurocurrency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221"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means, as to each Eurocurrency Rate Loan, the period commencing on the date such Loan is disbursed or converted to or continued as a Eurocurrency Rate Loan and ending on</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-98-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 xml:space="preserve">the date one, two, three or six months thereafter, or to the extent agreed to by each Lender of such Eurocurrency Rate Loan, twelve months or such other period as selected by the Borrower in its Committed Loan Notice; </w:t>
      </w:r>
      <w:r>
        <w:rPr>
          <w:rFonts w:ascii="Arial" w:cs="Arial" w:eastAsia="Arial" w:hAnsi="Arial"/>
          <w:sz w:val="20"/>
          <w:szCs w:val="20"/>
          <w:i w:val="1"/>
          <w:iCs w:val="1"/>
          <w:color w:val="auto"/>
        </w:rPr>
        <w:t>provided</w:t>
      </w:r>
      <w:r>
        <w:rPr>
          <w:rFonts w:ascii="Arial" w:cs="Arial" w:eastAsia="Arial" w:hAnsi="Arial"/>
          <w:sz w:val="20"/>
          <w:szCs w:val="20"/>
          <w:color w:val="auto"/>
        </w:rPr>
        <w:t>, that: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-99-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49"/>
        <w:spacing w:after="0" w:line="250" w:lineRule="auto"/>
        <w:tabs>
          <w:tab w:leader="none" w:pos="194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226" w:lineRule="exact"/>
        <w:rPr>
          <w:rFonts w:ascii="Arial" w:cs="Arial" w:eastAsia="Arial" w:hAnsi="Arial"/>
          <w:sz w:val="20"/>
          <w:szCs w:val="20"/>
          <w:color w:val="auto"/>
        </w:rPr>
      </w:pPr>
    </w:p>
    <w:p>
      <w:pPr>
        <w:jc w:val="both"/>
        <w:ind w:left="780" w:firstLine="648"/>
        <w:spacing w:after="0" w:line="250" w:lineRule="auto"/>
        <w:tabs>
          <w:tab w:leader="none" w:pos="1941"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12" w:lineRule="exact"/>
        <w:rPr>
          <w:rFonts w:ascii="Arial" w:cs="Arial" w:eastAsia="Arial" w:hAnsi="Arial"/>
          <w:sz w:val="20"/>
          <w:szCs w:val="20"/>
          <w:color w:val="auto"/>
        </w:rPr>
      </w:pPr>
    </w:p>
    <w:p>
      <w:pPr>
        <w:ind w:left="1940" w:hanging="511"/>
        <w:spacing w:after="0"/>
        <w:tabs>
          <w:tab w:leader="none" w:pos="19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 of the Facility under which such Loan was made.</w:t>
      </w:r>
    </w:p>
    <w:p>
      <w:pPr>
        <w:spacing w:after="0" w:line="268" w:lineRule="exact"/>
        <w:rPr>
          <w:sz w:val="20"/>
          <w:szCs w:val="20"/>
          <w:color w:val="auto"/>
        </w:rPr>
      </w:pPr>
    </w:p>
    <w:p>
      <w:pPr>
        <w:ind w:left="140" w:right="260"/>
        <w:spacing w:after="0" w:line="260" w:lineRule="auto"/>
        <w:rPr>
          <w:sz w:val="20"/>
          <w:szCs w:val="20"/>
          <w:color w:val="auto"/>
        </w:rPr>
      </w:pPr>
      <w:r>
        <w:rPr>
          <w:rFonts w:ascii="Arial" w:cs="Arial" w:eastAsia="Arial" w:hAnsi="Arial"/>
          <w:sz w:val="20"/>
          <w:szCs w:val="20"/>
          <w:color w:val="auto"/>
        </w:rPr>
        <w:t>Notwithstanding the foregoing, the end of the initial Interest Period for the Term Loans following the Amendment No. 1 Effective Date shall be March 19, 2021.</w:t>
      </w:r>
    </w:p>
    <w:p>
      <w:pPr>
        <w:spacing w:after="0" w:line="217"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Intermediate Holding Company</w:t>
      </w:r>
      <w:r>
        <w:rPr>
          <w:rFonts w:ascii="Arial" w:cs="Arial" w:eastAsia="Arial" w:hAnsi="Arial"/>
          <w:sz w:val="20"/>
          <w:szCs w:val="20"/>
          <w:color w:val="auto"/>
        </w:rPr>
        <w:t>” means any wholly-owned Subsidiary of Holdings that directly or indirectly through another Intermediate Holding Company, owns 100.0% of the issued and outstanding Capital Stock of the Borrower.</w:t>
      </w:r>
    </w:p>
    <w:p>
      <w:pPr>
        <w:spacing w:after="0" w:line="204" w:lineRule="exact"/>
        <w:rPr>
          <w:sz w:val="20"/>
          <w:szCs w:val="20"/>
          <w:color w:val="auto"/>
        </w:rPr>
      </w:pPr>
    </w:p>
    <w:p>
      <w:pPr>
        <w:ind w:left="140" w:right="20" w:firstLine="1296"/>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with respect to any Person, (a) all investments by such Person in other Persons (including Affiliates) in the form of any advances, loans or other extensions of credit (excluding</w:t>
      </w:r>
    </w:p>
    <w:p>
      <w:pPr>
        <w:spacing w:after="0" w:line="2" w:lineRule="exact"/>
        <w:rPr>
          <w:sz w:val="20"/>
          <w:szCs w:val="20"/>
          <w:color w:val="auto"/>
        </w:rPr>
      </w:pPr>
    </w:p>
    <w:p>
      <w:pPr>
        <w:jc w:val="both"/>
        <w:ind w:left="140" w:hanging="7"/>
        <w:spacing w:after="0" w:line="268" w:lineRule="auto"/>
        <w:tabs>
          <w:tab w:leader="none" w:pos="6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and (b) any purchase or other acquisition (other than purchases or other acquisitions of inventory, materials and equipment in the ordinary course of business and capital expenditures), of all or substantially all of the property and assets or business of another Person or assets constituting a business unit, line of business or division of such Person; </w:t>
      </w:r>
      <w:r>
        <w:rPr>
          <w:rFonts w:ascii="Arial" w:cs="Arial" w:eastAsia="Arial" w:hAnsi="Arial"/>
          <w:sz w:val="18"/>
          <w:szCs w:val="18"/>
          <w:i w:val="1"/>
          <w:iCs w:val="1"/>
          <w:color w:val="auto"/>
        </w:rPr>
        <w:t>provided</w:t>
      </w:r>
      <w:r>
        <w:rPr>
          <w:rFonts w:ascii="Arial" w:cs="Arial" w:eastAsia="Arial" w:hAnsi="Arial"/>
          <w:sz w:val="18"/>
          <w:szCs w:val="18"/>
          <w:color w:val="auto"/>
        </w:rPr>
        <w:t>, that endorsements of negotiable instruments and documents in the ordinary course of business or consistent with past practice will not be deemed to be an Investment.</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Sections 6.13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hereof:</w:t>
      </w:r>
    </w:p>
    <w:p>
      <w:pPr>
        <w:spacing w:after="0" w:line="324" w:lineRule="exact"/>
        <w:rPr>
          <w:sz w:val="20"/>
          <w:szCs w:val="20"/>
          <w:color w:val="auto"/>
        </w:rPr>
      </w:pPr>
    </w:p>
    <w:p>
      <w:pPr>
        <w:jc w:val="both"/>
        <w:ind w:left="780" w:firstLine="650"/>
        <w:spacing w:after="0" w:line="269" w:lineRule="auto"/>
        <w:tabs>
          <w:tab w:leader="none" w:pos="194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will include the portion (proportionate to Holdings’ equity interest in a Restricted Subsidiary to be designated as an Unrestricted Subsidiary) of the fair market value of the net assets of such Restricted Subsidiary at the time that such Restricted Subsidiary is designated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a redesignation of such Subsidiary as a Restricted Subsidiary, Holdings will be deemed to continue to have a permanent “Investment” in an Unrestricted Subsidiary in an amount (if positive) equal to (a) Holdings’ “Investment” in such Subsidiary at the time of such redesignation less</w:t>
      </w:r>
    </w:p>
    <w:p>
      <w:pPr>
        <w:spacing w:after="0" w:line="3" w:lineRule="exact"/>
        <w:rPr>
          <w:rFonts w:ascii="Arial" w:cs="Arial" w:eastAsia="Arial" w:hAnsi="Arial"/>
          <w:sz w:val="18"/>
          <w:szCs w:val="18"/>
          <w:color w:val="auto"/>
        </w:rPr>
      </w:pPr>
    </w:p>
    <w:p>
      <w:pPr>
        <w:ind w:left="1060" w:hanging="278"/>
        <w:spacing w:after="0"/>
        <w:tabs>
          <w:tab w:leader="none" w:pos="10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portion (proportionate to Holdings’ equity interest in such Subsidiary) of the fair market value of the net</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-100-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assets (as determined by the Borrower in good faith) of such Subsidiary at the time that such Subsidiary is so re-designated a Restricted Subsidiary;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-101-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firstLine="649"/>
        <w:spacing w:after="0" w:line="260" w:lineRule="auto"/>
        <w:tabs>
          <w:tab w:leader="none" w:pos="19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property transferred to or from an Unrestricted Subsidiary will be valued at its fair market value at the time of such transfer, in each case as determined by the Borrower in good faith; and</w:t>
      </w:r>
    </w:p>
    <w:p>
      <w:pPr>
        <w:spacing w:after="0" w:line="217" w:lineRule="exact"/>
        <w:rPr>
          <w:rFonts w:ascii="Arial" w:cs="Arial" w:eastAsia="Arial" w:hAnsi="Arial"/>
          <w:sz w:val="20"/>
          <w:szCs w:val="20"/>
          <w:color w:val="auto"/>
        </w:rPr>
      </w:pPr>
    </w:p>
    <w:p>
      <w:pPr>
        <w:jc w:val="both"/>
        <w:ind w:left="780" w:firstLine="649"/>
        <w:spacing w:after="0" w:line="246" w:lineRule="auto"/>
        <w:tabs>
          <w:tab w:leader="none" w:pos="19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if Holdings or any Restricted Subsidiary issues, sells or otherwise disposes of Capital Stock of a Person that is a Restricted Subsidiary such that, after giving effect thereto, such Person is no longer a Restricted Subsidiary, any investment by Holdings or any Restricted Subsidiary in such Person remaining after giving effect thereto shall not be deemed to be an Investment at such time.</w:t>
      </w:r>
    </w:p>
    <w:p>
      <w:pPr>
        <w:spacing w:after="0" w:line="218" w:lineRule="exact"/>
        <w:rPr>
          <w:sz w:val="20"/>
          <w:szCs w:val="20"/>
          <w:color w:val="auto"/>
        </w:rPr>
      </w:pPr>
    </w:p>
    <w:p>
      <w:pPr>
        <w:jc w:val="both"/>
        <w:ind w:left="140" w:firstLine="648"/>
        <w:spacing w:after="0" w:line="291" w:lineRule="auto"/>
        <w:rPr>
          <w:sz w:val="20"/>
          <w:szCs w:val="20"/>
          <w:color w:val="auto"/>
        </w:rPr>
      </w:pPr>
      <w:r>
        <w:rPr>
          <w:rFonts w:ascii="Arial" w:cs="Arial" w:eastAsia="Arial" w:hAnsi="Arial"/>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Holdings or a Restricted Subsidiary in respect of such Investment to the extent such amounts do not increase any other baskets under this Agreement.</w:t>
      </w:r>
    </w:p>
    <w:p>
      <w:pPr>
        <w:spacing w:after="0" w:line="19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Securities</w:t>
      </w:r>
      <w:r>
        <w:rPr>
          <w:rFonts w:ascii="Arial" w:cs="Arial" w:eastAsia="Arial" w:hAnsi="Arial"/>
          <w:sz w:val="20"/>
          <w:szCs w:val="20"/>
          <w:color w:val="auto"/>
        </w:rPr>
        <w:t>” means:</w:t>
      </w:r>
    </w:p>
    <w:p>
      <w:pPr>
        <w:spacing w:after="0" w:line="337" w:lineRule="exact"/>
        <w:rPr>
          <w:sz w:val="20"/>
          <w:szCs w:val="20"/>
          <w:color w:val="auto"/>
        </w:rPr>
      </w:pPr>
    </w:p>
    <w:p>
      <w:pPr>
        <w:ind w:left="780" w:firstLine="649"/>
        <w:spacing w:after="0" w:line="260" w:lineRule="auto"/>
        <w:tabs>
          <w:tab w:leader="none" w:pos="19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United States or Canadian government or any agency or instrumentality thereof (other than Cash Equivalents);</w:t>
      </w:r>
    </w:p>
    <w:p>
      <w:pPr>
        <w:spacing w:after="0" w:line="203" w:lineRule="exact"/>
        <w:rPr>
          <w:rFonts w:ascii="Arial" w:cs="Arial" w:eastAsia="Arial" w:hAnsi="Arial"/>
          <w:sz w:val="20"/>
          <w:szCs w:val="20"/>
          <w:color w:val="auto"/>
        </w:rPr>
      </w:pPr>
    </w:p>
    <w:p>
      <w:pPr>
        <w:ind w:left="780" w:right="20" w:firstLine="650"/>
        <w:spacing w:after="0" w:line="316" w:lineRule="auto"/>
        <w:tabs>
          <w:tab w:leader="none" w:pos="194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170" w:lineRule="exact"/>
        <w:rPr>
          <w:rFonts w:ascii="Arial" w:cs="Arial" w:eastAsia="Arial" w:hAnsi="Arial"/>
          <w:sz w:val="18"/>
          <w:szCs w:val="18"/>
          <w:color w:val="auto"/>
        </w:rPr>
      </w:pPr>
    </w:p>
    <w:p>
      <w:pPr>
        <w:jc w:val="both"/>
        <w:ind w:left="780" w:firstLine="649"/>
        <w:spacing w:after="0" w:line="246" w:lineRule="auto"/>
        <w:tabs>
          <w:tab w:leader="none" w:pos="19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Holdings and its Subsidiaries;</w:t>
      </w:r>
    </w:p>
    <w:p>
      <w:pPr>
        <w:spacing w:after="0" w:line="231" w:lineRule="exact"/>
        <w:rPr>
          <w:rFonts w:ascii="Arial" w:cs="Arial" w:eastAsia="Arial" w:hAnsi="Arial"/>
          <w:sz w:val="20"/>
          <w:szCs w:val="20"/>
          <w:color w:val="auto"/>
        </w:rPr>
      </w:pPr>
    </w:p>
    <w:p>
      <w:pPr>
        <w:ind w:left="780" w:firstLine="649"/>
        <w:spacing w:after="0" w:line="260" w:lineRule="auto"/>
        <w:tabs>
          <w:tab w:leader="none" w:pos="19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investments in any fund that invests exclusively in investments of the type described in clauses (1), (2) and (3) above which fund may also hold cash and Cash Equivalents pending investment or distribution; and</w:t>
      </w:r>
    </w:p>
    <w:p>
      <w:pPr>
        <w:spacing w:after="0" w:line="203" w:lineRule="exact"/>
        <w:rPr>
          <w:rFonts w:ascii="Arial" w:cs="Arial" w:eastAsia="Arial" w:hAnsi="Arial"/>
          <w:sz w:val="20"/>
          <w:szCs w:val="20"/>
          <w:color w:val="auto"/>
        </w:rPr>
      </w:pPr>
    </w:p>
    <w:p>
      <w:pPr>
        <w:ind w:left="1940" w:hanging="511"/>
        <w:spacing w:after="0"/>
        <w:tabs>
          <w:tab w:leader="none" w:pos="194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corresponding instruments in countries other than the United States customarily utilized for high quality</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color w:val="auto"/>
        </w:rPr>
        <w:t>investments.</w:t>
      </w:r>
    </w:p>
    <w:p>
      <w:pPr>
        <w:spacing w:after="0" w:line="24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337" w:lineRule="exact"/>
        <w:rPr>
          <w:sz w:val="20"/>
          <w:szCs w:val="20"/>
          <w:color w:val="auto"/>
        </w:rPr>
      </w:pPr>
    </w:p>
    <w:p>
      <w:pPr>
        <w:jc w:val="both"/>
        <w:ind w:left="140" w:right="2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IPO</w:t>
      </w:r>
      <w:r>
        <w:rPr>
          <w:rFonts w:ascii="Arial" w:cs="Arial" w:eastAsia="Arial" w:hAnsi="Arial"/>
          <w:sz w:val="19"/>
          <w:szCs w:val="19"/>
          <w:color w:val="auto"/>
        </w:rPr>
        <w:t>” means any transaction whereby, or upon the consummation of which, a Parent Entity of Holdings’ or Holdings’ common Equity Interests are, or may thereafter be, offered or sold (whether through an initial primary underwritten public offering or otherwise) pursuant to an effective registration statement filed with the SEC in accordance with the Securities Act, or to the equivalent registration documents filed with the equivalent authority in the applicable foreign jurisdiction.</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ISDA CDS Definitions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-102-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2" w:name="page233"/>
    <w:bookmarkEnd w:id="23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-103-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Priority Indebtedness</w:t>
      </w:r>
      <w:r>
        <w:rPr>
          <w:rFonts w:ascii="Arial" w:cs="Arial" w:eastAsia="Arial" w:hAnsi="Arial"/>
          <w:sz w:val="20"/>
          <w:szCs w:val="20"/>
          <w:color w:val="auto"/>
        </w:rPr>
        <w:t>” means Indebtedness of the Borrower and/or the Guarantors that is secured by Liens on the Collateral ranking junior in priority to the Liens securing the Secured Obligations of the Borrower and/or the Guarantors as permitted by this Agreement.</w:t>
      </w:r>
    </w:p>
    <w:p>
      <w:pPr>
        <w:spacing w:after="0" w:line="29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JV Entity</w:t>
      </w:r>
      <w:r>
        <w:rPr>
          <w:rFonts w:ascii="Arial" w:cs="Arial" w:eastAsia="Arial" w:hAnsi="Arial"/>
          <w:sz w:val="20"/>
          <w:szCs w:val="20"/>
          <w:color w:val="auto"/>
        </w:rPr>
        <w:t>” means any joint venture of Holdings or any Restricted Subsidiary that is not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 Subsidiary.</w:t>
      </w:r>
    </w:p>
    <w:p>
      <w:pPr>
        <w:spacing w:after="0" w:line="308"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Applicable Percentage.</w:t>
      </w:r>
    </w:p>
    <w:p>
      <w:pPr>
        <w:spacing w:after="0" w:line="21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applicable Honor Date or refinanced as a Revolving Credit Borrowing.</w:t>
      </w:r>
    </w:p>
    <w:p>
      <w:pPr>
        <w:spacing w:after="0" w:line="20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21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means, at any time, the sum of (a) the undrawn portion of the Outstanding Amount of all Letters of Credit at such time and (b) the Outstanding Amount of all L/C Borrowings in respect of Letters of Credit that have not yet been reimbursed by or on behalf of the Borrower at such time. The L/C Exposure of any Revolving Credit Lender at any time shall be its Applicable Percentage of the aggregate L/C Exposure at such time.</w:t>
      </w:r>
    </w:p>
    <w:p>
      <w:pPr>
        <w:spacing w:after="0" w:line="232" w:lineRule="exact"/>
        <w:rPr>
          <w:sz w:val="20"/>
          <w:szCs w:val="20"/>
          <w:color w:val="auto"/>
        </w:rPr>
      </w:pPr>
    </w:p>
    <w:p>
      <w:pPr>
        <w:jc w:val="both"/>
        <w:ind w:left="1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xml:space="preserve">” means (i) Goldman Sachs or any of its Affiliates selected by Goldman Sachs, Barclays, Credit Suisse AG, Cayman Islands Branch, Morgan Stanley Senior Funding, Inc., MUFG and Nomura Corporate Funding Americas, LLC or any of its Affiliates or other designee selected by Nomura Corporate Funding Americas, LLC and (ii) any other Lender (or any of its Affiliates) that becomes an L/C Issuer in accordance with </w:t>
      </w:r>
      <w:r>
        <w:rPr>
          <w:rFonts w:ascii="Arial" w:cs="Arial" w:eastAsia="Arial" w:hAnsi="Arial"/>
          <w:sz w:val="18"/>
          <w:szCs w:val="18"/>
          <w:u w:val="single" w:color="auto"/>
          <w:color w:val="auto"/>
        </w:rPr>
        <w:t>Section 2.03(j)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10.07(j)</w:t>
      </w:r>
      <w:r>
        <w:rPr>
          <w:rFonts w:ascii="Arial" w:cs="Arial" w:eastAsia="Arial" w:hAnsi="Arial"/>
          <w:sz w:val="18"/>
          <w:szCs w:val="18"/>
          <w:color w:val="auto"/>
        </w:rPr>
        <w:t xml:space="preserve">; in the case of each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in its capacity as an issuer of Letters of Credit hereunder, or any successor issuer of Letters of Credit hereunder.</w:t>
      </w:r>
    </w:p>
    <w:p>
      <w:pPr>
        <w:spacing w:after="0" w:line="192" w:lineRule="exact"/>
        <w:rPr>
          <w:sz w:val="20"/>
          <w:szCs w:val="20"/>
          <w:color w:val="auto"/>
        </w:rPr>
      </w:pPr>
    </w:p>
    <w:p>
      <w:pPr>
        <w:jc w:val="both"/>
        <w:ind w:left="14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 Sublimit</w:t>
      </w:r>
      <w:r>
        <w:rPr>
          <w:rFonts w:ascii="Arial" w:cs="Arial" w:eastAsia="Arial" w:hAnsi="Arial"/>
          <w:sz w:val="20"/>
          <w:szCs w:val="20"/>
          <w:color w:val="auto"/>
        </w:rPr>
        <w:t>” means with respect to (i) Goldman Sachs, on the Closing Date, $40 million, (ii) Barclays, on the Closing Date, $30 million, (iii) Credit Suisse AG, Cayman Islands Branch, on the Closing Date, $20 million, (iv) Morgan Stanley Senior Funding, Inc., on the Closing Date, $26 million,</w:t>
      </w:r>
    </w:p>
    <w:p>
      <w:pPr>
        <w:jc w:val="both"/>
        <w:ind w:left="140" w:hanging="6"/>
        <w:spacing w:after="0" w:line="241" w:lineRule="auto"/>
        <w:tabs>
          <w:tab w:leader="none" w:pos="43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MUFG, on the Closing Date, $25 million, (vi) Nomura Corporate Funding Americas, LLC, on the Closing Date, $9 million and (vii) with respect to any other L/C Issuer, such amount as may be mutually agreed between the Borrower and such L/C Issuer and notified in writing to the Administrative Agent by such parties.</w:t>
      </w:r>
    </w:p>
    <w:p>
      <w:pPr>
        <w:spacing w:after="0" w:line="236"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w:t>
      </w:r>
      <w:r>
        <w:rPr>
          <w:rFonts w:ascii="Arial" w:cs="Arial" w:eastAsia="Arial" w:hAnsi="Arial"/>
          <w:sz w:val="20"/>
          <w:szCs w:val="20"/>
          <w:color w:val="auto"/>
        </w:rPr>
        <w:t>” means, as at any date of determination, the aggregate maximum amount then available to be drawn under all outstanding Letters of Credit plus the aggregate of all Unreimbursed Amounts in respect of Letters of Credit, including all L/C Borrowings. For all purpose under this Agreement, if on any date of determination a Letter of Credit has expired by its terms but any amount may still be drawn thereunder by reason of the operation of Rule 3.14 of the ISP, the “Outstanding Amount” of such Letter of Credit shall be deemed to be the amount so remaining available to be drawn.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-104-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at any date of determination, the latest Maturity Date applicable to any Loan or Commitment hereunder at such time, including the latest maturity date of 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-105-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5" w:name="page236"/>
    <w:bookmarkEnd w:id="23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Extended Revolving Credit Commitment, Extended Term Loan or Incremental Term Loan, in each case as extended in accordance with this Agreement from time to time.</w:t>
      </w:r>
    </w:p>
    <w:p>
      <w:pPr>
        <w:spacing w:after="0" w:line="217" w:lineRule="exact"/>
        <w:rPr>
          <w:sz w:val="20"/>
          <w:szCs w:val="20"/>
          <w:color w:val="auto"/>
        </w:rPr>
      </w:pPr>
    </w:p>
    <w:p>
      <w:pPr>
        <w:jc w:val="both"/>
        <w:ind w:left="140" w:right="8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221"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1.09(a)</w:t>
      </w:r>
      <w:r>
        <w:rPr>
          <w:rFonts w:ascii="Arial" w:cs="Arial" w:eastAsia="Arial" w:hAnsi="Arial"/>
          <w:sz w:val="20"/>
          <w:szCs w:val="20"/>
          <w:color w:val="auto"/>
        </w:rPr>
        <w: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Public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1.09(a)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1.09(a)</w:t>
      </w:r>
      <w:r>
        <w:rPr>
          <w:rFonts w:ascii="Arial" w:cs="Arial" w:eastAsia="Arial" w:hAnsi="Arial"/>
          <w:sz w:val="20"/>
          <w:szCs w:val="20"/>
          <w:color w:val="auto"/>
        </w:rPr>
        <w:t>.</w:t>
      </w:r>
    </w:p>
    <w:p>
      <w:pPr>
        <w:spacing w:after="0" w:line="324" w:lineRule="exact"/>
        <w:rPr>
          <w:sz w:val="20"/>
          <w:szCs w:val="20"/>
          <w:color w:val="auto"/>
        </w:rPr>
      </w:pPr>
    </w:p>
    <w:p>
      <w:pPr>
        <w:jc w:val="both"/>
        <w:ind w:left="140"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Arrangers</w:t>
      </w:r>
      <w:r>
        <w:rPr>
          <w:rFonts w:ascii="Arial" w:cs="Arial" w:eastAsia="Arial" w:hAnsi="Arial"/>
          <w:sz w:val="20"/>
          <w:szCs w:val="20"/>
          <w:color w:val="auto"/>
        </w:rPr>
        <w:t>” means Goldman Sachs, Barclays, CSLF, Guggenheim Securities, MUFG, Nomura and UBSS, each in its capacity as joint lead arranger in respect of the credit facilities provided herein.</w:t>
      </w:r>
    </w:p>
    <w:p>
      <w:pPr>
        <w:spacing w:after="0" w:line="217" w:lineRule="exact"/>
        <w:rPr>
          <w:sz w:val="20"/>
          <w:szCs w:val="20"/>
          <w:color w:val="auto"/>
        </w:rPr>
      </w:pPr>
    </w:p>
    <w:p>
      <w:pPr>
        <w:jc w:val="both"/>
        <w:ind w:left="140" w:right="8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has the meaning specified in the introductory paragraph to this Agreement and, as the context requires, includes an L/C Issuer, and its successors and assigns as permitted hereunder, each of which is referred to herein as a “Lender.”</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Participation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2.05(d)(iii)</w:t>
      </w:r>
      <w:r>
        <w:rPr>
          <w:rFonts w:ascii="Arial" w:cs="Arial" w:eastAsia="Arial" w:hAnsi="Arial"/>
          <w:sz w:val="20"/>
          <w:szCs w:val="20"/>
          <w:color w:val="auto"/>
        </w:rPr>
        <w:t>.</w:t>
      </w:r>
    </w:p>
    <w:p>
      <w:pPr>
        <w:spacing w:after="0" w:line="337" w:lineRule="exact"/>
        <w:rPr>
          <w:sz w:val="20"/>
          <w:szCs w:val="20"/>
          <w:color w:val="auto"/>
        </w:rPr>
      </w:pPr>
    </w:p>
    <w:p>
      <w:pPr>
        <w:jc w:val="both"/>
        <w:ind w:left="140"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A Letter of Credit may be a commercial letter of credit or a standby letter of credit.</w:t>
      </w:r>
    </w:p>
    <w:p>
      <w:pPr>
        <w:spacing w:after="0" w:line="217" w:lineRule="exact"/>
        <w:rPr>
          <w:sz w:val="20"/>
          <w:szCs w:val="20"/>
          <w:color w:val="auto"/>
        </w:rPr>
      </w:pPr>
    </w:p>
    <w:p>
      <w:pPr>
        <w:jc w:val="both"/>
        <w:ind w:left="140"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relevant L/C Issuer.</w:t>
      </w:r>
    </w:p>
    <w:p>
      <w:pPr>
        <w:spacing w:after="0" w:line="217" w:lineRule="exact"/>
        <w:rPr>
          <w:sz w:val="20"/>
          <w:szCs w:val="20"/>
          <w:color w:val="auto"/>
        </w:rPr>
      </w:pPr>
    </w:p>
    <w:p>
      <w:pPr>
        <w:jc w:val="both"/>
        <w:ind w:left="140" w:right="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for Letters of Credit under the Revolving Credit Facility, the day that is five (5) Business Days prior to the scheduled Maturity Date then in effect for the Revolving Credit Facility (or, if such day is not a Business Day, the next preceding Business Day).</w:t>
      </w:r>
    </w:p>
    <w:p>
      <w:pPr>
        <w:spacing w:after="0" w:line="213" w:lineRule="exact"/>
        <w:rPr>
          <w:sz w:val="20"/>
          <w:szCs w:val="20"/>
          <w:color w:val="auto"/>
        </w:rPr>
      </w:pPr>
    </w:p>
    <w:p>
      <w:pPr>
        <w:ind w:left="140" w:right="27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an amount equal to the lesser of (a) $150.0 million and (b) the aggregate amount of the Revolving Credit Commitments.</w:t>
      </w:r>
    </w:p>
    <w:p>
      <w:pPr>
        <w:spacing w:after="0" w:line="285"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has the meaning assigned to it in the definition of “Eurocurrency</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Rate.”</w:t>
      </w:r>
    </w:p>
    <w:p>
      <w:pPr>
        <w:spacing w:after="0" w:line="321" w:lineRule="exact"/>
        <w:rPr>
          <w:sz w:val="20"/>
          <w:szCs w:val="20"/>
          <w:color w:val="auto"/>
        </w:rPr>
      </w:pPr>
    </w:p>
    <w:p>
      <w:pPr>
        <w:jc w:val="both"/>
        <w:ind w:left="140" w:right="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means any mortgage, pledge, security interest, encumbrance, lien, hypothecation or charge of any kind (including any conditional sale or other title retention agreement or lease in the nature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Non-Financing Lease Obligations be deemed to constitute a Lien.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-106-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200"/>
          </w:cols>
          <w:pgMar w:left="320" w:top="122" w:right="379" w:bottom="1440" w:gutter="0" w:footer="0" w:header="0"/>
        </w:sectPr>
      </w:pPr>
    </w:p>
    <w:bookmarkStart w:id="236" w:name="page237"/>
    <w:bookmarkEnd w:id="23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-107-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7" w:name="page238"/>
    <w:bookmarkEnd w:id="23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Indebtedness, Disqualified Stock or Preferred Stock requiring irrevocable notice in advance of such redemption, repurchase, defeasance, satisfaction and discharge or repayment; and (3) any dividend or distribution declared by Holdings or any of its restricted subsidiaries following an initial public offering of such entity.</w:t>
      </w:r>
    </w:p>
    <w:p>
      <w:pPr>
        <w:spacing w:after="0" w:line="226"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or a Revolving Credit Loan (including any Incremental Term Loans, any Extended Term Loans or loans made pursuant to Extended Revolving Credit Commitments).</w:t>
      </w:r>
    </w:p>
    <w:p>
      <w:pPr>
        <w:spacing w:after="0" w:line="213"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collectively, (i) this Agreement, (ii) the Notes, (iii) each Guaranty, (iv) the Collateral Documents, (v) each Letter of Credit Application, (vi) any Customary Intercreditor Agreement and (vii) the Global Intercompany Note, in each case as amended.</w:t>
      </w:r>
    </w:p>
    <w:p>
      <w:pPr>
        <w:spacing w:after="0" w:line="30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(i) the Borrower, (ii) Holdings, and (iii) each other</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Guarantor.</w:t>
      </w:r>
    </w:p>
    <w:p>
      <w:pPr>
        <w:spacing w:after="0" w:line="308"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Time</w:t>
      </w:r>
      <w:r>
        <w:rPr>
          <w:rFonts w:ascii="Arial" w:cs="Arial" w:eastAsia="Arial" w:hAnsi="Arial"/>
          <w:sz w:val="20"/>
          <w:szCs w:val="20"/>
          <w:color w:val="auto"/>
        </w:rPr>
        <w:t>” means local time in New York City, with respect to the times for (i) the determination of “Dollar Equivalent” and (ii) the receipt and sending of notices by and to and the disbursement by or payment to the Administrative Agent, any L/C Issuer or Lender with respect to Loans and Letters of Credit denominated in Dollars.</w:t>
      </w:r>
    </w:p>
    <w:p>
      <w:pPr>
        <w:spacing w:after="0" w:line="226"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LTM EBITDA</w:t>
      </w:r>
      <w:r>
        <w:rPr>
          <w:rFonts w:ascii="Arial" w:cs="Arial" w:eastAsia="Arial" w:hAnsi="Arial"/>
          <w:sz w:val="20"/>
          <w:szCs w:val="20"/>
          <w:color w:val="auto"/>
        </w:rPr>
        <w:t xml:space="preserve">” means Consolidated EBITDA of Holdings measured for the period of the most recent four consecutive fiscal quarters ending prior to the date of such determination for which consolidated financial statements are available, in each case with such pro forma adjustments giving effect to such Indebtedness, acquisition or Investment, as applicable, since the start of such four quarter period and as are consistent with the pro forma adjustments set forth in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to the extent LTM EBITDA is being tested as of the last day of any Test Period, the financial statements used for such calculation shall be those referenced in the definition of “Test Period.”</w:t>
      </w:r>
    </w:p>
    <w:p>
      <w:pPr>
        <w:spacing w:after="0" w:line="223"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Advances</w:t>
      </w:r>
      <w:r>
        <w:rPr>
          <w:rFonts w:ascii="Arial" w:cs="Arial" w:eastAsia="Arial" w:hAnsi="Arial"/>
          <w:sz w:val="18"/>
          <w:szCs w:val="18"/>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Holdings or any Restricted Subsidiary:</w:t>
      </w:r>
    </w:p>
    <w:p>
      <w:pPr>
        <w:spacing w:after="0" w:line="192" w:lineRule="exact"/>
        <w:rPr>
          <w:sz w:val="20"/>
          <w:szCs w:val="20"/>
          <w:color w:val="auto"/>
        </w:rPr>
      </w:pPr>
    </w:p>
    <w:p>
      <w:pPr>
        <w:jc w:val="both"/>
        <w:ind w:left="780" w:firstLine="544"/>
        <w:spacing w:after="0" w:line="309" w:lineRule="auto"/>
        <w:tabs>
          <w:tab w:leader="none" w:pos="194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 in respect of travel, entertainment, relocation or moving related expenses, payroll advances and other analogous or similar expenses or payroll expenses, in each case Incurred in the ordinary course of business or consistent with past practice or</w:t>
      </w:r>
    </w:p>
    <w:p>
      <w:pPr>
        <w:spacing w:after="0" w:line="1" w:lineRule="exact"/>
        <w:rPr>
          <w:rFonts w:ascii="Arial" w:cs="Arial" w:eastAsia="Arial" w:hAnsi="Arial"/>
          <w:sz w:val="16"/>
          <w:szCs w:val="16"/>
          <w:color w:val="auto"/>
        </w:rPr>
      </w:pPr>
    </w:p>
    <w:p>
      <w:pPr>
        <w:ind w:left="780" w:right="20" w:firstLine="2"/>
        <w:spacing w:after="0" w:line="244" w:lineRule="auto"/>
        <w:tabs>
          <w:tab w:leader="none" w:pos="107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for purposes of funding any such person’s purchase of Capital Stock (or similar obligations) of Holdings, its Subsidiaries or any Parent Entity with (in the case of this clause (1)(b)) the approval of the Board of Directors;</w:t>
      </w:r>
    </w:p>
    <w:p>
      <w:pPr>
        <w:spacing w:after="0" w:line="231" w:lineRule="exact"/>
        <w:rPr>
          <w:rFonts w:ascii="Arial" w:cs="Arial" w:eastAsia="Arial" w:hAnsi="Arial"/>
          <w:sz w:val="20"/>
          <w:szCs w:val="20"/>
          <w:color w:val="auto"/>
        </w:rPr>
      </w:pPr>
    </w:p>
    <w:p>
      <w:pPr>
        <w:ind w:left="780" w:firstLine="490"/>
        <w:spacing w:after="0" w:line="316" w:lineRule="auto"/>
        <w:tabs>
          <w:tab w:leader="none" w:pos="1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156" w:lineRule="exact"/>
        <w:rPr>
          <w:rFonts w:ascii="Arial" w:cs="Arial" w:eastAsia="Arial" w:hAnsi="Arial"/>
          <w:sz w:val="18"/>
          <w:szCs w:val="18"/>
          <w:color w:val="auto"/>
        </w:rPr>
      </w:pPr>
    </w:p>
    <w:p>
      <w:pPr>
        <w:ind w:left="1940" w:hanging="724"/>
        <w:spacing w:after="0"/>
        <w:tabs>
          <w:tab w:leader="none" w:pos="1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not exceeding the greater of $5.5 million and 2.5% of LTM EBITDA in the aggregate outstanding at the time of</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incurrence.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-108-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w:t>
      </w:r>
      <w:r>
        <w:rPr>
          <w:rFonts w:ascii="Arial" w:cs="Arial" w:eastAsia="Arial" w:hAnsi="Arial"/>
          <w:sz w:val="18"/>
          <w:szCs w:val="18"/>
          <w:color w:val="auto"/>
        </w:rPr>
        <w:t>” means the members of management of Holdings (or any Parent Entity) or its Subsidiaries who are holders of Capital Stock of the Holdings or of any Parent Entity on the Closing Date or become holders of such Capital Stock.</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-109-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39" w:name="page240"/>
    <w:bookmarkEnd w:id="23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324"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business or financial condition or results of operations of Holdings and its Restricted Subsidiaries, taken as a whole, (b) the material rights and remedies (taken as a whole) of the Administrative Agent, the Collateral Agent or the Lenders under the Loan Documents (other than due to the action or inaction of the Administrative Agent, the Collateral Agent or the Lenders) or (c) the ability of the Borrower and the Guarantors, taken as a whole, to perform their payment obligations under the Loan Documents.</w:t>
      </w:r>
    </w:p>
    <w:p>
      <w:pPr>
        <w:spacing w:after="0" w:line="235"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Intellectual Property</w:t>
      </w:r>
      <w:r>
        <w:rPr>
          <w:rFonts w:ascii="Arial" w:cs="Arial" w:eastAsia="Arial" w:hAnsi="Arial"/>
          <w:sz w:val="20"/>
          <w:szCs w:val="20"/>
          <w:color w:val="auto"/>
        </w:rPr>
        <w:t>” means any Intellectual Property owned by the Borrower and its Subsidiaries that is material to the business of Borrower and the Restricted Subsidiaries after giving effect to any designation of an Unrestricted Subsidiary, taken as a whole (whether owned as of the Closing Date or thereafter acquired).</w:t>
      </w:r>
    </w:p>
    <w:p>
      <w:pPr>
        <w:spacing w:after="0" w:line="213"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(a) any fee interest in real property owned by a Loan Party on the Closing Date, having a fair market value in excess of $10,000,000, as set forth on Schedule 1.01B to the Closing Date Certificate, (b) the Borrower’s headquarters located at 3901 Midway Place NE, Albuquerque, NM 87109 and (c) any fee interest in real property acquired by any Loan Party following the Closing Date located in the United States with a fair market value in excess of $10,000,000.</w:t>
      </w:r>
    </w:p>
    <w:p>
      <w:pPr>
        <w:spacing w:after="0" w:line="202" w:lineRule="exact"/>
        <w:rPr>
          <w:sz w:val="20"/>
          <w:szCs w:val="20"/>
          <w:color w:val="auto"/>
        </w:rPr>
      </w:pPr>
    </w:p>
    <w:p>
      <w:pPr>
        <w:jc w:val="both"/>
        <w:ind w:left="14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at any date of determination, each Restricted Subsidiary of the Borrower that is not an Immaterial Subsidiary (but including, in any case, any Restricted Subsidiary that has been designated as a Material Subsidiary as provided in, or has been designated as an Immaterial Subsidiary in a manner that does not comply with, the definition of “Immaterial Subsidiary”).</w:t>
      </w:r>
    </w:p>
    <w:p>
      <w:pPr>
        <w:spacing w:after="0" w:line="158" w:lineRule="exact"/>
        <w:rPr>
          <w:sz w:val="20"/>
          <w:szCs w:val="20"/>
          <w:color w:val="auto"/>
        </w:rPr>
      </w:pPr>
    </w:p>
    <w:p>
      <w:pPr>
        <w:jc w:val="both"/>
        <w:ind w:left="14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with respect to the Revolving Credit Facility, the fifth anniversary of the Closing Date (and, with respect to any Extended Revolving Credit Commitments, the maturity date applicable to such Extended Revolving Credit Commitments in accordance with the terms hereof), (b) with respect to Initial Term Loans, the seventh anniversary of the Closing Date, or</w:t>
      </w:r>
    </w:p>
    <w:p>
      <w:pPr>
        <w:spacing w:after="0" w:line="1" w:lineRule="exact"/>
        <w:rPr>
          <w:sz w:val="20"/>
          <w:szCs w:val="20"/>
          <w:color w:val="auto"/>
        </w:rPr>
      </w:pPr>
    </w:p>
    <w:p>
      <w:pPr>
        <w:jc w:val="both"/>
        <w:ind w:left="140" w:hanging="7"/>
        <w:spacing w:after="0" w:line="281" w:lineRule="auto"/>
        <w:tabs>
          <w:tab w:leader="none" w:pos="42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with respect to any (i) Extended Term Loan, the maturity date applicable to such Extended Term Loan in accordance with the terms hereof or (ii) Incremental Term Loan, the maturity date applicable to such Incremental Term Loan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day is not a Business Day, the Maturity Date shall be the Business Day immediately preceding such day.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Tender Condition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MFN Adjustment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337"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MFN Qualifying Term Loans</w:t>
      </w:r>
      <w:r>
        <w:rPr>
          <w:rFonts w:ascii="Arial" w:cs="Arial" w:eastAsia="Arial" w:hAnsi="Arial"/>
          <w:sz w:val="20"/>
          <w:szCs w:val="20"/>
          <w:color w:val="auto"/>
        </w:rPr>
        <w:t xml:space="preserve">” means any term loans that are (i) secured by the Collateral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Initial Term Loans and (ii)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with the Initial Term Loans.</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Tender Condition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Tranche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-110-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0" w:name="page241"/>
    <w:bookmarkEnd w:id="24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of its successors or assigns that is a Nationally Recognized Statistical Rating Organization.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-111-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680"/>
          </w:cols>
          <w:pgMar w:left="320" w:top="122" w:right="899"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8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xml:space="preserve">” means, collectively, the deeds of trust, trust deeds, deeds of hypothecation, security deeds, immovable hypothecs, and mortgages creating and evidencing a Lien on a Mortgaged Property made by the Loan Parties in favor or for the benefit of the Collateral Agent on behalf of the Secured Parties in form and substance reasonably satisfactory to the Collateral Agent, and any other mortgages executed and delivered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6.12</w:t>
      </w:r>
      <w:r>
        <w:rPr>
          <w:rFonts w:ascii="Arial" w:cs="Arial" w:eastAsia="Arial" w:hAnsi="Arial"/>
          <w:sz w:val="18"/>
          <w:szCs w:val="18"/>
          <w:color w:val="auto"/>
        </w:rPr>
        <w:t>, as applicable.</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 Policies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paragraph (f)</w:t>
      </w:r>
      <w:r>
        <w:rPr>
          <w:rFonts w:ascii="Arial" w:cs="Arial" w:eastAsia="Arial" w:hAnsi="Arial"/>
          <w:sz w:val="20"/>
          <w:szCs w:val="20"/>
          <w:color w:val="auto"/>
        </w:rPr>
        <w:t xml:space="preserve"> of the definition of Collateral and Guarantee</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Requirement.</w:t>
      </w:r>
    </w:p>
    <w:p>
      <w:pPr>
        <w:spacing w:after="0" w:line="227" w:lineRule="exact"/>
        <w:rPr>
          <w:sz w:val="20"/>
          <w:szCs w:val="20"/>
          <w:color w:val="auto"/>
        </w:rPr>
      </w:pPr>
    </w:p>
    <w:p>
      <w:pPr>
        <w:ind w:left="140" w:right="4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xml:space="preserve">” means each Material Real Property which shall be subject to a Mortgage delivered pursuant to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Section 6.12</w:t>
      </w:r>
      <w:r>
        <w:rPr>
          <w:rFonts w:ascii="Arial" w:cs="Arial" w:eastAsia="Arial" w:hAnsi="Arial"/>
          <w:sz w:val="20"/>
          <w:szCs w:val="20"/>
          <w:color w:val="auto"/>
        </w:rPr>
        <w:t>, as applicable.</w:t>
      </w:r>
    </w:p>
    <w:p>
      <w:pPr>
        <w:spacing w:after="0" w:line="285"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Loan Party or any ERISA Affiliate makes or is obligated to make contributions, or during the immediately preceding six (6) years, has made or been obligated to make contributions.</w:t>
      </w:r>
    </w:p>
    <w:p>
      <w:pPr>
        <w:spacing w:after="0" w:line="226"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Nationally Recognized Statistical Rating Organization</w:t>
      </w:r>
      <w:r>
        <w:rPr>
          <w:rFonts w:ascii="Arial" w:cs="Arial" w:eastAsia="Arial" w:hAnsi="Arial"/>
          <w:sz w:val="20"/>
          <w:szCs w:val="20"/>
          <w:color w:val="auto"/>
        </w:rPr>
        <w:t>” means a nationally recognized statistical rating organization within the meaning of Rule 436 under the Securities Act.</w:t>
      </w:r>
    </w:p>
    <w:p>
      <w:pPr>
        <w:spacing w:after="0" w:line="21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Available Cash</w:t>
      </w:r>
      <w:r>
        <w:rPr>
          <w:rFonts w:ascii="Arial" w:cs="Arial" w:eastAsia="Arial" w:hAnsi="Arial"/>
          <w:sz w:val="20"/>
          <w:szCs w:val="20"/>
          <w:color w:val="auto"/>
        </w:rPr>
        <w:t>” with respect to any Asset Disposition or Casualty Event (as applicable) means cash proceeds received (including any cash proceeds received from the sale or other disposition of any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221" w:lineRule="exact"/>
        <w:rPr>
          <w:sz w:val="20"/>
          <w:szCs w:val="20"/>
          <w:color w:val="auto"/>
        </w:rPr>
      </w:pPr>
    </w:p>
    <w:p>
      <w:pPr>
        <w:jc w:val="both"/>
        <w:ind w:left="780" w:firstLine="649"/>
        <w:spacing w:after="0" w:line="328" w:lineRule="auto"/>
        <w:tabs>
          <w:tab w:leader="none" w:pos="194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spacing w:after="0" w:line="168" w:lineRule="exact"/>
        <w:rPr>
          <w:rFonts w:ascii="Arial" w:cs="Arial" w:eastAsia="Arial" w:hAnsi="Arial"/>
          <w:sz w:val="16"/>
          <w:szCs w:val="16"/>
          <w:color w:val="auto"/>
        </w:rPr>
      </w:pPr>
    </w:p>
    <w:p>
      <w:pPr>
        <w:jc w:val="both"/>
        <w:ind w:left="780" w:firstLine="650"/>
        <w:spacing w:after="0" w:line="243" w:lineRule="auto"/>
        <w:tabs>
          <w:tab w:leader="none" w:pos="194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Holdings or any of its Subsidiaries, transfer taxes, deed or mortgage recording taxes and Taxes that would be payable in connection with any repatriation of such proceeds), as a consequence of such transaction, including distributions made in accordance with Section 7.06(b)(ix)(C) or any transactions occurring or deemed to occur to effectuate a payment under this Agreement;</w:t>
      </w:r>
    </w:p>
    <w:p>
      <w:pPr>
        <w:spacing w:after="0" w:line="236" w:lineRule="exact"/>
        <w:rPr>
          <w:rFonts w:ascii="Arial" w:cs="Arial" w:eastAsia="Arial" w:hAnsi="Arial"/>
          <w:sz w:val="20"/>
          <w:szCs w:val="20"/>
          <w:color w:val="auto"/>
        </w:rPr>
      </w:pPr>
    </w:p>
    <w:p>
      <w:pPr>
        <w:jc w:val="both"/>
        <w:ind w:left="780" w:firstLine="649"/>
        <w:spacing w:after="0" w:line="250" w:lineRule="auto"/>
        <w:tabs>
          <w:tab w:leader="none" w:pos="194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 the case of any Asset Disposition of assets that do not constitute Collateral, all payments made on any Indebtedness which is secured by any assets subject to such transaction, in accordance with the terms of any Lien upon such assets, or which by applicable law is required to be repaid out of the proceeds from such transaction;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-112-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49"/>
        <w:spacing w:after="0" w:line="250" w:lineRule="auto"/>
        <w:tabs>
          <w:tab w:leader="none" w:pos="194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all distributions and other payments required to be made to non-controlling interest or minority interest holders (other than any Parent Entity, Holdings or any of its respective Subsidiaries) in Subsidiaries or joint ventures as a result of such transaction;</w:t>
      </w:r>
    </w:p>
    <w:p>
      <w:pPr>
        <w:spacing w:after="0" w:line="226" w:lineRule="exact"/>
        <w:rPr>
          <w:rFonts w:ascii="Arial" w:cs="Arial" w:eastAsia="Arial" w:hAnsi="Arial"/>
          <w:sz w:val="20"/>
          <w:szCs w:val="20"/>
          <w:color w:val="auto"/>
        </w:rPr>
      </w:pPr>
    </w:p>
    <w:p>
      <w:pPr>
        <w:ind w:left="1940" w:hanging="511"/>
        <w:spacing w:after="0"/>
        <w:tabs>
          <w:tab w:leader="none" w:pos="19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all costs associated with unwinding any related Hedging Obligations in connection with such transaction;</w:t>
      </w:r>
    </w:p>
    <w:p>
      <w:pPr>
        <w:spacing w:after="0" w:line="254" w:lineRule="exact"/>
        <w:rPr>
          <w:rFonts w:ascii="Arial" w:cs="Arial" w:eastAsia="Arial" w:hAnsi="Arial"/>
          <w:sz w:val="19"/>
          <w:szCs w:val="19"/>
          <w:color w:val="auto"/>
        </w:rPr>
      </w:pPr>
    </w:p>
    <w:p>
      <w:pPr>
        <w:jc w:val="both"/>
        <w:ind w:left="780" w:firstLine="649"/>
        <w:spacing w:after="0" w:line="263" w:lineRule="auto"/>
        <w:tabs>
          <w:tab w:leader="none" w:pos="19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deduction of appropriate amounts required to be provided by the seller as a reserve, in accordance with GAAP, against any liabilities associated with the assets disposed of in such transaction and retained by Holdings or any Restricted Subsidiary after such transaction, including pension and other post-employment benefit liabilities and liabilities related to environmental matters or against any indemnification obligations associated with such transaction;</w:t>
      </w:r>
    </w:p>
    <w:p>
      <w:pPr>
        <w:spacing w:after="0" w:line="216" w:lineRule="exact"/>
        <w:rPr>
          <w:rFonts w:ascii="Arial" w:cs="Arial" w:eastAsia="Arial" w:hAnsi="Arial"/>
          <w:sz w:val="19"/>
          <w:szCs w:val="19"/>
          <w:color w:val="auto"/>
        </w:rPr>
      </w:pPr>
    </w:p>
    <w:p>
      <w:pPr>
        <w:jc w:val="both"/>
        <w:ind w:left="780" w:firstLine="649"/>
        <w:spacing w:after="0" w:line="250" w:lineRule="auto"/>
        <w:tabs>
          <w:tab w:leader="none" w:pos="19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w:t>
      </w:r>
    </w:p>
    <w:p>
      <w:pPr>
        <w:spacing w:after="0" w:line="226" w:lineRule="exact"/>
        <w:rPr>
          <w:rFonts w:ascii="Arial" w:cs="Arial" w:eastAsia="Arial" w:hAnsi="Arial"/>
          <w:sz w:val="20"/>
          <w:szCs w:val="20"/>
          <w:color w:val="auto"/>
        </w:rPr>
      </w:pPr>
    </w:p>
    <w:p>
      <w:pPr>
        <w:jc w:val="both"/>
        <w:ind w:left="140" w:firstLine="1289"/>
        <w:spacing w:after="0" w:line="250" w:lineRule="auto"/>
        <w:tabs>
          <w:tab w:leader="none" w:pos="194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amount of any liabilities (other than Indebtedness in respect of this Agreement and any other Indebtedness secured on an equal or junior priority basis with the foregoing) directly associated with such asset being sold and retained by Holdings or any of its Restricted Subsidiaries.</w:t>
      </w:r>
    </w:p>
    <w:p>
      <w:pPr>
        <w:spacing w:after="0" w:line="213"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Borrower and after taking into account any available tax credit or deductions and any tax sharing agreements, and including any distributions made in accordance with Section 7.06(b)(ix)(C)).</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Short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3.06(d)</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Non-Financing Lease Obligation</w:t>
      </w:r>
      <w:r>
        <w:rPr>
          <w:rFonts w:ascii="Arial" w:cs="Arial" w:eastAsia="Arial" w:hAnsi="Arial"/>
          <w:sz w:val="20"/>
          <w:szCs w:val="20"/>
          <w:color w:val="auto"/>
        </w:rPr>
        <w:t>” means any other lease obligation that is not required to be accounted for as a financing or capital lease in accordance with GAAP. For the avoidance of doubt, an operating lease shall be considered a Non-Financing Lease Obligation.</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Non-Loan Party</w:t>
      </w:r>
      <w:r>
        <w:rPr>
          <w:rFonts w:ascii="Arial" w:cs="Arial" w:eastAsia="Arial" w:hAnsi="Arial"/>
          <w:sz w:val="20"/>
          <w:szCs w:val="20"/>
          <w:color w:val="auto"/>
        </w:rPr>
        <w:t>” means any Restricted Subsidiary that is not a Borrower or Guarantor.</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Term Note or a Revolving Credit Note as the context may require.</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-113-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3" w:name="page244"/>
    <w:bookmarkEnd w:id="24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means, for any day, the greater of (a) the Federal Funds Rate in effect on such day and (b) the Overnight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that if none of such rates are published for any day that is a Business Day, the term “NYFRB Rate” means the rate for a federal funds transaction quoted at 11:00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-114-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 xml:space="preserve">a.m. on such day received by the Administrative Agent from a federal funds broker of recognized standing selected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any of the aforesaid rates as so determined be less than zero, such rate shall be deemed to be zero for purposes of this Agreement.</w:t>
      </w:r>
    </w:p>
    <w:p>
      <w:pPr>
        <w:spacing w:after="0" w:line="226" w:lineRule="exact"/>
        <w:rPr>
          <w:sz w:val="20"/>
          <w:szCs w:val="20"/>
          <w:color w:val="auto"/>
        </w:rPr>
      </w:pPr>
    </w:p>
    <w:p>
      <w:pPr>
        <w:jc w:val="both"/>
        <w:ind w:left="140"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any principal, interest (including Post-Petition Interest and fees accruing on or after the filing of any petition in bankruptcy or for reorganization relating to the Borrower or any Guarantor whether or not a claim for Post-Petition Interest or fees is allowed in such proceedings), penalties, fees, expenses, indemnifications, reimbursements (including, without limitation, reimbursement obligations with respect to letters of credit and bankers’ acceptances), damages and other liabilities payable under the documentation governing any Indebtedness.</w:t>
      </w:r>
    </w:p>
    <w:p>
      <w:pPr>
        <w:spacing w:after="0" w:line="221"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2.05(d)(iii)</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with respect to any Person, (1) the Chairman of the Board of Directors, the Chief Executive Officer, the President, the Chief Financial Officer, any Vice President, the Treasurer, any Assistant Treasurer, any Managing Director, the Secretary or any Assistant Secretary (a) of such Person or (b) if such Person is owned or managed by a single entity, of such entity, or (2) any other individual designated as an “Officer” for the purposes of this Agreement by the Board of Directors of such Person.</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Certificate</w:t>
      </w:r>
      <w:r>
        <w:rPr>
          <w:rFonts w:ascii="Arial" w:cs="Arial" w:eastAsia="Arial" w:hAnsi="Arial"/>
          <w:sz w:val="20"/>
          <w:szCs w:val="20"/>
          <w:color w:val="auto"/>
        </w:rPr>
        <w:t>” means, with respect to any Person, a certificate signed by one Officer of such Person.</w:t>
      </w:r>
    </w:p>
    <w:p>
      <w:pPr>
        <w:spacing w:after="0" w:line="256"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or company, the certificate or articles of incorporation, the memorandum and articles of association,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Acquisition Agreement Earn-Out</w:t>
      </w:r>
      <w:r>
        <w:rPr>
          <w:rFonts w:ascii="Arial" w:cs="Arial" w:eastAsia="Arial" w:hAnsi="Arial"/>
          <w:sz w:val="16"/>
          <w:szCs w:val="16"/>
          <w:color w:val="auto"/>
        </w:rPr>
        <w:t>” means earn-outs pursuant to that certain Share Purchase Agreement, dated as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of June 23, 2016, by and among ATI Investment Parent, LLC, a Delaware limited liability company, Holdings, the Borrower, the sellers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and other parties signatory thereto and Ron</w:t>
      </w:r>
    </w:p>
    <w:p>
      <w:pPr>
        <w:ind w:left="140"/>
        <w:spacing w:after="0"/>
        <w:rPr>
          <w:sz w:val="20"/>
          <w:szCs w:val="20"/>
          <w:color w:val="auto"/>
        </w:rPr>
      </w:pPr>
      <w:r>
        <w:rPr>
          <w:rFonts w:ascii="Arial" w:cs="Arial" w:eastAsia="Arial" w:hAnsi="Arial"/>
          <w:sz w:val="20"/>
          <w:szCs w:val="20"/>
          <w:color w:val="auto"/>
        </w:rPr>
        <w:t>P. Corio, solely as the seller representative.</w:t>
      </w:r>
    </w:p>
    <w:p>
      <w:pPr>
        <w:spacing w:after="0" w:line="24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Applicable Indebtedness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2.05(b)(ii)(C)</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-115-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-116-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Credit Borrowing) occurring on such date; and (b) with respect to any Letter of Credit, Unreimbursed Amount, L/C Borrowing or L/C Obligations on any date, the Dollar Equivalent of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209"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shall mean,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21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Entity</w:t>
      </w:r>
      <w:r>
        <w:rPr>
          <w:rFonts w:ascii="Arial" w:cs="Arial" w:eastAsia="Arial" w:hAnsi="Arial"/>
          <w:sz w:val="20"/>
          <w:szCs w:val="20"/>
          <w:color w:val="auto"/>
        </w:rPr>
        <w:t>” means any direct or indirect parent of the Holdings.</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Entity Expenses</w:t>
      </w:r>
      <w:r>
        <w:rPr>
          <w:rFonts w:ascii="Arial" w:cs="Arial" w:eastAsia="Arial" w:hAnsi="Arial"/>
          <w:sz w:val="20"/>
          <w:szCs w:val="20"/>
          <w:color w:val="auto"/>
        </w:rPr>
        <w:t>” means:</w:t>
      </w:r>
    </w:p>
    <w:p>
      <w:pPr>
        <w:spacing w:after="0" w:line="337" w:lineRule="exact"/>
        <w:rPr>
          <w:sz w:val="20"/>
          <w:szCs w:val="20"/>
          <w:color w:val="auto"/>
        </w:rPr>
      </w:pPr>
    </w:p>
    <w:p>
      <w:pPr>
        <w:jc w:val="both"/>
        <w:ind w:left="780" w:firstLine="649"/>
        <w:spacing w:after="0" w:line="259" w:lineRule="auto"/>
        <w:tabs>
          <w:tab w:leader="none" w:pos="194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the Loans, the Guarantees or any other Indebtedness of Holdings or any Restricted Subsidiary, including in respect of any reports filed or delivered with respect to the Securities Act, Exchange Act or the rules and regulations promulgated thereunder;</w:t>
      </w:r>
    </w:p>
    <w:p>
      <w:pPr>
        <w:spacing w:after="0" w:line="218" w:lineRule="exact"/>
        <w:rPr>
          <w:rFonts w:ascii="Arial" w:cs="Arial" w:eastAsia="Arial" w:hAnsi="Arial"/>
          <w:sz w:val="19"/>
          <w:szCs w:val="19"/>
          <w:color w:val="auto"/>
        </w:rPr>
      </w:pPr>
    </w:p>
    <w:p>
      <w:pPr>
        <w:jc w:val="both"/>
        <w:ind w:left="780" w:firstLine="649"/>
        <w:spacing w:after="0" w:line="246" w:lineRule="auto"/>
        <w:tabs>
          <w:tab w:leader="none" w:pos="194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w:t>
      </w:r>
    </w:p>
    <w:p>
      <w:pPr>
        <w:spacing w:after="0" w:line="218" w:lineRule="exact"/>
        <w:rPr>
          <w:rFonts w:ascii="Arial" w:cs="Arial" w:eastAsia="Arial" w:hAnsi="Arial"/>
          <w:sz w:val="20"/>
          <w:szCs w:val="20"/>
          <w:color w:val="auto"/>
        </w:rPr>
      </w:pPr>
    </w:p>
    <w:p>
      <w:pPr>
        <w:ind w:left="780" w:right="20" w:firstLine="649"/>
        <w:spacing w:after="0" w:line="260" w:lineRule="auto"/>
        <w:tabs>
          <w:tab w:leader="none" w:pos="194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obligations of any Parent Entity in respect of director and officer insurance (including premiums therefor) to the extent relating to Holdings and its Subsidiaries;</w:t>
      </w:r>
    </w:p>
    <w:p>
      <w:pPr>
        <w:spacing w:after="0" w:line="217" w:lineRule="exact"/>
        <w:rPr>
          <w:rFonts w:ascii="Arial" w:cs="Arial" w:eastAsia="Arial" w:hAnsi="Arial"/>
          <w:sz w:val="20"/>
          <w:szCs w:val="20"/>
          <w:color w:val="auto"/>
        </w:rPr>
      </w:pPr>
    </w:p>
    <w:p>
      <w:pPr>
        <w:jc w:val="both"/>
        <w:ind w:left="780" w:firstLine="649"/>
        <w:spacing w:after="0" w:line="243" w:lineRule="auto"/>
        <w:tabs>
          <w:tab w:leader="none" w:pos="194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(x) general corporate operating and overhead fees, costs and expenses (including all legal, accounting and other professional fees, costs and expenses) and following the first public offering of the Borrower’s Capital Stock or the Capital Stock of any Parent Entity, listing fees and other costs and expenses attributable to being a publicly traded company of any Parent Entity and</w:t>
      </w:r>
    </w:p>
    <w:p>
      <w:pPr>
        <w:spacing w:after="0" w:line="2" w:lineRule="exact"/>
        <w:rPr>
          <w:rFonts w:ascii="Arial" w:cs="Arial" w:eastAsia="Arial" w:hAnsi="Arial"/>
          <w:sz w:val="20"/>
          <w:szCs w:val="20"/>
          <w:color w:val="auto"/>
        </w:rPr>
      </w:pPr>
    </w:p>
    <w:p>
      <w:pPr>
        <w:ind w:left="780" w:firstLine="2"/>
        <w:spacing w:after="0" w:line="244" w:lineRule="auto"/>
        <w:tabs>
          <w:tab w:leader="none" w:pos="106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other operational expenses of any Parent Entity related to the ownership or operation of the business of Holdings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-117-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7" w:name="page248"/>
    <w:bookmarkEnd w:id="24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780" w:firstLine="650"/>
        <w:spacing w:after="0" w:line="291" w:lineRule="auto"/>
        <w:tabs>
          <w:tab w:leader="none" w:pos="19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expenses Incurred by any Parent Entity in connection with (i) any offering, sale, conversion or exchange of Capital Stock or Indebtedness (whether or not consummated or successful) and, after the consummation of an initial public offering, any Public Company Costs and (ii) any related compensation paid to employees, directors, officers, managers, contractors,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-118-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consultants or advisors (or their respective Controlled Investment Affiliates or Immediate Family Members) of such Parent Entity;</w:t>
      </w:r>
    </w:p>
    <w:p>
      <w:pPr>
        <w:spacing w:after="0" w:line="279" w:lineRule="exact"/>
        <w:rPr>
          <w:sz w:val="20"/>
          <w:szCs w:val="20"/>
          <w:color w:val="auto"/>
        </w:rPr>
      </w:pPr>
    </w:p>
    <w:p>
      <w:pPr>
        <w:jc w:val="both"/>
        <w:ind w:left="780" w:firstLine="649"/>
        <w:spacing w:after="0" w:line="243" w:lineRule="auto"/>
        <w:tabs>
          <w:tab w:leader="none" w:pos="19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Borrower to the Lenders when taken as a whole, as compared to the management services or similar agreements as in effect immediately prior to such amendment or replacement), solely to the extent such amounts are not paid directly by Holdings or its Subsidiaries; and</w:t>
      </w:r>
    </w:p>
    <w:p>
      <w:pPr>
        <w:spacing w:after="0" w:line="222" w:lineRule="exact"/>
        <w:rPr>
          <w:rFonts w:ascii="Arial" w:cs="Arial" w:eastAsia="Arial" w:hAnsi="Arial"/>
          <w:sz w:val="20"/>
          <w:szCs w:val="20"/>
          <w:color w:val="auto"/>
        </w:rPr>
      </w:pPr>
    </w:p>
    <w:p>
      <w:pPr>
        <w:jc w:val="both"/>
        <w:ind w:left="780" w:firstLine="649"/>
        <w:spacing w:after="0" w:line="270" w:lineRule="auto"/>
        <w:tabs>
          <w:tab w:leader="none" w:pos="19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amounts to finance Investments that would otherwise be permitted to be made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hereof if made by Holdings or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Restricted Payment shall be made substantially concurrently with the closing of such Investment, (B) such Parent Entity shall, immediately following the closing thereof, cause (1) all property acquired (whether assets or equity interests) to be contributed to the capital of Holdings or one of its Restricted Subsidiaries or (2) the merger, consolidation or amalgamation of the Person formed or acquired into Holdings or one of its Restricted Subsidiaries (to the extent not prohibited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hereof) in order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 and such consideration or other payment is included as a Restricted Payment under this Agreement, (D) any property received by Holdings shall not increase amounts available for Restricted Payments pursuant to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hereof and (E) such Investment shall be deemed to be made by Holdings or such Restricted Subsidiary pursuant to a provision of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hereof or pursuant to the definition of “Permitted Investment.”</w:t>
      </w:r>
    </w:p>
    <w:p>
      <w:pPr>
        <w:spacing w:after="0" w:line="216" w:lineRule="exact"/>
        <w:rPr>
          <w:sz w:val="20"/>
          <w:szCs w:val="20"/>
          <w:color w:val="auto"/>
        </w:rPr>
      </w:pPr>
    </w:p>
    <w:p>
      <w:pPr>
        <w:jc w:val="both"/>
        <w:ind w:left="140" w:firstLine="1345"/>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Pari Passu Indebtedness</w:t>
      </w:r>
      <w:r>
        <w:rPr>
          <w:rFonts w:ascii="Arial" w:cs="Arial" w:eastAsia="Arial" w:hAnsi="Arial"/>
          <w:sz w:val="20"/>
          <w:szCs w:val="20"/>
          <w:color w:val="auto"/>
        </w:rPr>
        <w:t>” means Indebtedness of the Borrower which ranks equally in right of payment and security to the Secured Obligations or of any Guarantor if such Indebtedness ranks equally in right of payment and security to the Guaranty of the Secured Obligations.</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10.07(e)</w:t>
      </w:r>
      <w:r>
        <w:rPr>
          <w:rFonts w:ascii="Arial" w:cs="Arial" w:eastAsia="Arial" w:hAnsi="Arial"/>
          <w:sz w:val="20"/>
          <w:szCs w:val="20"/>
          <w:color w:val="auto"/>
        </w:rPr>
        <w:t>.</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10.07(e)</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324"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2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Alternative Incremental Facilities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7.03(b)(xx)</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-119-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49" w:name="page250"/>
    <w:bookmarkEnd w:id="24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the purchase or other acquisition of property and assets or businesses of any Person or of assets constituting a business unit, a line of business or division of such Person, or equity interests in a Person that, upon the consummation thereof, will be a Restricted Subsidiary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-120-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0" w:name="page251"/>
    <w:bookmarkEnd w:id="25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4" w:lineRule="auto"/>
        <w:rPr>
          <w:sz w:val="20"/>
          <w:szCs w:val="20"/>
          <w:color w:val="auto"/>
        </w:rPr>
      </w:pPr>
      <w:r>
        <w:rPr>
          <w:rFonts w:ascii="Arial" w:cs="Arial" w:eastAsia="Arial" w:hAnsi="Arial"/>
          <w:sz w:val="18"/>
          <w:szCs w:val="18"/>
          <w:color w:val="auto"/>
        </w:rPr>
        <w:t xml:space="preserve">of the Borrower (including as a result of a merger or consolidation);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except in the case of a Limited Condition Transaction (in which case, compliance with this clause (i) shall be determined in accordance with Section 1.09(a)), immediately before and immediately after giving pro forma effect to any such purchase or other acquisition, no Event of Default shall have occurred and be continuing, (ii) after giving effect to any such purchase or other acquisition, the Borrower shall be in compliance with the covenant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Section 6.10.</w:t>
      </w:r>
    </w:p>
    <w:p>
      <w:pPr>
        <w:spacing w:after="0" w:line="209"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Asset Swap</w:t>
      </w:r>
      <w:r>
        <w:rPr>
          <w:rFonts w:ascii="Arial" w:cs="Arial" w:eastAsia="Arial" w:hAnsi="Arial"/>
          <w:sz w:val="20"/>
          <w:szCs w:val="20"/>
          <w:color w:val="auto"/>
        </w:rPr>
        <w:t xml:space="preserve">” means the concurrent purchase and sale or exchange of assets used or useful in a Similar Business or a combination of such assets and cash, Cash Equivalents between the Borrower or any of the Restricted Subsidiaries and another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cash or Cash Equivalents received in excess of the value of any cash or Cash Equivalents sold or exchanged must be applied in accordance with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hereof.</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Debt Exchange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Debt Exchange Notes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Debt Exchange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collectively, (i) the Sponsor, (ii) Ronald Corio, the Management Stockholders (including any Management Stockholders holding Capital Stock through an equityholding vehicle) and rollover equity investors, (iii) any heirs, executors, administrators, testamentary trustees, legatees or beneficiaries of a person identified in clause (ii) above, (iv) any trust, the beneficiaries of which, or a corporation or partnership, the stockholders or partners of which, include only a person identified in clause (ii) above, his or her spouse, parents, siblings, members of his or her immediate family (including adopted children and step children) and/or direct lineal descendants) (v)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such group and without giving effect to the existence of such group or any other group, Persons referred to in subclauses (i) through (iv), collectively, have beneficial ownership of more than 50.0% of the total voting power of the Voting Stock of Holdings or any Parent Entity held by such group, (vi) any Holding Company and (vii) any Permitted Plan. Any Person or group whose acquisition of beneficial ownership constitutes a Change of Control the Event of Default resulting from which is waived in accordance with the requirements of this Agreement, will thereafter, together with its Affiliates, constitute an additional Permitted Holder.</w:t>
      </w:r>
    </w:p>
    <w:p>
      <w:pPr>
        <w:spacing w:after="0" w:line="199"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Initial Revolving Borrowing</w:t>
      </w:r>
      <w:r>
        <w:rPr>
          <w:rFonts w:ascii="Arial" w:cs="Arial" w:eastAsia="Arial" w:hAnsi="Arial"/>
          <w:sz w:val="20"/>
          <w:szCs w:val="20"/>
          <w:color w:val="auto"/>
        </w:rPr>
        <w:t>” means (a) one or more Borrowings of Revolving Credit Loans (i) in an aggregate amount of this clause (i) of up to $20,000,000 to pay any Transaction Expenses and for working capital and general corporate purposes (including without limitation, for Permitted Acquisitions and capital expenditures, but not, for the avoidance of doubt, to fund the Closing Distribution) and (ii) to finance any amount of original issue discount or upfront fees imposed pursuant to the “market flex” provisions of the Fee Letter, and (b) the issuance of Letters of Credit in replacement of, or as a backstop for, letters of credit of the Borrower or the Restricted Subsidiaries outstanding on the Closing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-121-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1" w:name="page252"/>
    <w:bookmarkEnd w:id="25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Intercompany Activities</w:t>
      </w:r>
      <w:r>
        <w:rPr>
          <w:rFonts w:ascii="Arial" w:cs="Arial" w:eastAsia="Arial" w:hAnsi="Arial"/>
          <w:sz w:val="20"/>
          <w:szCs w:val="20"/>
          <w:color w:val="auto"/>
        </w:rPr>
        <w:t>” means any transactions between or among the Borrower and the Restricted Subsidiaries that are entered into in the ordinary course of business or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-122-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2" w:name="page253"/>
    <w:bookmarkEnd w:id="25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6" w:lineRule="auto"/>
        <w:rPr>
          <w:sz w:val="20"/>
          <w:szCs w:val="20"/>
          <w:color w:val="auto"/>
        </w:rPr>
      </w:pPr>
      <w:r>
        <w:rPr>
          <w:rFonts w:ascii="Arial" w:cs="Arial" w:eastAsia="Arial" w:hAnsi="Arial"/>
          <w:sz w:val="20"/>
          <w:szCs w:val="20"/>
          <w:color w:val="auto"/>
        </w:rPr>
        <w:t>consistent with past practice of the Borrower and the Restricted Subsidiaries and, in the reasonable determination of the Borrower are necessary or advisable in connection with the ownership or operation of the business of the Borrower and the Restricted Subsidiaries, including (i) payroll, cash management, purchasing, insurance and hedging arrangements; (ii) management, technology and licensing arrangements; and (iii) customary loyalty and rewards programs.</w:t>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 (in each case, by the Borrower or any of the Restricted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Subsidiaries):</w:t>
      </w:r>
    </w:p>
    <w:p>
      <w:pPr>
        <w:spacing w:after="0" w:line="308" w:lineRule="exact"/>
        <w:rPr>
          <w:sz w:val="20"/>
          <w:szCs w:val="20"/>
          <w:color w:val="auto"/>
        </w:rPr>
      </w:pPr>
    </w:p>
    <w:p>
      <w:pPr>
        <w:jc w:val="both"/>
        <w:ind w:left="220" w:firstLine="1290"/>
        <w:spacing w:after="0" w:line="263" w:lineRule="auto"/>
        <w:tabs>
          <w:tab w:leader="none" w:pos="195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Investments in (i) a Restricted Subsidiary (including the Capital Stock of, or guarantees of obligations of, a Restricted Subsidiary) or the Borrower or (ii) a Person (including the Capital Stock of any such Person) that will, upon the making of such Investment, become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Investments pursuant to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in Persons that are not Loan Parties shall not exceed the greater of $107.0 million and 50% of LTM EBITDA</w:t>
      </w:r>
    </w:p>
    <w:p>
      <w:pPr>
        <w:spacing w:after="0" w:line="203" w:lineRule="exact"/>
        <w:rPr>
          <w:rFonts w:ascii="Arial" w:cs="Arial" w:eastAsia="Arial" w:hAnsi="Arial"/>
          <w:sz w:val="19"/>
          <w:szCs w:val="19"/>
          <w:color w:val="auto"/>
        </w:rPr>
      </w:pPr>
    </w:p>
    <w:p>
      <w:pPr>
        <w:jc w:val="both"/>
        <w:ind w:left="220" w:firstLine="1290"/>
        <w:spacing w:after="0" w:line="259" w:lineRule="auto"/>
        <w:tabs>
          <w:tab w:leader="none" w:pos="194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provided that such Investment was not acquired by such Person in contemplation of such acquisition, merger, amalgamation, consolidation, combination, transfer or conveyance;</w:t>
      </w:r>
    </w:p>
    <w:p>
      <w:pPr>
        <w:spacing w:after="0" w:line="218" w:lineRule="exact"/>
        <w:rPr>
          <w:rFonts w:ascii="Arial" w:cs="Arial" w:eastAsia="Arial" w:hAnsi="Arial"/>
          <w:sz w:val="19"/>
          <w:szCs w:val="19"/>
          <w:color w:val="auto"/>
        </w:rPr>
      </w:pPr>
    </w:p>
    <w:p>
      <w:pPr>
        <w:jc w:val="both"/>
        <w:ind w:left="220" w:firstLine="1290"/>
        <w:spacing w:after="0" w:line="270" w:lineRule="auto"/>
        <w:tabs>
          <w:tab w:leader="none" w:pos="19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 Permitted Acquisitions and (ii) any Investment held by a Restricted Subsidiary acquired pursuant to a Permitted Acquisition at the time of such Permitted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 was not acquired by such Person in contemplation of such acquisition, merger, amalgamation, consolidation, combination, transfer or conveyance;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agregate amount of Investments in Persons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that are not Loan Parties shall not exceed the greater of</w:t>
      </w:r>
    </w:p>
    <w:p>
      <w:pPr>
        <w:spacing w:after="0" w:line="2" w:lineRule="exact"/>
        <w:rPr>
          <w:rFonts w:ascii="Arial" w:cs="Arial" w:eastAsia="Arial" w:hAnsi="Arial"/>
          <w:sz w:val="18"/>
          <w:szCs w:val="18"/>
          <w:color w:val="auto"/>
        </w:rPr>
      </w:pPr>
    </w:p>
    <w:p>
      <w:pPr>
        <w:jc w:val="both"/>
        <w:ind w:left="220" w:hanging="1"/>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$213.0 million and 100% of LTM EBITDA;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limitation shall not apply in the event that, after giving pro forma effect to the applicable Permitted Acquisition, 75% of Consolidated EBITDA of the target is or will become attributable to the Loan Parties;</w:t>
      </w:r>
    </w:p>
    <w:p>
      <w:pPr>
        <w:spacing w:after="0" w:line="236" w:lineRule="exact"/>
        <w:rPr>
          <w:rFonts w:ascii="Arial" w:cs="Arial" w:eastAsia="Arial" w:hAnsi="Arial"/>
          <w:sz w:val="18"/>
          <w:szCs w:val="18"/>
          <w:color w:val="auto"/>
        </w:rPr>
      </w:pPr>
    </w:p>
    <w:p>
      <w:pPr>
        <w:ind w:left="2160" w:hanging="650"/>
        <w:spacing w:after="0"/>
        <w:tabs>
          <w:tab w:leader="none" w:pos="21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Investments in cash, Cash Equivalents or Investment Grade Securities;</w:t>
      </w:r>
    </w:p>
    <w:p>
      <w:pPr>
        <w:spacing w:after="0" w:line="242" w:lineRule="exact"/>
        <w:rPr>
          <w:rFonts w:ascii="Arial" w:cs="Arial" w:eastAsia="Arial" w:hAnsi="Arial"/>
          <w:sz w:val="20"/>
          <w:szCs w:val="20"/>
          <w:color w:val="auto"/>
        </w:rPr>
      </w:pPr>
    </w:p>
    <w:p>
      <w:pPr>
        <w:ind w:left="220" w:firstLine="1291"/>
        <w:spacing w:after="0" w:line="260" w:lineRule="auto"/>
        <w:tabs>
          <w:tab w:leader="none" w:pos="195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Investments in receivables owing to the Borrower or any Restricted Subsidiary created or acquired in the ordinary course of business or consistent with past practice;</w:t>
      </w:r>
    </w:p>
    <w:p>
      <w:pPr>
        <w:spacing w:after="0" w:line="217" w:lineRule="exact"/>
        <w:rPr>
          <w:rFonts w:ascii="Arial" w:cs="Arial" w:eastAsia="Arial" w:hAnsi="Arial"/>
          <w:sz w:val="20"/>
          <w:szCs w:val="20"/>
          <w:color w:val="auto"/>
        </w:rPr>
      </w:pPr>
    </w:p>
    <w:p>
      <w:pPr>
        <w:ind w:left="220" w:firstLine="1290"/>
        <w:spacing w:after="0" w:line="260" w:lineRule="auto"/>
        <w:tabs>
          <w:tab w:leader="none" w:pos="195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Investments in payroll, travel, entertainment, relocation, moving related and similar advances that are made in the ordinary course of business or consistent with past practice;</w:t>
      </w:r>
    </w:p>
    <w:p>
      <w:pPr>
        <w:spacing w:after="0" w:line="217" w:lineRule="exact"/>
        <w:rPr>
          <w:rFonts w:ascii="Arial" w:cs="Arial" w:eastAsia="Arial" w:hAnsi="Arial"/>
          <w:sz w:val="20"/>
          <w:szCs w:val="20"/>
          <w:color w:val="auto"/>
        </w:rPr>
      </w:pPr>
    </w:p>
    <w:p>
      <w:pPr>
        <w:ind w:left="2160" w:hanging="650"/>
        <w:spacing w:after="0"/>
        <w:tabs>
          <w:tab w:leader="none" w:pos="21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Management Advances;</w:t>
      </w:r>
    </w:p>
    <w:p>
      <w:pPr>
        <w:spacing w:after="0" w:line="242" w:lineRule="exact"/>
        <w:rPr>
          <w:rFonts w:ascii="Arial" w:cs="Arial" w:eastAsia="Arial" w:hAnsi="Arial"/>
          <w:sz w:val="20"/>
          <w:szCs w:val="20"/>
          <w:color w:val="auto"/>
        </w:rPr>
      </w:pPr>
    </w:p>
    <w:p>
      <w:pPr>
        <w:jc w:val="both"/>
        <w:ind w:left="220" w:firstLine="1291"/>
        <w:spacing w:after="0" w:line="246" w:lineRule="auto"/>
        <w:tabs>
          <w:tab w:leader="none" w:pos="194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and trade arrangements, (c) as a result of foreclosure, perfection or enforcement of any Lien,</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-123-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3" w:name="page254"/>
    <w:bookmarkEnd w:id="25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hanging="6"/>
        <w:spacing w:after="0" w:line="250" w:lineRule="auto"/>
        <w:tabs>
          <w:tab w:leader="none" w:pos="65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-124-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4" w:name="page255"/>
    <w:bookmarkEnd w:id="25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20" w:firstLine="1185"/>
        <w:spacing w:after="0" w:line="260" w:lineRule="auto"/>
        <w:tabs>
          <w:tab w:leader="none" w:pos="194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Investments made as a result of the receipt of promissory notes or other non-cash consideration (including earn-outs) from a sale or other disposition of property or assets, including an Asset Disposition;</w:t>
      </w:r>
    </w:p>
    <w:p>
      <w:pPr>
        <w:spacing w:after="0" w:line="217" w:lineRule="exact"/>
        <w:rPr>
          <w:rFonts w:ascii="Arial" w:cs="Arial" w:eastAsia="Arial" w:hAnsi="Arial"/>
          <w:sz w:val="20"/>
          <w:szCs w:val="20"/>
          <w:color w:val="auto"/>
        </w:rPr>
      </w:pPr>
    </w:p>
    <w:p>
      <w:pPr>
        <w:jc w:val="both"/>
        <w:ind w:left="220" w:firstLine="1290"/>
        <w:spacing w:after="0" w:line="242" w:lineRule="auto"/>
        <w:tabs>
          <w:tab w:leader="none" w:pos="1946"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Investments existing or pursuant to binding commitments, agreements or arrangements in effect on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Investment in an outstanding amount in excess of $3.0 million shall be listed on </w:t>
      </w:r>
      <w:r>
        <w:rPr>
          <w:rFonts w:ascii="Arial" w:cs="Arial" w:eastAsia="Arial" w:hAnsi="Arial"/>
          <w:sz w:val="20"/>
          <w:szCs w:val="20"/>
          <w:u w:val="single" w:color="auto"/>
          <w:color w:val="auto"/>
        </w:rPr>
        <w:t>Schedule 1.01G</w:t>
      </w:r>
      <w:r>
        <w:rPr>
          <w:rFonts w:ascii="Arial" w:cs="Arial" w:eastAsia="Arial" w:hAnsi="Arial"/>
          <w:sz w:val="20"/>
          <w:szCs w:val="20"/>
          <w:color w:val="auto"/>
        </w:rPr>
        <w:t xml:space="preserve"> to the Closing Date Certificate and (b) any modification, replacement, renewal, reinvestment or extension of Investments existing on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w:t>
      </w:r>
    </w:p>
    <w:p>
      <w:pPr>
        <w:spacing w:after="0" w:line="223" w:lineRule="exact"/>
        <w:rPr>
          <w:rFonts w:ascii="Arial" w:cs="Arial" w:eastAsia="Arial" w:hAnsi="Arial"/>
          <w:sz w:val="20"/>
          <w:szCs w:val="20"/>
          <w:color w:val="auto"/>
        </w:rPr>
      </w:pPr>
    </w:p>
    <w:p>
      <w:pPr>
        <w:ind w:left="220" w:right="20" w:firstLine="1290"/>
        <w:spacing w:after="0" w:line="260" w:lineRule="auto"/>
        <w:tabs>
          <w:tab w:leader="none" w:pos="1948"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Hedging Obligations, including any terminations or unwinding thereof, which transactions or obligations are not prohibited by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hereof;</w:t>
      </w:r>
    </w:p>
    <w:p>
      <w:pPr>
        <w:spacing w:after="0" w:line="284" w:lineRule="exact"/>
        <w:rPr>
          <w:rFonts w:ascii="Arial" w:cs="Arial" w:eastAsia="Arial" w:hAnsi="Arial"/>
          <w:sz w:val="20"/>
          <w:szCs w:val="20"/>
          <w:color w:val="auto"/>
        </w:rPr>
      </w:pPr>
    </w:p>
    <w:p>
      <w:pPr>
        <w:ind w:left="220" w:firstLine="1290"/>
        <w:spacing w:after="0" w:line="316" w:lineRule="auto"/>
        <w:tabs>
          <w:tab w:leader="none" w:pos="194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w:t>
      </w:r>
    </w:p>
    <w:p>
      <w:pPr>
        <w:spacing w:after="0" w:line="251" w:lineRule="exact"/>
        <w:rPr>
          <w:rFonts w:ascii="Arial" w:cs="Arial" w:eastAsia="Arial" w:hAnsi="Arial"/>
          <w:sz w:val="18"/>
          <w:szCs w:val="18"/>
          <w:color w:val="auto"/>
        </w:rPr>
      </w:pPr>
    </w:p>
    <w:p>
      <w:pPr>
        <w:jc w:val="both"/>
        <w:ind w:left="220" w:right="20" w:firstLine="1290"/>
        <w:spacing w:after="0" w:line="250" w:lineRule="auto"/>
        <w:tabs>
          <w:tab w:leader="none" w:pos="195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any Investment to the extent made using Capital Stock of Holdings (other than Disqualified Stock) or Capital Stock of any Parent Entity or any Unrestricted Subsidiary (other than an Unrestricted Subsidiary whose only material assets are Cash and Cash Equivalents) as consideration;</w:t>
      </w:r>
    </w:p>
    <w:p>
      <w:pPr>
        <w:spacing w:after="0" w:line="226" w:lineRule="exact"/>
        <w:rPr>
          <w:rFonts w:ascii="Arial" w:cs="Arial" w:eastAsia="Arial" w:hAnsi="Arial"/>
          <w:sz w:val="20"/>
          <w:szCs w:val="20"/>
          <w:color w:val="auto"/>
        </w:rPr>
      </w:pPr>
    </w:p>
    <w:p>
      <w:pPr>
        <w:ind w:left="220" w:firstLine="1291"/>
        <w:spacing w:after="0" w:line="260" w:lineRule="auto"/>
        <w:tabs>
          <w:tab w:leader="none" w:pos="194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any transaction to the extent constituting an Investment that is permitted and made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7.07(b)</w:t>
      </w:r>
      <w:r>
        <w:rPr>
          <w:rFonts w:ascii="Arial" w:cs="Arial" w:eastAsia="Arial" w:hAnsi="Arial"/>
          <w:sz w:val="20"/>
          <w:szCs w:val="20"/>
          <w:color w:val="auto"/>
        </w:rPr>
        <w:t xml:space="preserve"> hereof (except those described in </w:t>
      </w:r>
      <w:r>
        <w:rPr>
          <w:rFonts w:ascii="Arial" w:cs="Arial" w:eastAsia="Arial" w:hAnsi="Arial"/>
          <w:sz w:val="20"/>
          <w:szCs w:val="20"/>
          <w:u w:val="single" w:color="auto"/>
          <w:color w:val="auto"/>
        </w:rPr>
        <w:t>Sections 7.07(b)(i)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(xiv)</w:t>
      </w:r>
      <w:r>
        <w:rPr>
          <w:rFonts w:ascii="Arial" w:cs="Arial" w:eastAsia="Arial" w:hAnsi="Arial"/>
          <w:sz w:val="20"/>
          <w:szCs w:val="20"/>
          <w:color w:val="auto"/>
        </w:rPr>
        <w:t>);</w:t>
      </w:r>
    </w:p>
    <w:p>
      <w:pPr>
        <w:spacing w:after="0" w:line="284" w:lineRule="exact"/>
        <w:rPr>
          <w:rFonts w:ascii="Arial" w:cs="Arial" w:eastAsia="Arial" w:hAnsi="Arial"/>
          <w:sz w:val="20"/>
          <w:szCs w:val="20"/>
          <w:color w:val="auto"/>
        </w:rPr>
      </w:pPr>
    </w:p>
    <w:p>
      <w:pPr>
        <w:jc w:val="both"/>
        <w:ind w:left="220" w:firstLine="1290"/>
        <w:spacing w:after="0" w:line="244" w:lineRule="auto"/>
        <w:tabs>
          <w:tab w:leader="none" w:pos="194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Investments consisting of (i) asset purchases (including acquisitions of inventory, supplies, materials, equipment and similar assets) or (ii) licenses, sublicenses, cross-licenses, leases, subleases, assignments, transfers, contributions or other Investments of IP Rights or other intangibles or services in the ordinary course of business pursuant to any joint research or development, joint venture, strategic alliance or marketing arrangements with other Persons or any Intercompany License Agreement and any other Investments made in connection therewith;</w:t>
      </w:r>
    </w:p>
    <w:p>
      <w:pPr>
        <w:spacing w:after="0" w:line="234" w:lineRule="exact"/>
        <w:rPr>
          <w:rFonts w:ascii="Arial" w:cs="Arial" w:eastAsia="Arial" w:hAnsi="Arial"/>
          <w:sz w:val="20"/>
          <w:szCs w:val="20"/>
          <w:color w:val="auto"/>
        </w:rPr>
      </w:pPr>
    </w:p>
    <w:p>
      <w:pPr>
        <w:jc w:val="both"/>
        <w:ind w:left="220" w:firstLine="1291"/>
        <w:spacing w:after="0" w:line="291" w:lineRule="auto"/>
        <w:tabs>
          <w:tab w:leader="none" w:pos="194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(i) Guarantees of Indebtedness not prohibited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hereof and (other than with respect to Indebtedness) guarantees, keepwells and similar arrangements in the ordinary course of business or consistent with past practice, and (ii) performance guarantees and Contingent Obligations with respect to obligations that are permitted by this Agreement;</w:t>
      </w:r>
    </w:p>
    <w:p>
      <w:pPr>
        <w:spacing w:after="0" w:line="192" w:lineRule="exact"/>
        <w:rPr>
          <w:rFonts w:ascii="Arial" w:cs="Arial" w:eastAsia="Arial" w:hAnsi="Arial"/>
          <w:sz w:val="18"/>
          <w:szCs w:val="18"/>
          <w:color w:val="auto"/>
        </w:rPr>
      </w:pPr>
    </w:p>
    <w:p>
      <w:pPr>
        <w:ind w:left="220" w:firstLine="1290"/>
        <w:spacing w:after="0" w:line="260" w:lineRule="auto"/>
        <w:tabs>
          <w:tab w:leader="none" w:pos="1948" w:val="left"/>
        </w:tabs>
        <w:numPr>
          <w:ilvl w:val="1"/>
          <w:numId w:val="144"/>
        </w:numPr>
        <w:rPr>
          <w:rFonts w:ascii="Arial" w:cs="Arial" w:eastAsia="Arial" w:hAnsi="Arial"/>
          <w:sz w:val="20"/>
          <w:szCs w:val="20"/>
          <w:color w:val="auto"/>
        </w:rPr>
      </w:pPr>
      <w:r>
        <w:rPr>
          <w:rFonts w:ascii="Arial" w:cs="Arial" w:eastAsia="Arial" w:hAnsi="Arial"/>
          <w:sz w:val="20"/>
          <w:szCs w:val="20"/>
          <w:color w:val="auto"/>
        </w:rPr>
        <w:t>Investments consisting of earnest money deposits required in connection with a purchase agreement, or letter of intent, or other acquisitions to the extent not otherwise prohibited by this Agreement;</w:t>
      </w:r>
    </w:p>
    <w:p>
      <w:pPr>
        <w:spacing w:after="0" w:line="203" w:lineRule="exact"/>
        <w:rPr>
          <w:rFonts w:ascii="Arial" w:cs="Arial" w:eastAsia="Arial" w:hAnsi="Arial"/>
          <w:sz w:val="20"/>
          <w:szCs w:val="20"/>
          <w:color w:val="auto"/>
        </w:rPr>
      </w:pPr>
    </w:p>
    <w:p>
      <w:pPr>
        <w:ind w:left="220" w:firstLine="1290"/>
        <w:spacing w:after="0" w:line="260" w:lineRule="auto"/>
        <w:tabs>
          <w:tab w:leader="none" w:pos="1956" w:val="left"/>
        </w:tabs>
        <w:numPr>
          <w:ilvl w:val="1"/>
          <w:numId w:val="144"/>
        </w:numPr>
        <w:rPr>
          <w:rFonts w:ascii="Arial" w:cs="Arial" w:eastAsia="Arial" w:hAnsi="Arial"/>
          <w:sz w:val="20"/>
          <w:szCs w:val="20"/>
          <w:color w:val="auto"/>
        </w:rPr>
      </w:pPr>
      <w:r>
        <w:rPr>
          <w:rFonts w:ascii="Arial" w:cs="Arial" w:eastAsia="Arial" w:hAnsi="Arial"/>
          <w:sz w:val="20"/>
          <w:szCs w:val="20"/>
          <w:color w:val="auto"/>
        </w:rPr>
        <w:t>Investments of a Restricted Subsidiary acquired after the Closing Date or of an entity merged or amalgamated into or consolidated with the Borrower or merged or amalgamated into or</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-125-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5" w:name="page256"/>
    <w:bookmarkEnd w:id="25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consolidated with a Restricted Subsidiary after the Closing Date to the extent that such Investments were not made in contemplation of or in connection with such acquisition, merger, amalgamation, or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-126-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6" w:name="page257"/>
    <w:bookmarkEnd w:id="25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consolidation and were in existence on the date of such acquisition, merger, amalgamation or consolidation;</w:t>
      </w:r>
    </w:p>
    <w:p>
      <w:pPr>
        <w:spacing w:after="0" w:line="256" w:lineRule="exact"/>
        <w:rPr>
          <w:sz w:val="20"/>
          <w:szCs w:val="20"/>
          <w:color w:val="auto"/>
        </w:rPr>
      </w:pPr>
    </w:p>
    <w:p>
      <w:pPr>
        <w:ind w:left="220" w:firstLine="1290"/>
        <w:spacing w:after="0" w:line="316" w:lineRule="auto"/>
        <w:tabs>
          <w:tab w:leader="none" w:pos="19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the ordinary course of business or consistent with past practice (including any cash management arrangements, cash pooling arrangements, intercompany loans or activities related thereto);</w:t>
      </w:r>
    </w:p>
    <w:p>
      <w:pPr>
        <w:spacing w:after="0" w:line="156" w:lineRule="exact"/>
        <w:rPr>
          <w:rFonts w:ascii="Arial" w:cs="Arial" w:eastAsia="Arial" w:hAnsi="Arial"/>
          <w:sz w:val="18"/>
          <w:szCs w:val="18"/>
          <w:color w:val="auto"/>
        </w:rPr>
      </w:pPr>
    </w:p>
    <w:p>
      <w:pPr>
        <w:ind w:left="2200" w:hanging="690"/>
        <w:spacing w:after="0"/>
        <w:tabs>
          <w:tab w:leader="none" w:pos="22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220" w:right="20" w:firstLine="1290"/>
        <w:spacing w:after="0" w:line="291" w:lineRule="auto"/>
        <w:tabs>
          <w:tab w:leader="none" w:pos="19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w:t>
      </w:r>
    </w:p>
    <w:p>
      <w:pPr>
        <w:spacing w:after="0" w:line="192" w:lineRule="exact"/>
        <w:rPr>
          <w:rFonts w:ascii="Arial" w:cs="Arial" w:eastAsia="Arial" w:hAnsi="Arial"/>
          <w:sz w:val="18"/>
          <w:szCs w:val="18"/>
          <w:color w:val="auto"/>
        </w:rPr>
      </w:pPr>
    </w:p>
    <w:p>
      <w:pPr>
        <w:ind w:left="220" w:right="60" w:firstLine="1290"/>
        <w:spacing w:after="0" w:line="255" w:lineRule="auto"/>
        <w:tabs>
          <w:tab w:leader="none" w:pos="194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Investments in joint ventures and similar entities and Unrestricted Subsidiaries having a fair market value, when taken together with all other Investments made pursuant to this clause that are at that time outstanding, not to exceed the greater of $52.5 million and 35.0%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received by the Borrower or a Restricted Subsidiary (without duplication for purposes of Section 7.06 of any amounts applied pursuant to Section 7.06(a)) with the fair market value of each Investment being measured at the time made and without giving effect to subsequent changes in value; provided, however, that if any Investment pursuant to this clause is made in any Person that is not the Borrower or a Restricted Subsidiary at the date of the making of such Investment and such person becomes the Borrower or a Restricted Subsidiary after such date, such Investment shall thereafter be deemed to have been made pursuant to clause (i) or (ii) above and shall cease to have been made pursuant to this clause;</w:t>
      </w:r>
    </w:p>
    <w:p>
      <w:pPr>
        <w:spacing w:after="0" w:line="213" w:lineRule="exact"/>
        <w:rPr>
          <w:rFonts w:ascii="Arial" w:cs="Arial" w:eastAsia="Arial" w:hAnsi="Arial"/>
          <w:sz w:val="19"/>
          <w:szCs w:val="19"/>
          <w:color w:val="auto"/>
        </w:rPr>
      </w:pPr>
    </w:p>
    <w:p>
      <w:pPr>
        <w:jc w:val="both"/>
        <w:ind w:left="220" w:firstLine="1290"/>
        <w:spacing w:after="0" w:line="256" w:lineRule="auto"/>
        <w:tabs>
          <w:tab w:leader="none" w:pos="195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additional Investments having an aggregate fair market value, taken together with all other Investments made pursuant to this clause (w) that are at that time outstanding, not to exceed the greater of $96.0 million and 45.0% of LTM EBITDA (with the fair market value of each Investment being measured at the time made and without giving effect to subsequent changes in value) plus unused amounts pursuant to </w:t>
      </w:r>
      <w:r>
        <w:rPr>
          <w:rFonts w:ascii="Arial" w:cs="Arial" w:eastAsia="Arial" w:hAnsi="Arial"/>
          <w:sz w:val="19"/>
          <w:szCs w:val="19"/>
          <w:u w:val="single" w:color="auto"/>
          <w:color w:val="auto"/>
        </w:rPr>
        <w:t>Section 7.06(b)(xvii)(i)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7.06(b)(xxiv)</w:t>
      </w:r>
      <w:r>
        <w:rPr>
          <w:rFonts w:ascii="Arial" w:cs="Arial" w:eastAsia="Arial" w:hAnsi="Arial"/>
          <w:sz w:val="19"/>
          <w:szCs w:val="19"/>
          <w:color w:val="auto"/>
        </w:rPr>
        <w:t xml:space="preserve">, plus the amount of any returns (including dividends, payments, interest, distributions, returns of principal, profits on sale, repayments, income and similar amounts) in respect of such Investments received by the Borrower or a Restricted Subsidiary (without duplication for purposes of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of any amounts applied pursuant to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Investment is in Capital Stock of a Person that subsequently becomes the Borrower or a Restricted Subsidiary, such Investment shall thereafter be deemed permitted under clause (i) or (ii) above and shall not be included as having been made pursuant to this clause (w);</w:t>
      </w:r>
    </w:p>
    <w:p>
      <w:pPr>
        <w:spacing w:after="0" w:line="224" w:lineRule="exact"/>
        <w:rPr>
          <w:rFonts w:ascii="Arial" w:cs="Arial" w:eastAsia="Arial" w:hAnsi="Arial"/>
          <w:sz w:val="19"/>
          <w:szCs w:val="19"/>
          <w:color w:val="auto"/>
        </w:rPr>
      </w:pPr>
    </w:p>
    <w:p>
      <w:pPr>
        <w:jc w:val="both"/>
        <w:ind w:left="220" w:firstLine="1290"/>
        <w:spacing w:after="0" w:line="274" w:lineRule="auto"/>
        <w:tabs>
          <w:tab w:leader="none" w:pos="19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any Investment in a Similar Business having an aggregate fair market value, taken together with all other Investments made pursuant to this clause that are at that time outstanding, not to exceed the greater of $54.0 million and 25.0%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of any amounts applied pursuant to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hereof) with the fair market value of each Investment being measured at the time made and without giving effect to subsequent changes in value;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Investment pursuant to this</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-127-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7" w:name="page258"/>
    <w:bookmarkEnd w:id="25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clause is made in any Person that is not the Borrower or a Restricted Subsidiary at the date of the making of such Investment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-128-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58" w:name="page259"/>
    <w:bookmarkEnd w:id="25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line="287" w:lineRule="auto"/>
        <w:rPr>
          <w:sz w:val="20"/>
          <w:szCs w:val="20"/>
          <w:color w:val="auto"/>
        </w:rPr>
      </w:pPr>
      <w:r>
        <w:rPr>
          <w:rFonts w:ascii="Arial" w:cs="Arial" w:eastAsia="Arial" w:hAnsi="Arial"/>
          <w:sz w:val="19"/>
          <w:szCs w:val="19"/>
          <w:color w:val="auto"/>
        </w:rPr>
        <w:t>and such Person becomes the Borrower or a Restricted Subsidiary after such date, such Investment shall thereafter be deemed to have been made pursuant to clause (a) or (b) above and shall cease to have been made pursuant to this clause;</w:t>
      </w:r>
    </w:p>
    <w:p>
      <w:pPr>
        <w:spacing w:after="0" w:line="193" w:lineRule="exact"/>
        <w:rPr>
          <w:sz w:val="20"/>
          <w:szCs w:val="20"/>
          <w:color w:val="auto"/>
        </w:rPr>
      </w:pPr>
    </w:p>
    <w:p>
      <w:pPr>
        <w:ind w:left="2140" w:hanging="631"/>
        <w:spacing w:after="0"/>
        <w:tabs>
          <w:tab w:leader="none" w:pos="21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2160" w:hanging="651"/>
        <w:spacing w:after="0"/>
        <w:tabs>
          <w:tab w:leader="none" w:pos="21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020" w:hanging="510"/>
        <w:spacing w:after="0"/>
        <w:tabs>
          <w:tab w:leader="none" w:pos="2020" w:val="left"/>
        </w:tabs>
        <w:numPr>
          <w:ilvl w:val="2"/>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20" w:right="960" w:firstLine="1290"/>
        <w:spacing w:after="0" w:line="260" w:lineRule="auto"/>
        <w:tabs>
          <w:tab w:leader="none" w:pos="2042" w:val="left"/>
        </w:tabs>
        <w:numPr>
          <w:ilvl w:val="2"/>
          <w:numId w:val="146"/>
        </w:numPr>
        <w:rPr>
          <w:rFonts w:ascii="Arial" w:cs="Arial" w:eastAsia="Arial" w:hAnsi="Arial"/>
          <w:sz w:val="20"/>
          <w:szCs w:val="20"/>
          <w:color w:val="auto"/>
        </w:rPr>
      </w:pPr>
      <w:r>
        <w:rPr>
          <w:rFonts w:ascii="Arial" w:cs="Arial" w:eastAsia="Arial" w:hAnsi="Arial"/>
          <w:sz w:val="20"/>
          <w:szCs w:val="20"/>
          <w:color w:val="auto"/>
        </w:rPr>
        <w:t xml:space="preserve">Investments by an Unrestricted Subsidiary entered into prior to the day such Unrestricted Subsidiary is redesignated as a Restricted Subsidiary as described under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284" w:lineRule="exact"/>
        <w:rPr>
          <w:rFonts w:ascii="Arial" w:cs="Arial" w:eastAsia="Arial" w:hAnsi="Arial"/>
          <w:sz w:val="20"/>
          <w:szCs w:val="20"/>
          <w:color w:val="auto"/>
        </w:rPr>
      </w:pPr>
    </w:p>
    <w:p>
      <w:pPr>
        <w:ind w:left="2020" w:hanging="509"/>
        <w:spacing w:after="0"/>
        <w:tabs>
          <w:tab w:leader="none" w:pos="2020" w:val="left"/>
        </w:tabs>
        <w:numPr>
          <w:ilvl w:val="2"/>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220" w:right="20" w:firstLine="1290"/>
        <w:spacing w:after="0" w:line="260" w:lineRule="auto"/>
        <w:tabs>
          <w:tab w:leader="none" w:pos="1905" w:val="left"/>
        </w:tabs>
        <w:numPr>
          <w:ilvl w:val="2"/>
          <w:numId w:val="146"/>
        </w:numPr>
        <w:rPr>
          <w:rFonts w:ascii="Arial" w:cs="Arial" w:eastAsia="Arial" w:hAnsi="Arial"/>
          <w:sz w:val="20"/>
          <w:szCs w:val="20"/>
          <w:color w:val="auto"/>
        </w:rPr>
      </w:pPr>
      <w:r>
        <w:rPr>
          <w:rFonts w:ascii="Arial" w:cs="Arial" w:eastAsia="Arial" w:hAnsi="Arial"/>
          <w:sz w:val="20"/>
          <w:szCs w:val="20"/>
          <w:color w:val="auto"/>
        </w:rPr>
        <w:t>Investments consisting of commissions advances to producers that may not be earned through personal production and that may be earned over time or written off by the Borrower as unearned salary;</w:t>
      </w:r>
    </w:p>
    <w:p>
      <w:pPr>
        <w:spacing w:after="0" w:line="217" w:lineRule="exact"/>
        <w:rPr>
          <w:rFonts w:ascii="Arial" w:cs="Arial" w:eastAsia="Arial" w:hAnsi="Arial"/>
          <w:sz w:val="20"/>
          <w:szCs w:val="20"/>
          <w:color w:val="auto"/>
        </w:rPr>
      </w:pPr>
    </w:p>
    <w:p>
      <w:pPr>
        <w:ind w:left="220" w:firstLine="1291"/>
        <w:spacing w:after="0" w:line="260" w:lineRule="auto"/>
        <w:tabs>
          <w:tab w:leader="none" w:pos="1891" w:val="left"/>
        </w:tabs>
        <w:numPr>
          <w:ilvl w:val="2"/>
          <w:numId w:val="146"/>
        </w:numPr>
        <w:rPr>
          <w:rFonts w:ascii="Arial" w:cs="Arial" w:eastAsia="Arial" w:hAnsi="Arial"/>
          <w:sz w:val="20"/>
          <w:szCs w:val="20"/>
          <w:color w:val="auto"/>
        </w:rPr>
      </w:pPr>
      <w:r>
        <w:rPr>
          <w:rFonts w:ascii="Arial" w:cs="Arial" w:eastAsia="Arial" w:hAnsi="Arial"/>
          <w:sz w:val="20"/>
          <w:szCs w:val="20"/>
          <w:color w:val="auto"/>
        </w:rPr>
        <w:t>guaranty and indemnification obligations arising in connection with surety bonds issued in the ordinary course of business or consistent with past practice;</w:t>
      </w:r>
    </w:p>
    <w:p>
      <w:pPr>
        <w:spacing w:after="0" w:line="217" w:lineRule="exact"/>
        <w:rPr>
          <w:rFonts w:ascii="Arial" w:cs="Arial" w:eastAsia="Arial" w:hAnsi="Arial"/>
          <w:sz w:val="20"/>
          <w:szCs w:val="20"/>
          <w:color w:val="auto"/>
        </w:rPr>
      </w:pPr>
    </w:p>
    <w:p>
      <w:pPr>
        <w:jc w:val="both"/>
        <w:ind w:left="220" w:firstLine="1290"/>
        <w:spacing w:after="0" w:line="243" w:lineRule="auto"/>
        <w:tabs>
          <w:tab w:leader="none" w:pos="1839" w:val="left"/>
        </w:tabs>
        <w:numPr>
          <w:ilvl w:val="2"/>
          <w:numId w:val="146"/>
        </w:numPr>
        <w:rPr>
          <w:rFonts w:ascii="Arial" w:cs="Arial" w:eastAsia="Arial" w:hAnsi="Arial"/>
          <w:sz w:val="20"/>
          <w:szCs w:val="20"/>
          <w:color w:val="auto"/>
        </w:rPr>
      </w:pPr>
      <w:r>
        <w:rPr>
          <w:rFonts w:ascii="Arial" w:cs="Arial" w:eastAsia="Arial" w:hAnsi="Arial"/>
          <w:sz w:val="20"/>
          <w:szCs w:val="20"/>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(c)(i) advances, loans, extensions of credit (including the creation of receivables) or (ii) prepayments made to, and guarantees with respect to obligations of, franchisees, distributors, suppliers, lessors, licensors and licensees, in each case in the ordinary course of business or consistent with past practice or (d) received in satisfaction or partial satisfaction thereof from financially troubled account debtors and other credits to suppliers in the ordinary course of business or consistent with past practice;</w:t>
      </w:r>
    </w:p>
    <w:p>
      <w:pPr>
        <w:spacing w:after="0" w:line="219" w:lineRule="exact"/>
        <w:rPr>
          <w:rFonts w:ascii="Arial" w:cs="Arial" w:eastAsia="Arial" w:hAnsi="Arial"/>
          <w:sz w:val="20"/>
          <w:szCs w:val="20"/>
          <w:color w:val="auto"/>
        </w:rPr>
      </w:pPr>
    </w:p>
    <w:p>
      <w:pPr>
        <w:jc w:val="both"/>
        <w:ind w:left="220" w:firstLine="1289"/>
        <w:spacing w:after="0" w:line="250" w:lineRule="auto"/>
        <w:tabs>
          <w:tab w:leader="none" w:pos="1958" w:val="left"/>
        </w:tabs>
        <w:numPr>
          <w:ilvl w:val="2"/>
          <w:numId w:val="146"/>
        </w:numPr>
        <w:rPr>
          <w:rFonts w:ascii="Arial" w:cs="Arial" w:eastAsia="Arial" w:hAnsi="Arial"/>
          <w:sz w:val="20"/>
          <w:szCs w:val="20"/>
          <w:color w:val="auto"/>
        </w:rPr>
      </w:pPr>
      <w:r>
        <w:rPr>
          <w:rFonts w:ascii="Arial" w:cs="Arial" w:eastAsia="Arial" w:hAnsi="Arial"/>
          <w:sz w:val="20"/>
          <w:szCs w:val="20"/>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212" w:lineRule="exact"/>
        <w:rPr>
          <w:rFonts w:ascii="Arial" w:cs="Arial" w:eastAsia="Arial" w:hAnsi="Arial"/>
          <w:sz w:val="20"/>
          <w:szCs w:val="20"/>
          <w:color w:val="auto"/>
        </w:rPr>
      </w:pPr>
    </w:p>
    <w:p>
      <w:pPr>
        <w:ind w:left="220" w:right="20" w:firstLine="1289"/>
        <w:spacing w:after="0" w:line="316" w:lineRule="auto"/>
        <w:tabs>
          <w:tab w:leader="none" w:pos="1918"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Investments consisting of endorsements for collection or deposit and trade arrangements with customers (or any comparable or similar provisions in other applicable jurisdictions) in the ordinary course of business or consistent with past practice;</w:t>
      </w:r>
    </w:p>
    <w:p>
      <w:pPr>
        <w:spacing w:after="0" w:line="170" w:lineRule="exact"/>
        <w:rPr>
          <w:rFonts w:ascii="Arial" w:cs="Arial" w:eastAsia="Arial" w:hAnsi="Arial"/>
          <w:sz w:val="18"/>
          <w:szCs w:val="18"/>
          <w:color w:val="auto"/>
        </w:rPr>
      </w:pPr>
    </w:p>
    <w:p>
      <w:pPr>
        <w:ind w:left="220" w:right="20" w:firstLine="1290"/>
        <w:spacing w:after="0" w:line="316" w:lineRule="auto"/>
        <w:tabs>
          <w:tab w:leader="none" w:pos="194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Investments in connection with any Permitted Intercompany Activities, Permitted IPO Reorganization and Permitted Tax Restructuring and related transactions;</w:t>
      </w:r>
    </w:p>
    <w:p>
      <w:pPr>
        <w:spacing w:after="0" w:line="156" w:lineRule="exact"/>
        <w:rPr>
          <w:rFonts w:ascii="Arial" w:cs="Arial" w:eastAsia="Arial" w:hAnsi="Arial"/>
          <w:sz w:val="18"/>
          <w:szCs w:val="18"/>
          <w:color w:val="auto"/>
        </w:rPr>
      </w:pPr>
    </w:p>
    <w:p>
      <w:pPr>
        <w:ind w:left="220" w:firstLine="1290"/>
        <w:spacing w:after="0" w:line="260" w:lineRule="auto"/>
        <w:tabs>
          <w:tab w:leader="none" w:pos="1819" w:val="left"/>
        </w:tabs>
        <w:numPr>
          <w:ilvl w:val="2"/>
          <w:numId w:val="147"/>
        </w:numPr>
        <w:rPr>
          <w:rFonts w:ascii="Arial" w:cs="Arial" w:eastAsia="Arial" w:hAnsi="Arial"/>
          <w:sz w:val="20"/>
          <w:szCs w:val="20"/>
          <w:color w:val="auto"/>
        </w:rPr>
      </w:pPr>
      <w:r>
        <w:rPr>
          <w:rFonts w:ascii="Arial" w:cs="Arial" w:eastAsia="Arial" w:hAnsi="Arial"/>
          <w:sz w:val="20"/>
          <w:szCs w:val="20"/>
          <w:color w:val="auto"/>
        </w:rPr>
        <w:t>Investments made from casualty insurance proceeds in connection with the replacement, substitution, restoration or repair of assets on account of a Casualty Event; and</w:t>
      </w:r>
    </w:p>
    <w:p>
      <w:pPr>
        <w:spacing w:after="0" w:line="217" w:lineRule="exact"/>
        <w:rPr>
          <w:rFonts w:ascii="Arial" w:cs="Arial" w:eastAsia="Arial" w:hAnsi="Arial"/>
          <w:sz w:val="20"/>
          <w:szCs w:val="20"/>
          <w:color w:val="auto"/>
        </w:rPr>
      </w:pPr>
    </w:p>
    <w:p>
      <w:pPr>
        <w:ind w:left="220" w:right="20" w:firstLine="1289"/>
        <w:spacing w:after="0" w:line="260" w:lineRule="auto"/>
        <w:tabs>
          <w:tab w:leader="none" w:pos="1940" w:val="left"/>
        </w:tabs>
        <w:numPr>
          <w:ilvl w:val="2"/>
          <w:numId w:val="147"/>
        </w:numPr>
        <w:rPr>
          <w:rFonts w:ascii="Arial" w:cs="Arial" w:eastAsia="Arial" w:hAnsi="Arial"/>
          <w:sz w:val="20"/>
          <w:szCs w:val="20"/>
          <w:color w:val="auto"/>
        </w:rPr>
      </w:pPr>
      <w:r>
        <w:rPr>
          <w:rFonts w:ascii="Arial" w:cs="Arial" w:eastAsia="Arial" w:hAnsi="Arial"/>
          <w:sz w:val="20"/>
          <w:szCs w:val="20"/>
          <w:color w:val="auto"/>
        </w:rPr>
        <w:t>so long as no Specified Default shall have occurred and is continuing or would result therefrom, any other Investment so long as, immediately after giving pro forma effect to the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-129-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59" w:name="page260"/>
    <w:bookmarkEnd w:id="25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Investment and the incurrence of any Indebtedness the net proceeds of which are used to make such Investment, the Consolidated Total Leverage Ratio shall be no greater than 1.80 to 1.00.</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-130-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0" w:name="page261"/>
    <w:bookmarkEnd w:id="26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IPO Reorganization</w:t>
      </w:r>
      <w:r>
        <w:rPr>
          <w:rFonts w:ascii="Arial" w:cs="Arial" w:eastAsia="Arial" w:hAnsi="Arial"/>
          <w:sz w:val="20"/>
          <w:szCs w:val="20"/>
          <w:color w:val="auto"/>
        </w:rPr>
        <w:t>” means any transaction taken by Holdings or any of its Restricted Subsidiaries in connection with and reasonably related to consummating an initial public offering, so long as, after giving effect thereto, there is no material adverse impact on the value of the Collateral, taken as a whole.</w:t>
      </w:r>
    </w:p>
    <w:p>
      <w:pPr>
        <w:spacing w:after="0" w:line="226" w:lineRule="exact"/>
        <w:rPr>
          <w:sz w:val="20"/>
          <w:szCs w:val="20"/>
          <w:color w:val="auto"/>
        </w:rPr>
      </w:pPr>
    </w:p>
    <w:p>
      <w:pPr>
        <w:jc w:val="both"/>
        <w:ind w:left="140"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Refinancing Debt</w:t>
      </w:r>
      <w:r>
        <w:rPr>
          <w:rFonts w:ascii="Arial" w:cs="Arial" w:eastAsia="Arial" w:hAnsi="Arial"/>
          <w:sz w:val="18"/>
          <w:szCs w:val="18"/>
          <w:color w:val="auto"/>
        </w:rPr>
        <w:t xml:space="preserve">” means secured Indebtedness incurred by the Borrower and Guarantees with respect thereto by any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on a junior basis to the Secured Obligations and the obligations in respect of any Permitted Pari Passu Refinancing Debt, in each case pursuant to a Customary Intercreditor Agreement, and is not secured by any property or assets of Holdings and its Restricted Subsidiaries other than the Collateral and (ii) such Indebtedness constitutes Credit Agreement Refinancing Indebtedness in respect of Term Loans, Incremental Term Loans, Refinancing Term Loans, Revolving Credit Loans, Incremental Revolving Credit Commitment, or Refinancing Revolving Credit Loans.</w:t>
      </w:r>
    </w:p>
    <w:p>
      <w:pPr>
        <w:spacing w:after="0" w:line="19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 with respect to any Person:</w:t>
      </w:r>
    </w:p>
    <w:p>
      <w:pPr>
        <w:spacing w:after="0" w:line="337" w:lineRule="exact"/>
        <w:rPr>
          <w:sz w:val="20"/>
          <w:szCs w:val="20"/>
          <w:color w:val="auto"/>
        </w:rPr>
      </w:pPr>
    </w:p>
    <w:p>
      <w:pPr>
        <w:ind w:left="220" w:firstLine="1290"/>
        <w:spacing w:after="0" w:line="260" w:lineRule="auto"/>
        <w:tabs>
          <w:tab w:leader="none" w:pos="1952" w:val="left"/>
        </w:tabs>
        <w:numPr>
          <w:ilvl w:val="0"/>
          <w:numId w:val="148"/>
        </w:numPr>
        <w:rPr>
          <w:rFonts w:ascii="Arial" w:cs="Arial" w:eastAsia="Arial" w:hAnsi="Arial"/>
          <w:sz w:val="20"/>
          <w:szCs w:val="20"/>
          <w:color w:val="auto"/>
        </w:rPr>
      </w:pPr>
      <w:r>
        <w:rPr>
          <w:rFonts w:ascii="Arial" w:cs="Arial" w:eastAsia="Arial" w:hAnsi="Arial"/>
          <w:sz w:val="20"/>
          <w:szCs w:val="20"/>
          <w:color w:val="auto"/>
        </w:rPr>
        <w:t>Liens on assets or property of a Restricted Subsidiary that is not a Guarantor securing Indebtedness and other Obligations of such Restricted Subsidiary that is not a Guarantor;</w:t>
      </w:r>
    </w:p>
    <w:p>
      <w:pPr>
        <w:spacing w:after="0" w:line="217" w:lineRule="exact"/>
        <w:rPr>
          <w:rFonts w:ascii="Arial" w:cs="Arial" w:eastAsia="Arial" w:hAnsi="Arial"/>
          <w:sz w:val="20"/>
          <w:szCs w:val="20"/>
          <w:color w:val="auto"/>
        </w:rPr>
      </w:pPr>
    </w:p>
    <w:p>
      <w:pPr>
        <w:jc w:val="both"/>
        <w:ind w:left="220" w:firstLine="1289"/>
        <w:spacing w:after="0" w:line="270" w:lineRule="auto"/>
        <w:tabs>
          <w:tab w:leader="none" w:pos="19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202" w:lineRule="exact"/>
        <w:rPr>
          <w:rFonts w:ascii="Arial" w:cs="Arial" w:eastAsia="Arial" w:hAnsi="Arial"/>
          <w:sz w:val="18"/>
          <w:szCs w:val="18"/>
          <w:color w:val="auto"/>
        </w:rPr>
      </w:pPr>
    </w:p>
    <w:p>
      <w:pPr>
        <w:jc w:val="both"/>
        <w:ind w:left="220" w:firstLine="1290"/>
        <w:spacing w:after="0" w:line="244" w:lineRule="auto"/>
        <w:tabs>
          <w:tab w:leader="none" w:pos="1952" w:val="left"/>
        </w:tabs>
        <w:numPr>
          <w:ilvl w:val="0"/>
          <w:numId w:val="148"/>
        </w:numPr>
        <w:rPr>
          <w:rFonts w:ascii="Arial" w:cs="Arial" w:eastAsia="Arial" w:hAnsi="Arial"/>
          <w:sz w:val="20"/>
          <w:szCs w:val="20"/>
          <w:color w:val="auto"/>
        </w:rPr>
      </w:pPr>
      <w:r>
        <w:rPr>
          <w:rFonts w:ascii="Arial" w:cs="Arial" w:eastAsia="Arial" w:hAnsi="Arial"/>
          <w:sz w:val="20"/>
          <w:szCs w:val="20"/>
          <w:color w:val="auto"/>
        </w:rPr>
        <w:t>Liens with respect to outstanding motor vehicle fines and Liens imposed by law or regulation, including carriers’, warehousemen’s, mechanics’, landlords’, suppliers’, materialmen’s, repairmen’s, architects’, construction contractors’ or other similar Liens, in each case (i) for amounts not overdue for a period of more than 60 days or, if more than 60 days overdue, are unfiled (or if filed have been discharged or stayed) and no other action has been taken to enforce such Liens or (ii) that are bonded or being contested in good faith by appropriate proceedings;</w:t>
      </w:r>
    </w:p>
    <w:p>
      <w:pPr>
        <w:spacing w:after="0" w:line="234" w:lineRule="exact"/>
        <w:rPr>
          <w:rFonts w:ascii="Arial" w:cs="Arial" w:eastAsia="Arial" w:hAnsi="Arial"/>
          <w:sz w:val="20"/>
          <w:szCs w:val="20"/>
          <w:color w:val="auto"/>
        </w:rPr>
      </w:pPr>
    </w:p>
    <w:p>
      <w:pPr>
        <w:jc w:val="both"/>
        <w:ind w:left="220" w:firstLine="1289"/>
        <w:spacing w:after="0" w:line="278" w:lineRule="auto"/>
        <w:tabs>
          <w:tab w:leader="none" w:pos="19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Liens for Taxes, assessments or other governmental charges which are not yet due and payable or delinquent or which are being contested in good faith by appropriate proceedings or the nonpayment of which is permitted by applicable bankruptcy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appropriate reserves to the extent required pursuant to GAAP (or other applicable accounting principles) have been made in respect thereof; or for property Taxes on property of the Borrower or one of its Subsidiaries has determined to abandon if such abandonment is otherwise permitted hereunder, and the sole recourse for such Tax is to such property;</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-131-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-132-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0"/>
        <w:spacing w:after="0" w:line="256" w:lineRule="auto"/>
        <w:tabs>
          <w:tab w:leader="none" w:pos="195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shown on any Mortgage Policy,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the Restricted Subsidiaries, taken as a whole;</w:t>
      </w:r>
    </w:p>
    <w:p>
      <w:pPr>
        <w:spacing w:after="0" w:line="224" w:lineRule="exact"/>
        <w:rPr>
          <w:rFonts w:ascii="Arial" w:cs="Arial" w:eastAsia="Arial" w:hAnsi="Arial"/>
          <w:sz w:val="19"/>
          <w:szCs w:val="19"/>
          <w:color w:val="auto"/>
        </w:rPr>
      </w:pPr>
    </w:p>
    <w:p>
      <w:pPr>
        <w:jc w:val="both"/>
        <w:ind w:left="220" w:firstLine="1290"/>
        <w:spacing w:after="0" w:line="268" w:lineRule="auto"/>
        <w:tabs>
          <w:tab w:leader="none" w:pos="19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Liens (a) securing Hedging Obligations or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Borrower or any of its Subsidiaries or consistent with past practice or (iii) relating to purchase orders and other agreements entered into with customers of the Borrower or any Restricted Subsidiary in the ordinary course of business or consistent with past practice; (c) on cash accounts securing Indebtedness and other Obligations permitted to be Incurred under </w:t>
      </w:r>
      <w:r>
        <w:rPr>
          <w:rFonts w:ascii="Arial" w:cs="Arial" w:eastAsia="Arial" w:hAnsi="Arial"/>
          <w:sz w:val="18"/>
          <w:szCs w:val="18"/>
          <w:u w:val="single" w:color="auto"/>
          <w:color w:val="auto"/>
        </w:rPr>
        <w:t>Section 7.03(b)(viii)(v)</w:t>
      </w:r>
      <w:r>
        <w:rPr>
          <w:rFonts w:ascii="Arial" w:cs="Arial" w:eastAsia="Arial" w:hAnsi="Arial"/>
          <w:sz w:val="18"/>
          <w:szCs w:val="18"/>
          <w:color w:val="auto"/>
        </w:rPr>
        <w:t xml:space="preserve"> with financial institutions;</w:t>
      </w:r>
    </w:p>
    <w:p>
      <w:pPr>
        <w:spacing w:after="0" w:line="4" w:lineRule="exact"/>
        <w:rPr>
          <w:rFonts w:ascii="Arial" w:cs="Arial" w:eastAsia="Arial" w:hAnsi="Arial"/>
          <w:sz w:val="18"/>
          <w:szCs w:val="18"/>
          <w:color w:val="auto"/>
        </w:rPr>
      </w:pPr>
    </w:p>
    <w:p>
      <w:pPr>
        <w:jc w:val="both"/>
        <w:ind w:left="220" w:hanging="6"/>
        <w:spacing w:after="0" w:line="254" w:lineRule="auto"/>
        <w:tabs>
          <w:tab w:leader="none" w:pos="50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encumbering reasonable customary initial deposits and margin deposits and similar Liens attaching to commodity trading accounts or other brokerage accounts incurred in the ordinary course of business or consistent with past practice and not for speculative purposes; and/or (e) (i) of a collection bank arising under Section 4-210 of the UCC or any comparable or successor provision on items in the course of collection and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213" w:lineRule="exact"/>
        <w:rPr>
          <w:rFonts w:ascii="Arial" w:cs="Arial" w:eastAsia="Arial" w:hAnsi="Arial"/>
          <w:sz w:val="19"/>
          <w:szCs w:val="19"/>
          <w:color w:val="auto"/>
        </w:rPr>
      </w:pPr>
    </w:p>
    <w:p>
      <w:pPr>
        <w:jc w:val="both"/>
        <w:ind w:left="220" w:firstLine="1290"/>
        <w:spacing w:after="0" w:line="291" w:lineRule="auto"/>
        <w:tabs>
          <w:tab w:leader="none" w:pos="194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leases, licenses, subleases and sublicenses and Liens on the property covered thereby (including real property and IP Rights) entered into in the ordinary course of business, consistent with past practice or which do not (x) interfere in any material respect with the business of the Borrower or any Restricted Subsidiary, taken as a whole or (y) secure any Indebtedness;</w:t>
      </w:r>
    </w:p>
    <w:p>
      <w:pPr>
        <w:spacing w:after="0" w:line="192" w:lineRule="exact"/>
        <w:rPr>
          <w:rFonts w:ascii="Arial" w:cs="Arial" w:eastAsia="Arial" w:hAnsi="Arial"/>
          <w:sz w:val="18"/>
          <w:szCs w:val="18"/>
          <w:color w:val="auto"/>
        </w:rPr>
      </w:pPr>
    </w:p>
    <w:p>
      <w:pPr>
        <w:ind w:left="220" w:firstLine="1290"/>
        <w:spacing w:after="0" w:line="260" w:lineRule="auto"/>
        <w:tabs>
          <w:tab w:leader="none" w:pos="1947" w:val="left"/>
        </w:tabs>
        <w:numPr>
          <w:ilvl w:val="1"/>
          <w:numId w:val="150"/>
        </w:numPr>
        <w:rPr>
          <w:rFonts w:ascii="Arial" w:cs="Arial" w:eastAsia="Arial" w:hAnsi="Arial"/>
          <w:sz w:val="20"/>
          <w:szCs w:val="20"/>
          <w:color w:val="auto"/>
        </w:rPr>
      </w:pPr>
      <w:r>
        <w:rPr>
          <w:rFonts w:ascii="Arial" w:cs="Arial" w:eastAsia="Arial" w:hAnsi="Arial"/>
          <w:sz w:val="20"/>
          <w:szCs w:val="20"/>
          <w:color w:val="auto"/>
        </w:rPr>
        <w:t xml:space="preserve">Liens securing or otherwise arising out of judgments, decrees, attachments, orders or awards not giving rise to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 xml:space="preserve"> hereof;</w:t>
      </w:r>
    </w:p>
    <w:p>
      <w:pPr>
        <w:spacing w:after="0" w:line="298" w:lineRule="exact"/>
        <w:rPr>
          <w:rFonts w:ascii="Arial" w:cs="Arial" w:eastAsia="Arial" w:hAnsi="Arial"/>
          <w:sz w:val="20"/>
          <w:szCs w:val="20"/>
          <w:color w:val="auto"/>
        </w:rPr>
      </w:pPr>
    </w:p>
    <w:p>
      <w:pPr>
        <w:jc w:val="both"/>
        <w:ind w:left="220" w:firstLine="1290"/>
        <w:spacing w:after="0" w:line="274" w:lineRule="auto"/>
        <w:tabs>
          <w:tab w:leader="none" w:pos="195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Liens (i)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aggregate principal amount of Indebtedness secured by such Liens is otherwise permitted to be Incurred under this Agreement and (b)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-133-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3" w:name="page264"/>
    <w:bookmarkEnd w:id="26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property or assets subject to a Lien securing such Indebtedness, the terms of which Indebtedness require or include a pledge of after-acquired property or assets and (C) the proceeds and products thereof and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-134-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64" w:name="page265"/>
    <w:bookmarkEnd w:id="26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46" w:lineRule="auto"/>
        <w:rPr>
          <w:sz w:val="20"/>
          <w:szCs w:val="20"/>
          <w:color w:val="auto"/>
        </w:rPr>
      </w:pPr>
      <w:r>
        <w:rPr>
          <w:rFonts w:ascii="Arial" w:cs="Arial" w:eastAsia="Arial" w:hAnsi="Arial"/>
          <w:sz w:val="20"/>
          <w:szCs w:val="20"/>
          <w:color w:val="auto"/>
        </w:rPr>
        <w:t xml:space="preserve">customary security deposits;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individual financings of equipment provided by one lender may be cross-collateralized to other financings of equipment provided by such lender; and (ii) any interest or title of a lessor, sublessor, franchisor’s, licensor or sublicensor or secured by a lessor’s, sublessor’s, licensor’s or sublicensor’s interest under any Capitalized Lease Obligations or Non-Financing Lease Obligations;</w:t>
      </w:r>
    </w:p>
    <w:p>
      <w:pPr>
        <w:spacing w:after="0" w:line="232" w:lineRule="exact"/>
        <w:rPr>
          <w:sz w:val="20"/>
          <w:szCs w:val="20"/>
          <w:color w:val="auto"/>
        </w:rPr>
      </w:pPr>
    </w:p>
    <w:p>
      <w:pPr>
        <w:ind w:left="220" w:firstLine="1290"/>
        <w:spacing w:after="0" w:line="260" w:lineRule="auto"/>
        <w:tabs>
          <w:tab w:leader="none" w:pos="1949" w:val="left"/>
        </w:tabs>
        <w:numPr>
          <w:ilvl w:val="2"/>
          <w:numId w:val="151"/>
        </w:numPr>
        <w:rPr>
          <w:rFonts w:ascii="Arial" w:cs="Arial" w:eastAsia="Arial" w:hAnsi="Arial"/>
          <w:sz w:val="20"/>
          <w:szCs w:val="20"/>
          <w:color w:val="auto"/>
        </w:rPr>
      </w:pPr>
      <w:r>
        <w:rPr>
          <w:rFonts w:ascii="Arial" w:cs="Arial" w:eastAsia="Arial" w:hAnsi="Arial"/>
          <w:sz w:val="20"/>
          <w:szCs w:val="20"/>
          <w:color w:val="auto"/>
        </w:rPr>
        <w:t>Liens arising from UCC financing statements, including precautionary financing statements (or similar filings) regarding operating leases or consignments entered into by the Borrower and the Restricted Subsidiaries;</w:t>
      </w:r>
    </w:p>
    <w:p>
      <w:pPr>
        <w:spacing w:after="0" w:line="203" w:lineRule="exact"/>
        <w:rPr>
          <w:rFonts w:ascii="Arial" w:cs="Arial" w:eastAsia="Arial" w:hAnsi="Arial"/>
          <w:sz w:val="20"/>
          <w:szCs w:val="20"/>
          <w:color w:val="auto"/>
        </w:rPr>
      </w:pPr>
    </w:p>
    <w:p>
      <w:pPr>
        <w:jc w:val="both"/>
        <w:ind w:left="140" w:firstLine="1290"/>
        <w:spacing w:after="0" w:line="250" w:lineRule="auto"/>
        <w:tabs>
          <w:tab w:leader="none" w:pos="1949"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including any Liens securing any Refinancing Indebtedness of any Indebtedness secured by such Liens;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Lien securing Indebtedness or other obligations in excess of $3.0 million shall be listed on </w:t>
      </w:r>
      <w:r>
        <w:rPr>
          <w:rFonts w:ascii="Arial" w:cs="Arial" w:eastAsia="Arial" w:hAnsi="Arial"/>
          <w:sz w:val="20"/>
          <w:szCs w:val="20"/>
          <w:u w:val="single" w:color="auto"/>
          <w:color w:val="auto"/>
        </w:rPr>
        <w:t>Schedule 1.01H</w:t>
      </w:r>
      <w:r>
        <w:rPr>
          <w:rFonts w:ascii="Arial" w:cs="Arial" w:eastAsia="Arial" w:hAnsi="Arial"/>
          <w:sz w:val="20"/>
          <w:szCs w:val="20"/>
          <w:color w:val="auto"/>
        </w:rPr>
        <w:t xml:space="preserve"> to the Closing Date Certificate;</w:t>
      </w:r>
    </w:p>
    <w:p>
      <w:pPr>
        <w:spacing w:after="0" w:line="293" w:lineRule="exact"/>
        <w:rPr>
          <w:rFonts w:ascii="Arial" w:cs="Arial" w:eastAsia="Arial" w:hAnsi="Arial"/>
          <w:sz w:val="20"/>
          <w:szCs w:val="20"/>
          <w:color w:val="auto"/>
        </w:rPr>
      </w:pPr>
    </w:p>
    <w:p>
      <w:pPr>
        <w:jc w:val="both"/>
        <w:ind w:left="220" w:firstLine="1290"/>
        <w:spacing w:after="0" w:line="255" w:lineRule="auto"/>
        <w:tabs>
          <w:tab w:leader="none" w:pos="1949" w:val="left"/>
        </w:tabs>
        <w:numPr>
          <w:ilvl w:val="2"/>
          <w:numId w:val="152"/>
        </w:numPr>
        <w:rPr>
          <w:rFonts w:ascii="Arial" w:cs="Arial" w:eastAsia="Arial" w:hAnsi="Arial"/>
          <w:sz w:val="19"/>
          <w:szCs w:val="19"/>
          <w:color w:val="auto"/>
        </w:rPr>
      </w:pPr>
      <w:r>
        <w:rPr>
          <w:rFonts w:ascii="Arial" w:cs="Arial" w:eastAsia="Arial" w:hAnsi="Arial"/>
          <w:sz w:val="19"/>
          <w:szCs w:val="19"/>
          <w:color w:val="auto"/>
        </w:rPr>
        <w:t xml:space="preserve">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such Liens are not created, Incurred or assumed in anticipation of or in connection with such other Person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becoming a Subsidiary (or such acquisition of such property, other assets or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227" w:lineRule="exact"/>
        <w:rPr>
          <w:rFonts w:ascii="Arial" w:cs="Arial" w:eastAsia="Arial" w:hAnsi="Arial"/>
          <w:sz w:val="19"/>
          <w:szCs w:val="19"/>
          <w:color w:val="auto"/>
        </w:rPr>
      </w:pPr>
    </w:p>
    <w:p>
      <w:pPr>
        <w:jc w:val="both"/>
        <w:ind w:left="220" w:right="20" w:firstLine="1290"/>
        <w:spacing w:after="0" w:line="250" w:lineRule="auto"/>
        <w:tabs>
          <w:tab w:leader="none" w:pos="1947" w:val="left"/>
        </w:tabs>
        <w:numPr>
          <w:ilvl w:val="2"/>
          <w:numId w:val="152"/>
        </w:numPr>
        <w:rPr>
          <w:rFonts w:ascii="Arial" w:cs="Arial" w:eastAsia="Arial" w:hAnsi="Arial"/>
          <w:sz w:val="20"/>
          <w:szCs w:val="20"/>
          <w:color w:val="auto"/>
        </w:rPr>
      </w:pPr>
      <w:r>
        <w:rPr>
          <w:rFonts w:ascii="Arial" w:cs="Arial" w:eastAsia="Arial" w:hAnsi="Arial"/>
          <w:sz w:val="20"/>
          <w:szCs w:val="20"/>
          <w:color w:val="auto"/>
        </w:rPr>
        <w:t>Liens securing Obligations relating to any Indebtedness or other Obligations of the Borrower or such Restricted Subsidiary owing to the Borrower or another Restricted Subsidiary, or Liens in favor of the Borrower or any Restricted Subsidiary or the Administrative Agent;</w:t>
      </w:r>
    </w:p>
    <w:p>
      <w:pPr>
        <w:spacing w:after="0" w:line="226" w:lineRule="exact"/>
        <w:rPr>
          <w:rFonts w:ascii="Arial" w:cs="Arial" w:eastAsia="Arial" w:hAnsi="Arial"/>
          <w:sz w:val="20"/>
          <w:szCs w:val="20"/>
          <w:color w:val="auto"/>
        </w:rPr>
      </w:pPr>
    </w:p>
    <w:p>
      <w:pPr>
        <w:jc w:val="both"/>
        <w:ind w:left="220" w:firstLine="1290"/>
        <w:spacing w:after="0" w:line="270" w:lineRule="auto"/>
        <w:tabs>
          <w:tab w:leader="none" w:pos="1949" w:val="left"/>
        </w:tabs>
        <w:numPr>
          <w:ilvl w:val="2"/>
          <w:numId w:val="152"/>
        </w:numPr>
        <w:rPr>
          <w:rFonts w:ascii="Arial" w:cs="Arial" w:eastAsia="Arial" w:hAnsi="Arial"/>
          <w:sz w:val="18"/>
          <w:szCs w:val="18"/>
          <w:color w:val="auto"/>
        </w:rPr>
      </w:pPr>
      <w:r>
        <w:rPr>
          <w:rFonts w:ascii="Arial" w:cs="Arial" w:eastAsia="Arial" w:hAnsi="Arial"/>
          <w:sz w:val="18"/>
          <w:szCs w:val="18"/>
          <w:color w:val="auto"/>
        </w:rPr>
        <w:t xml:space="preserve">Liens securing Refinancing Indebtedness Incurred to refinance Indebtedness that was previously so secured, and permitted to be secured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w:t>
      </w:r>
    </w:p>
    <w:p>
      <w:pPr>
        <w:spacing w:after="0" w:line="2" w:lineRule="exact"/>
        <w:rPr>
          <w:rFonts w:ascii="Arial" w:cs="Arial" w:eastAsia="Arial" w:hAnsi="Arial"/>
          <w:sz w:val="18"/>
          <w:szCs w:val="18"/>
          <w:color w:val="auto"/>
        </w:rPr>
      </w:pPr>
    </w:p>
    <w:p>
      <w:pPr>
        <w:jc w:val="both"/>
        <w:ind w:left="220" w:hanging="5"/>
        <w:spacing w:after="0" w:line="256" w:lineRule="auto"/>
        <w:tabs>
          <w:tab w:leader="none" w:pos="52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and such Liens have equal or lesser priority than the Lines in respect of the Indebtedness being refinanced;</w:t>
      </w:r>
    </w:p>
    <w:p>
      <w:pPr>
        <w:spacing w:after="0" w:line="209" w:lineRule="exact"/>
        <w:rPr>
          <w:rFonts w:ascii="Arial" w:cs="Arial" w:eastAsia="Arial" w:hAnsi="Arial"/>
          <w:sz w:val="19"/>
          <w:szCs w:val="19"/>
          <w:color w:val="auto"/>
        </w:rPr>
      </w:pPr>
    </w:p>
    <w:p>
      <w:pPr>
        <w:ind w:left="220" w:right="20" w:firstLine="1290"/>
        <w:spacing w:after="0" w:line="260" w:lineRule="auto"/>
        <w:tabs>
          <w:tab w:leader="none" w:pos="1955" w:val="left"/>
        </w:tabs>
        <w:numPr>
          <w:ilvl w:val="2"/>
          <w:numId w:val="153"/>
        </w:numPr>
        <w:rPr>
          <w:rFonts w:ascii="Arial" w:cs="Arial" w:eastAsia="Arial" w:hAnsi="Arial"/>
          <w:sz w:val="20"/>
          <w:szCs w:val="20"/>
          <w:color w:val="auto"/>
        </w:rPr>
      </w:pPr>
      <w:r>
        <w:rPr>
          <w:rFonts w:ascii="Arial" w:cs="Arial" w:eastAsia="Arial" w:hAnsi="Arial"/>
          <w:sz w:val="20"/>
          <w:szCs w:val="20"/>
          <w:color w:val="auto"/>
        </w:rPr>
        <w:t>(a) mortgages, liens, security interests, restrictions, encumbrances or any other matters of record that have been placed by any government, statutory or regulatory authority, developer,</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-135-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5" w:name="page266"/>
    <w:bookmarkEnd w:id="26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spacing w:after="0" w:line="250" w:lineRule="auto"/>
        <w:rPr>
          <w:sz w:val="20"/>
          <w:szCs w:val="20"/>
          <w:color w:val="auto"/>
        </w:rPr>
      </w:pPr>
      <w:r>
        <w:rPr>
          <w:rFonts w:ascii="Arial" w:cs="Arial" w:eastAsia="Arial" w:hAnsi="Arial"/>
          <w:sz w:val="20"/>
          <w:szCs w:val="20"/>
          <w:color w:val="auto"/>
        </w:rPr>
        <w:t>landlord or other third party on property which the Borrower or any Restricted Subsidiary does not own in fee, but has easement rights over, or on any leased property and subordination or similar arrangements relating thereto and (b) any condemnation or eminent domain proceedings affecting any real property;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-136-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6" w:name="page267"/>
    <w:bookmarkEnd w:id="26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right="20" w:firstLine="1290"/>
        <w:spacing w:after="0" w:line="250" w:lineRule="auto"/>
        <w:tabs>
          <w:tab w:leader="none" w:pos="194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encumbrance or restriction (including put and call arrangements) with respect to Capital Stock of any joint venture securing financing arrangement, joint venture or similar arrangement pursuant to any joint venture securing financing arrangement, joint venture or similar agreement;</w:t>
      </w:r>
    </w:p>
    <w:p>
      <w:pPr>
        <w:spacing w:after="0" w:line="226" w:lineRule="exact"/>
        <w:rPr>
          <w:rFonts w:ascii="Arial" w:cs="Arial" w:eastAsia="Arial" w:hAnsi="Arial"/>
          <w:sz w:val="20"/>
          <w:szCs w:val="20"/>
          <w:color w:val="auto"/>
        </w:rPr>
      </w:pPr>
    </w:p>
    <w:p>
      <w:pPr>
        <w:ind w:left="220" w:right="20" w:firstLine="1290"/>
        <w:spacing w:after="0" w:line="260" w:lineRule="auto"/>
        <w:tabs>
          <w:tab w:leader="none" w:pos="1947"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on property or assets under construction (and related rights) in favor of a contractor or developer or arising from progress or partial payments by a third party relating to such property or assets;</w:t>
      </w:r>
    </w:p>
    <w:p>
      <w:pPr>
        <w:spacing w:after="0" w:line="203" w:lineRule="exact"/>
        <w:rPr>
          <w:rFonts w:ascii="Arial" w:cs="Arial" w:eastAsia="Arial" w:hAnsi="Arial"/>
          <w:sz w:val="20"/>
          <w:szCs w:val="20"/>
          <w:color w:val="auto"/>
        </w:rPr>
      </w:pPr>
    </w:p>
    <w:p>
      <w:pPr>
        <w:ind w:left="220" w:firstLine="1290"/>
        <w:spacing w:after="0" w:line="260" w:lineRule="auto"/>
        <w:tabs>
          <w:tab w:leader="none" w:pos="194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217" w:lineRule="exact"/>
        <w:rPr>
          <w:rFonts w:ascii="Arial" w:cs="Arial" w:eastAsia="Arial" w:hAnsi="Arial"/>
          <w:sz w:val="20"/>
          <w:szCs w:val="20"/>
          <w:color w:val="auto"/>
        </w:rPr>
      </w:pPr>
    </w:p>
    <w:p>
      <w:pPr>
        <w:ind w:left="2160" w:hanging="650"/>
        <w:spacing w:after="0"/>
        <w:tabs>
          <w:tab w:leader="none" w:pos="216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securing the Secured Obligations and the Guarantees;</w:t>
      </w:r>
    </w:p>
    <w:p>
      <w:pPr>
        <w:spacing w:after="0" w:line="256" w:lineRule="exact"/>
        <w:rPr>
          <w:rFonts w:ascii="Arial" w:cs="Arial" w:eastAsia="Arial" w:hAnsi="Arial"/>
          <w:sz w:val="20"/>
          <w:szCs w:val="20"/>
          <w:color w:val="auto"/>
        </w:rPr>
      </w:pPr>
    </w:p>
    <w:p>
      <w:pPr>
        <w:jc w:val="both"/>
        <w:ind w:left="220" w:firstLine="1290"/>
        <w:spacing w:after="0" w:line="257" w:lineRule="auto"/>
        <w:tabs>
          <w:tab w:leader="none" w:pos="195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Liens securing Indebtedness and other Obligations under </w:t>
      </w:r>
      <w:r>
        <w:rPr>
          <w:rFonts w:ascii="Arial" w:cs="Arial" w:eastAsia="Arial" w:hAnsi="Arial"/>
          <w:sz w:val="19"/>
          <w:szCs w:val="19"/>
          <w:u w:val="single" w:color="auto"/>
          <w:color w:val="auto"/>
        </w:rPr>
        <w:t>Section 7.03(b)(v)</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assumed,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w:t>
      </w:r>
    </w:p>
    <w:p>
      <w:pPr>
        <w:spacing w:after="0" w:line="207" w:lineRule="exact"/>
        <w:rPr>
          <w:rFonts w:ascii="Arial" w:cs="Arial" w:eastAsia="Arial" w:hAnsi="Arial"/>
          <w:sz w:val="19"/>
          <w:szCs w:val="19"/>
          <w:color w:val="auto"/>
        </w:rPr>
      </w:pPr>
    </w:p>
    <w:p>
      <w:pPr>
        <w:jc w:val="both"/>
        <w:ind w:left="220" w:firstLine="1291"/>
        <w:spacing w:after="0" w:line="255" w:lineRule="auto"/>
        <w:tabs>
          <w:tab w:leader="none" w:pos="195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Liens securing Indebtedness and other Obligations under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7.03(b)(xi), (xiv)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(xx)</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 in the case of Section 7.03(b)(vii), the related Indebtedness represented by such Capitalized Lease Obligations, Purchase Money Obligations or other obligations shall not be secured by any property, equipment or assets of the Borrower or any Restricted Subsidiary other than the property, equipment or assets so acquired, leased, expanded, constructed, installed, replaced, repaired or improved and any proceeds therefrom and other than assets and property affixed or appurtenant thereto and accessions, additions, improvements,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(x) in the case of </w:t>
      </w:r>
      <w:r>
        <w:rPr>
          <w:rFonts w:ascii="Arial" w:cs="Arial" w:eastAsia="Arial" w:hAnsi="Arial"/>
          <w:sz w:val="19"/>
          <w:szCs w:val="19"/>
          <w:u w:val="single" w:color="auto"/>
          <w:color w:val="auto"/>
        </w:rPr>
        <w:t>Section 7.03(b)(xi)</w:t>
      </w:r>
      <w:r>
        <w:rPr>
          <w:rFonts w:ascii="Arial" w:cs="Arial" w:eastAsia="Arial" w:hAnsi="Arial"/>
          <w:sz w:val="19"/>
          <w:szCs w:val="19"/>
          <w:color w:val="auto"/>
        </w:rPr>
        <w:t xml:space="preserve">, such Liens cover only the assets of such Non-Loan Party or assets that do not constitute Collateral and (y) in the case of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7.03(b)(xx)</w:t>
      </w:r>
      <w:r>
        <w:rPr>
          <w:rFonts w:ascii="Arial" w:cs="Arial" w:eastAsia="Arial" w:hAnsi="Arial"/>
          <w:sz w:val="19"/>
          <w:szCs w:val="19"/>
          <w:color w:val="auto"/>
        </w:rPr>
        <w:t xml:space="preserve">, only to the extent permitted to be secured thereby;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the event that the Liens granted pursuant to this clause (u) with respect to Indebtedness incurred pursuant to Section 7.03(xiv) are Liens on the Collateral, then the holders of the obligations secured by such Liens, or their duly appointed agent, shall become party to a Customary Intercreditor Agreement;</w:t>
      </w:r>
    </w:p>
    <w:p>
      <w:pPr>
        <w:spacing w:after="0" w:line="222" w:lineRule="exact"/>
        <w:rPr>
          <w:rFonts w:ascii="Arial" w:cs="Arial" w:eastAsia="Arial" w:hAnsi="Arial"/>
          <w:sz w:val="19"/>
          <w:szCs w:val="19"/>
          <w:color w:val="auto"/>
        </w:rPr>
      </w:pPr>
    </w:p>
    <w:p>
      <w:pPr>
        <w:ind w:left="220" w:firstLine="1290"/>
        <w:spacing w:after="0" w:line="316" w:lineRule="auto"/>
        <w:tabs>
          <w:tab w:leader="none" w:pos="19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on Excluded Property of the Borrower or any Guarantor securing Indebtedness or other Obligations of the Borrower and/or any Guarantor in an aggregate amount not in excess of the greater of $21.3 million and 10% of LTM EBITDA;</w:t>
      </w:r>
    </w:p>
    <w:p>
      <w:pPr>
        <w:spacing w:after="0" w:line="170" w:lineRule="exact"/>
        <w:rPr>
          <w:rFonts w:ascii="Arial" w:cs="Arial" w:eastAsia="Arial" w:hAnsi="Arial"/>
          <w:sz w:val="18"/>
          <w:szCs w:val="18"/>
          <w:color w:val="auto"/>
        </w:rPr>
      </w:pPr>
    </w:p>
    <w:p>
      <w:pPr>
        <w:ind w:left="220" w:right="20" w:firstLine="1290"/>
        <w:spacing w:after="0" w:line="260" w:lineRule="auto"/>
        <w:tabs>
          <w:tab w:leader="none" w:pos="194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on Capital Stock or other securities or assets of any Unrestricted Subsidiary that secure Indebtedness or other obligations of such Unrestricted Subsidiary;</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-137-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160" w:hanging="650"/>
        <w:spacing w:after="0"/>
        <w:tabs>
          <w:tab w:leader="none" w:pos="2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Liens deemed to exist in connection with Investments permitted under clause</w:t>
      </w:r>
    </w:p>
    <w:p>
      <w:pPr>
        <w:spacing w:after="0" w:line="61" w:lineRule="exact"/>
        <w:rPr>
          <w:rFonts w:ascii="Arial" w:cs="Arial" w:eastAsia="Arial" w:hAnsi="Arial"/>
          <w:sz w:val="16"/>
          <w:szCs w:val="16"/>
          <w:color w:val="auto"/>
        </w:rPr>
      </w:pPr>
    </w:p>
    <w:p>
      <w:pPr>
        <w:ind w:left="500" w:hanging="285"/>
        <w:spacing w:after="0"/>
        <w:tabs>
          <w:tab w:leader="none" w:pos="5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of the definition of “Cash Equivalents”;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-138-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68" w:name="page269"/>
    <w:bookmarkEnd w:id="26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0"/>
        <w:spacing w:after="0" w:line="243" w:lineRule="auto"/>
        <w:tabs>
          <w:tab w:leader="none" w:pos="1949" w:val="left"/>
        </w:tabs>
        <w:numPr>
          <w:ilvl w:val="1"/>
          <w:numId w:val="157"/>
        </w:numPr>
        <w:rPr>
          <w:rFonts w:ascii="Arial" w:cs="Arial" w:eastAsia="Arial" w:hAnsi="Arial"/>
          <w:sz w:val="20"/>
          <w:szCs w:val="20"/>
          <w:color w:val="auto"/>
        </w:rPr>
      </w:pPr>
      <w:r>
        <w:rPr>
          <w:rFonts w:ascii="Arial" w:cs="Arial" w:eastAsia="Arial" w:hAnsi="Arial"/>
          <w:sz w:val="20"/>
          <w:szCs w:val="20"/>
          <w:color w:val="auto"/>
        </w:rPr>
        <w:t>Liens on (i) goods the purchase price of which is financed by a documentary letter of credit issued for the account of the Borrower or any Restricted Subsidiary or Liens on bills of lading, drafts or other documents of title arising by operation of law or pursuant to the standard terms of agreements relating to letters of credit, bank guarantees and other similar instruments and (ii) specific items of inventory of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236" w:lineRule="exact"/>
        <w:rPr>
          <w:rFonts w:ascii="Arial" w:cs="Arial" w:eastAsia="Arial" w:hAnsi="Arial"/>
          <w:sz w:val="20"/>
          <w:szCs w:val="20"/>
          <w:color w:val="auto"/>
        </w:rPr>
      </w:pPr>
    </w:p>
    <w:p>
      <w:pPr>
        <w:ind w:left="220" w:firstLine="1291"/>
        <w:spacing w:after="0" w:line="260" w:lineRule="auto"/>
        <w:tabs>
          <w:tab w:leader="none" w:pos="1948" w:val="left"/>
        </w:tabs>
        <w:numPr>
          <w:ilvl w:val="1"/>
          <w:numId w:val="157"/>
        </w:numPr>
        <w:rPr>
          <w:rFonts w:ascii="Arial" w:cs="Arial" w:eastAsia="Arial" w:hAnsi="Arial"/>
          <w:sz w:val="20"/>
          <w:szCs w:val="20"/>
          <w:color w:val="auto"/>
        </w:rPr>
      </w:pPr>
      <w:r>
        <w:rPr>
          <w:rFonts w:ascii="Arial" w:cs="Arial" w:eastAsia="Arial" w:hAnsi="Arial"/>
          <w:sz w:val="20"/>
          <w:szCs w:val="20"/>
          <w:color w:val="auto"/>
        </w:rPr>
        <w:t>Liens on vehicles or equipment of the Borrower or any Restricted Subsidiary in the ordinary course of business or consistent with past practice;</w:t>
      </w:r>
    </w:p>
    <w:p>
      <w:pPr>
        <w:spacing w:after="0" w:line="203" w:lineRule="exact"/>
        <w:rPr>
          <w:rFonts w:ascii="Arial" w:cs="Arial" w:eastAsia="Arial" w:hAnsi="Arial"/>
          <w:sz w:val="20"/>
          <w:szCs w:val="20"/>
          <w:color w:val="auto"/>
        </w:rPr>
      </w:pPr>
    </w:p>
    <w:p>
      <w:pPr>
        <w:ind w:left="220" w:firstLine="1290"/>
        <w:spacing w:after="0" w:line="260" w:lineRule="auto"/>
        <w:tabs>
          <w:tab w:leader="none" w:pos="1885" w:val="left"/>
        </w:tabs>
        <w:numPr>
          <w:ilvl w:val="2"/>
          <w:numId w:val="157"/>
        </w:numPr>
        <w:rPr>
          <w:rFonts w:ascii="Arial" w:cs="Arial" w:eastAsia="Arial" w:hAnsi="Arial"/>
          <w:sz w:val="20"/>
          <w:szCs w:val="20"/>
          <w:color w:val="auto"/>
        </w:rPr>
      </w:pPr>
      <w:r>
        <w:rPr>
          <w:rFonts w:ascii="Arial" w:cs="Arial" w:eastAsia="Arial" w:hAnsi="Arial"/>
          <w:sz w:val="20"/>
          <w:szCs w:val="20"/>
          <w:color w:val="auto"/>
        </w:rPr>
        <w:t>Liens on assets or securities deemed to arise in connection with and solely as a result of the execution, delivery or performance of contracts to sell such assets or securities if such sale is otherwise permitted by this Agreement;</w:t>
      </w:r>
    </w:p>
    <w:p>
      <w:pPr>
        <w:spacing w:after="0" w:line="217" w:lineRule="exact"/>
        <w:rPr>
          <w:rFonts w:ascii="Arial" w:cs="Arial" w:eastAsia="Arial" w:hAnsi="Arial"/>
          <w:sz w:val="20"/>
          <w:szCs w:val="20"/>
          <w:color w:val="auto"/>
        </w:rPr>
      </w:pPr>
    </w:p>
    <w:p>
      <w:pPr>
        <w:jc w:val="both"/>
        <w:ind w:left="220" w:firstLine="1290"/>
        <w:spacing w:after="0" w:line="246" w:lineRule="auto"/>
        <w:tabs>
          <w:tab w:leader="none" w:pos="1933" w:val="left"/>
        </w:tabs>
        <w:numPr>
          <w:ilvl w:val="2"/>
          <w:numId w:val="157"/>
        </w:numPr>
        <w:rPr>
          <w:rFonts w:ascii="Arial" w:cs="Arial" w:eastAsia="Arial" w:hAnsi="Arial"/>
          <w:sz w:val="20"/>
          <w:szCs w:val="20"/>
          <w:color w:val="auto"/>
        </w:rPr>
      </w:pPr>
      <w:r>
        <w:rPr>
          <w:rFonts w:ascii="Arial" w:cs="Arial" w:eastAsia="Arial" w:hAnsi="Arial"/>
          <w:sz w:val="20"/>
          <w:szCs w:val="20"/>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231" w:lineRule="exact"/>
        <w:rPr>
          <w:rFonts w:ascii="Arial" w:cs="Arial" w:eastAsia="Arial" w:hAnsi="Arial"/>
          <w:sz w:val="20"/>
          <w:szCs w:val="20"/>
          <w:color w:val="auto"/>
        </w:rPr>
      </w:pPr>
    </w:p>
    <w:p>
      <w:pPr>
        <w:ind w:left="220" w:right="20" w:firstLine="1290"/>
        <w:spacing w:after="0" w:line="260" w:lineRule="auto"/>
        <w:tabs>
          <w:tab w:leader="none" w:pos="1873" w:val="left"/>
        </w:tabs>
        <w:numPr>
          <w:ilvl w:val="2"/>
          <w:numId w:val="157"/>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in connection with any letter of intent or purchase agreement permitted under this Agreement;</w:t>
      </w:r>
    </w:p>
    <w:p>
      <w:pPr>
        <w:spacing w:after="0" w:line="203" w:lineRule="exact"/>
        <w:rPr>
          <w:rFonts w:ascii="Arial" w:cs="Arial" w:eastAsia="Arial" w:hAnsi="Arial"/>
          <w:sz w:val="20"/>
          <w:szCs w:val="20"/>
          <w:color w:val="auto"/>
        </w:rPr>
      </w:pPr>
    </w:p>
    <w:p>
      <w:pPr>
        <w:jc w:val="both"/>
        <w:ind w:left="220" w:firstLine="1290"/>
        <w:spacing w:after="0" w:line="243" w:lineRule="auto"/>
        <w:tabs>
          <w:tab w:leader="none" w:pos="1895" w:val="left"/>
        </w:tabs>
        <w:numPr>
          <w:ilvl w:val="2"/>
          <w:numId w:val="157"/>
        </w:numPr>
        <w:rPr>
          <w:rFonts w:ascii="Arial" w:cs="Arial" w:eastAsia="Arial" w:hAnsi="Arial"/>
          <w:sz w:val="20"/>
          <w:szCs w:val="20"/>
          <w:color w:val="auto"/>
        </w:rPr>
      </w:pPr>
      <w:r>
        <w:rPr>
          <w:rFonts w:ascii="Arial" w:cs="Arial" w:eastAsia="Arial" w:hAnsi="Arial"/>
          <w:sz w:val="20"/>
          <w:szCs w:val="20"/>
          <w:color w:val="auto"/>
        </w:rPr>
        <w:t>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w:t>
      </w:r>
    </w:p>
    <w:p>
      <w:pPr>
        <w:spacing w:after="0" w:line="2" w:lineRule="exact"/>
        <w:rPr>
          <w:rFonts w:ascii="Arial" w:cs="Arial" w:eastAsia="Arial" w:hAnsi="Arial"/>
          <w:sz w:val="20"/>
          <w:szCs w:val="20"/>
          <w:color w:val="auto"/>
        </w:rPr>
      </w:pPr>
    </w:p>
    <w:p>
      <w:pPr>
        <w:jc w:val="both"/>
        <w:ind w:left="220" w:hanging="6"/>
        <w:spacing w:after="0" w:line="241" w:lineRule="auto"/>
        <w:tabs>
          <w:tab w:leader="none" w:pos="531"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w:t>
      </w:r>
    </w:p>
    <w:p>
      <w:pPr>
        <w:spacing w:after="0" w:line="236" w:lineRule="exact"/>
        <w:rPr>
          <w:rFonts w:ascii="Arial" w:cs="Arial" w:eastAsia="Arial" w:hAnsi="Arial"/>
          <w:sz w:val="20"/>
          <w:szCs w:val="20"/>
          <w:color w:val="auto"/>
        </w:rPr>
      </w:pPr>
    </w:p>
    <w:p>
      <w:pPr>
        <w:jc w:val="both"/>
        <w:ind w:left="220" w:firstLine="1289"/>
        <w:spacing w:after="0" w:line="244" w:lineRule="auto"/>
        <w:tabs>
          <w:tab w:leader="none" w:pos="1873" w:val="left"/>
        </w:tabs>
        <w:numPr>
          <w:ilvl w:val="2"/>
          <w:numId w:val="158"/>
        </w:numPr>
        <w:rPr>
          <w:rFonts w:ascii="Arial" w:cs="Arial" w:eastAsia="Arial" w:hAnsi="Arial"/>
          <w:sz w:val="20"/>
          <w:szCs w:val="20"/>
          <w:color w:val="auto"/>
        </w:rPr>
      </w:pPr>
      <w:r>
        <w:rPr>
          <w:rFonts w:ascii="Arial" w:cs="Arial" w:eastAsia="Arial" w:hAnsi="Arial"/>
          <w:sz w:val="20"/>
          <w:szCs w:val="20"/>
          <w:color w:val="auto"/>
        </w:rPr>
        <w:t xml:space="preserve">Liens securing Indebtedness and other Obligations in an aggregate principal amount not to exceed the greater of (a) $96.0 million and (b) 45.0% of LTM EBITDA at the time Incurred;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in the event that the Liens granted pursuant to this clause (ee) are Liens on the Collateral, then such Liens shall rank junior in priority to the Liens on the Collateral securing the Secured Obligations and the holders of the obligations secured by such Liens, or their duly appointed agent, shall become party to a Customary Intercreditor Agreement;</w:t>
      </w:r>
    </w:p>
    <w:p>
      <w:pPr>
        <w:spacing w:after="0" w:line="234" w:lineRule="exact"/>
        <w:rPr>
          <w:rFonts w:ascii="Arial" w:cs="Arial" w:eastAsia="Arial" w:hAnsi="Arial"/>
          <w:sz w:val="20"/>
          <w:szCs w:val="20"/>
          <w:color w:val="auto"/>
        </w:rPr>
      </w:pPr>
    </w:p>
    <w:p>
      <w:pPr>
        <w:ind w:left="220" w:firstLine="1291"/>
        <w:spacing w:after="0" w:line="260" w:lineRule="auto"/>
        <w:tabs>
          <w:tab w:leader="none" w:pos="1842" w:val="left"/>
        </w:tabs>
        <w:numPr>
          <w:ilvl w:val="2"/>
          <w:numId w:val="158"/>
        </w:numPr>
        <w:rPr>
          <w:rFonts w:ascii="Arial" w:cs="Arial" w:eastAsia="Arial" w:hAnsi="Arial"/>
          <w:sz w:val="20"/>
          <w:szCs w:val="20"/>
          <w:color w:val="auto"/>
        </w:rPr>
      </w:pPr>
      <w:r>
        <w:rPr>
          <w:rFonts w:ascii="Arial" w:cs="Arial" w:eastAsia="Arial" w:hAnsi="Arial"/>
          <w:sz w:val="20"/>
          <w:szCs w:val="20"/>
          <w:color w:val="auto"/>
        </w:rPr>
        <w:t xml:space="preserve">Liens then existing with respect to assets of an Unrestricted Subsidiary on the day such Unrestricted Subsidiary is redesignated as a Restricted Subsidiary as described under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hereof;</w:t>
      </w:r>
    </w:p>
    <w:p>
      <w:pPr>
        <w:spacing w:after="0" w:line="203" w:lineRule="exact"/>
        <w:rPr>
          <w:rFonts w:ascii="Arial" w:cs="Arial" w:eastAsia="Arial" w:hAnsi="Arial"/>
          <w:sz w:val="20"/>
          <w:szCs w:val="20"/>
          <w:color w:val="auto"/>
        </w:rPr>
      </w:pPr>
    </w:p>
    <w:p>
      <w:pPr>
        <w:jc w:val="both"/>
        <w:ind w:left="220" w:firstLine="1290"/>
        <w:spacing w:after="0" w:line="243" w:lineRule="auto"/>
        <w:tabs>
          <w:tab w:leader="none" w:pos="1925" w:val="left"/>
        </w:tabs>
        <w:numPr>
          <w:ilvl w:val="2"/>
          <w:numId w:val="158"/>
        </w:numPr>
        <w:rPr>
          <w:rFonts w:ascii="Arial" w:cs="Arial" w:eastAsia="Arial" w:hAnsi="Arial"/>
          <w:sz w:val="20"/>
          <w:szCs w:val="20"/>
          <w:color w:val="auto"/>
        </w:rPr>
      </w:pPr>
      <w:r>
        <w:rPr>
          <w:rFonts w:ascii="Arial" w:cs="Arial" w:eastAsia="Arial" w:hAnsi="Arial"/>
          <w:sz w:val="20"/>
          <w:szCs w:val="20"/>
          <w:color w:val="auto"/>
        </w:rPr>
        <w:t xml:space="preserve">Liens Incurred to secure Junior Priority Indebtedness permitted to be Incurred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hereof;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at the time of Incurrence and after giving pro forma effect thereto, if such Indebtedness is secured by a Lien on the</w:t>
      </w:r>
      <w:r>
        <w:rPr>
          <w:rFonts w:ascii="Arial" w:cs="Arial" w:eastAsia="Arial" w:hAnsi="Arial"/>
          <w:sz w:val="20"/>
          <w:szCs w:val="20"/>
          <w:i w:val="1"/>
          <w:iCs w:val="1"/>
          <w:color w:val="auto"/>
        </w:rPr>
        <w:t xml:space="preserve"> </w:t>
      </w:r>
      <w:r>
        <w:rPr>
          <w:rFonts w:ascii="Arial" w:cs="Arial" w:eastAsia="Arial" w:hAnsi="Arial"/>
          <w:sz w:val="20"/>
          <w:szCs w:val="20"/>
          <w:color w:val="auto"/>
        </w:rPr>
        <w:t>Collateral that is junior to the Liens securing the Initial Term Loans, the Consolidated Total Senior Secured Leverage Ratio for the most recently ended Test Period does not exceed the greater of (x) 3.30:1.00 (or, to the extent such Indebtedness is incurred in connection with any Permitted Investment, the Consolidated Total Senior Secured Leverage Ratio for the most recently ended Test Period does not exceed the greater of 3.30:1.00 and the Consolidated Total</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-139-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69" w:name="page270"/>
    <w:bookmarkEnd w:id="26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Senior Secured Leverage Ratio immediately prior to such Permitted Investment);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-140-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70" w:name="page271"/>
    <w:bookmarkEnd w:id="27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 the obligations secured by such Liens, or their duly appointed agent, shall become party to a Customary Intercreditor Agreement;</w:t>
      </w:r>
    </w:p>
    <w:p>
      <w:pPr>
        <w:spacing w:after="0" w:line="279" w:lineRule="exact"/>
        <w:rPr>
          <w:sz w:val="20"/>
          <w:szCs w:val="20"/>
          <w:color w:val="auto"/>
        </w:rPr>
      </w:pPr>
    </w:p>
    <w:p>
      <w:pPr>
        <w:ind w:left="220" w:right="20" w:firstLine="1291"/>
        <w:spacing w:after="0" w:line="316" w:lineRule="auto"/>
        <w:tabs>
          <w:tab w:leader="none" w:pos="193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156" w:lineRule="exact"/>
        <w:rPr>
          <w:rFonts w:ascii="Arial" w:cs="Arial" w:eastAsia="Arial" w:hAnsi="Arial"/>
          <w:sz w:val="18"/>
          <w:szCs w:val="18"/>
          <w:color w:val="auto"/>
        </w:rPr>
      </w:pPr>
    </w:p>
    <w:p>
      <w:pPr>
        <w:ind w:left="1940" w:hanging="430"/>
        <w:spacing w:after="0"/>
        <w:tabs>
          <w:tab w:leader="none" w:pos="19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Liens arising in connection with a Qualified Securitization Financing or a Receivables Facility;</w:t>
      </w:r>
    </w:p>
    <w:p>
      <w:pPr>
        <w:spacing w:after="0" w:line="256" w:lineRule="exact"/>
        <w:rPr>
          <w:rFonts w:ascii="Arial" w:cs="Arial" w:eastAsia="Arial" w:hAnsi="Arial"/>
          <w:sz w:val="20"/>
          <w:szCs w:val="20"/>
          <w:color w:val="auto"/>
        </w:rPr>
      </w:pPr>
    </w:p>
    <w:p>
      <w:pPr>
        <w:ind w:left="1940" w:hanging="430"/>
        <w:spacing w:after="0"/>
        <w:tabs>
          <w:tab w:leader="none" w:pos="19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Settlement Liens;</w:t>
      </w:r>
    </w:p>
    <w:p>
      <w:pPr>
        <w:spacing w:after="0" w:line="256" w:lineRule="exact"/>
        <w:rPr>
          <w:rFonts w:ascii="Arial" w:cs="Arial" w:eastAsia="Arial" w:hAnsi="Arial"/>
          <w:sz w:val="20"/>
          <w:szCs w:val="20"/>
          <w:color w:val="auto"/>
        </w:rPr>
      </w:pPr>
    </w:p>
    <w:p>
      <w:pPr>
        <w:ind w:left="220" w:firstLine="1290"/>
        <w:spacing w:after="0" w:line="260" w:lineRule="auto"/>
        <w:tabs>
          <w:tab w:leader="none" w:pos="1907" w:val="left"/>
        </w:tabs>
        <w:numPr>
          <w:ilvl w:val="1"/>
          <w:numId w:val="159"/>
        </w:numPr>
        <w:rPr>
          <w:rFonts w:ascii="Arial" w:cs="Arial" w:eastAsia="Arial" w:hAnsi="Arial"/>
          <w:sz w:val="20"/>
          <w:szCs w:val="20"/>
          <w:color w:val="auto"/>
        </w:rPr>
      </w:pPr>
      <w:r>
        <w:rPr>
          <w:rFonts w:ascii="Arial" w:cs="Arial" w:eastAsia="Arial" w:hAnsi="Arial"/>
          <w:sz w:val="20"/>
          <w:szCs w:val="20"/>
          <w:color w:val="auto"/>
        </w:rPr>
        <w:t>rights of recapture of unused real property in favor of the seller of such property set forth in customary purchase agreements and related arrangements with any government, statutory or regulatory authority;</w:t>
      </w:r>
    </w:p>
    <w:p>
      <w:pPr>
        <w:spacing w:after="0" w:line="203" w:lineRule="exact"/>
        <w:rPr>
          <w:rFonts w:ascii="Arial" w:cs="Arial" w:eastAsia="Arial" w:hAnsi="Arial"/>
          <w:sz w:val="20"/>
          <w:szCs w:val="20"/>
          <w:color w:val="auto"/>
        </w:rPr>
      </w:pPr>
    </w:p>
    <w:p>
      <w:pPr>
        <w:jc w:val="both"/>
        <w:ind w:left="220" w:firstLine="1290"/>
        <w:spacing w:after="0" w:line="269" w:lineRule="auto"/>
        <w:tabs>
          <w:tab w:leader="none" w:pos="1823"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rights reserved to or vested in any Person or government, statutory or regulatory authority by the terms of any lease, license, grant or permit held by the Borrower or any Restricted Subsidiary or by a statutory provision, to terminate any such lease, license, grant or permit, or to require annual or periodic payments as a condition to the continuance thereof;</w:t>
      </w:r>
    </w:p>
    <w:p>
      <w:pPr>
        <w:spacing w:after="0" w:line="210" w:lineRule="exact"/>
        <w:rPr>
          <w:rFonts w:ascii="Arial" w:cs="Arial" w:eastAsia="Arial" w:hAnsi="Arial"/>
          <w:sz w:val="19"/>
          <w:szCs w:val="19"/>
          <w:color w:val="auto"/>
        </w:rPr>
      </w:pPr>
    </w:p>
    <w:p>
      <w:pPr>
        <w:jc w:val="both"/>
        <w:ind w:left="220" w:firstLine="1290"/>
        <w:spacing w:after="0" w:line="246" w:lineRule="auto"/>
        <w:tabs>
          <w:tab w:leader="none" w:pos="2029" w:val="left"/>
        </w:tabs>
        <w:numPr>
          <w:ilvl w:val="1"/>
          <w:numId w:val="159"/>
        </w:numPr>
        <w:rPr>
          <w:rFonts w:ascii="Arial" w:cs="Arial" w:eastAsia="Arial" w:hAnsi="Arial"/>
          <w:sz w:val="20"/>
          <w:szCs w:val="20"/>
          <w:color w:val="auto"/>
        </w:rPr>
      </w:pPr>
      <w:r>
        <w:rPr>
          <w:rFonts w:ascii="Arial" w:cs="Arial" w:eastAsia="Arial" w:hAnsi="Arial"/>
          <w:sz w:val="20"/>
          <w:szCs w:val="20"/>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such Liens or covenants do not interfere with the ordinary conduct of the business of the Borrower or any 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Subsidiary;</w:t>
      </w:r>
    </w:p>
    <w:p>
      <w:pPr>
        <w:spacing w:after="0" w:line="231" w:lineRule="exact"/>
        <w:rPr>
          <w:rFonts w:ascii="Arial" w:cs="Arial" w:eastAsia="Arial" w:hAnsi="Arial"/>
          <w:sz w:val="20"/>
          <w:szCs w:val="20"/>
          <w:color w:val="auto"/>
        </w:rPr>
      </w:pPr>
    </w:p>
    <w:p>
      <w:pPr>
        <w:ind w:left="220" w:right="20" w:firstLine="1290"/>
        <w:spacing w:after="0" w:line="260" w:lineRule="auto"/>
        <w:tabs>
          <w:tab w:leader="none" w:pos="1899" w:val="left"/>
        </w:tabs>
        <w:numPr>
          <w:ilvl w:val="1"/>
          <w:numId w:val="159"/>
        </w:numPr>
        <w:rPr>
          <w:rFonts w:ascii="Arial" w:cs="Arial" w:eastAsia="Arial" w:hAnsi="Arial"/>
          <w:sz w:val="20"/>
          <w:szCs w:val="20"/>
          <w:color w:val="auto"/>
        </w:rPr>
      </w:pPr>
      <w:r>
        <w:rPr>
          <w:rFonts w:ascii="Arial" w:cs="Arial" w:eastAsia="Arial" w:hAnsi="Arial"/>
          <w:sz w:val="20"/>
          <w:szCs w:val="20"/>
          <w:color w:val="auto"/>
        </w:rPr>
        <w:t xml:space="preserve">Liens on property, assets or Permitted Investments used to defease or to satisfy or discharge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defeasance, satisfaction or discharge is not prohibited by this Agreement;</w:t>
      </w:r>
    </w:p>
    <w:p>
      <w:pPr>
        <w:spacing w:after="0" w:line="203" w:lineRule="exact"/>
        <w:rPr>
          <w:rFonts w:ascii="Arial" w:cs="Arial" w:eastAsia="Arial" w:hAnsi="Arial"/>
          <w:sz w:val="20"/>
          <w:szCs w:val="20"/>
          <w:color w:val="auto"/>
        </w:rPr>
      </w:pPr>
    </w:p>
    <w:p>
      <w:pPr>
        <w:jc w:val="both"/>
        <w:ind w:left="220" w:firstLine="1290"/>
        <w:spacing w:after="0" w:line="245" w:lineRule="auto"/>
        <w:tabs>
          <w:tab w:leader="none" w:pos="1907" w:val="left"/>
        </w:tabs>
        <w:numPr>
          <w:ilvl w:val="1"/>
          <w:numId w:val="159"/>
        </w:numPr>
        <w:rPr>
          <w:rFonts w:ascii="Arial" w:cs="Arial" w:eastAsia="Arial" w:hAnsi="Arial"/>
          <w:sz w:val="20"/>
          <w:szCs w:val="20"/>
          <w:color w:val="auto"/>
        </w:rPr>
      </w:pPr>
      <w:r>
        <w:rPr>
          <w:rFonts w:ascii="Arial" w:cs="Arial" w:eastAsia="Arial" w:hAnsi="Arial"/>
          <w:sz w:val="20"/>
          <w:szCs w:val="20"/>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w:t>
      </w:r>
    </w:p>
    <w:p>
      <w:pPr>
        <w:jc w:val="both"/>
        <w:ind w:left="220" w:hanging="6"/>
        <w:spacing w:after="0" w:line="281" w:lineRule="auto"/>
        <w:tabs>
          <w:tab w:leader="none" w:pos="5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201" w:lineRule="exact"/>
        <w:rPr>
          <w:rFonts w:ascii="Arial" w:cs="Arial" w:eastAsia="Arial" w:hAnsi="Arial"/>
          <w:sz w:val="18"/>
          <w:szCs w:val="18"/>
          <w:color w:val="auto"/>
        </w:rPr>
      </w:pPr>
    </w:p>
    <w:p>
      <w:pPr>
        <w:ind w:left="2040" w:hanging="529"/>
        <w:spacing w:after="0"/>
        <w:tabs>
          <w:tab w:leader="none" w:pos="20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Liens arising in connection with any Permitted Intercompany Activities;</w:t>
      </w:r>
    </w:p>
    <w:p>
      <w:pPr>
        <w:spacing w:after="0" w:line="242" w:lineRule="exact"/>
        <w:rPr>
          <w:rFonts w:ascii="Arial" w:cs="Arial" w:eastAsia="Arial" w:hAnsi="Arial"/>
          <w:sz w:val="20"/>
          <w:szCs w:val="20"/>
          <w:color w:val="auto"/>
        </w:rPr>
      </w:pPr>
    </w:p>
    <w:p>
      <w:pPr>
        <w:ind w:left="1900" w:hanging="390"/>
        <w:spacing w:after="0"/>
        <w:tabs>
          <w:tab w:leader="none" w:pos="1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Liens incurred to cash collateralize letters of credit incurred in the ordinary course of business or consistent with</w:t>
      </w:r>
    </w:p>
    <w:p>
      <w:pPr>
        <w:spacing w:after="0" w:line="38"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20"/>
          <w:szCs w:val="20"/>
          <w:color w:val="auto"/>
        </w:rPr>
        <w:t>past practice;</w:t>
      </w:r>
    </w:p>
    <w:p>
      <w:pPr>
        <w:spacing w:after="0" w:line="240" w:lineRule="exact"/>
        <w:rPr>
          <w:rFonts w:ascii="Arial" w:cs="Arial" w:eastAsia="Arial" w:hAnsi="Arial"/>
          <w:sz w:val="18"/>
          <w:szCs w:val="18"/>
          <w:color w:val="auto"/>
        </w:rPr>
      </w:pPr>
    </w:p>
    <w:p>
      <w:pPr>
        <w:ind w:left="1980" w:hanging="469"/>
        <w:spacing w:after="0"/>
        <w:tabs>
          <w:tab w:leader="none" w:pos="198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000" w:hanging="489"/>
        <w:spacing w:after="0"/>
        <w:tabs>
          <w:tab w:leader="none" w:pos="200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1960" w:hanging="449"/>
        <w:spacing w:after="0"/>
        <w:tabs>
          <w:tab w:leader="none" w:pos="196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-141-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71" w:name="page272"/>
    <w:bookmarkEnd w:id="27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839"/>
        <w:spacing w:after="0"/>
        <w:rPr>
          <w:sz w:val="20"/>
          <w:szCs w:val="20"/>
          <w:color w:val="auto"/>
        </w:rPr>
      </w:pPr>
      <w:r>
        <w:rPr>
          <w:rFonts w:ascii="Arial" w:cs="Arial" w:eastAsia="Arial" w:hAnsi="Arial"/>
          <w:sz w:val="20"/>
          <w:szCs w:val="20"/>
          <w:color w:val="auto"/>
        </w:rPr>
        <w:t>(uu) with respect to any Foreign Subsidiary, other Liens and privileges arising mandatorily by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-142-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72" w:name="page273"/>
    <w:bookmarkEnd w:id="27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648"/>
        <w:spacing w:after="0" w:line="276" w:lineRule="auto"/>
        <w:rPr>
          <w:sz w:val="20"/>
          <w:szCs w:val="20"/>
          <w:color w:val="auto"/>
        </w:rPr>
      </w:pPr>
      <w:r>
        <w:rPr>
          <w:rFonts w:ascii="Arial" w:cs="Arial" w:eastAsia="Arial" w:hAnsi="Arial"/>
          <w:sz w:val="18"/>
          <w:szCs w:val="18"/>
          <w:color w:val="auto"/>
        </w:rPr>
        <w:t xml:space="preserve">For purposes of this definition, the term Indebtedness shall be deemed to include interest on such Indebtedness including interest which increases the principal amount of such Indebtedness. In the event that a Permitted Lien meets the criteria of more than one of the types of Permitted Liens (at the time of incurrence or at a later date), the Borrower in its sole discretion may divide, classify or from time to time reclassify all or any portion of such Permitted Lien in any manner that complies with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and such Permitted Lien shall be treated as having been made pursuant only to the clause or clauses of this definition to which such Permitted Lien has been classified or reclassified;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Liens incurred pursuant to clause (s) of this definition may not be reclassified.</w:t>
      </w:r>
    </w:p>
    <w:p>
      <w:pPr>
        <w:spacing w:after="0" w:line="205" w:lineRule="exact"/>
        <w:rPr>
          <w:sz w:val="20"/>
          <w:szCs w:val="20"/>
          <w:color w:val="auto"/>
        </w:rPr>
      </w:pPr>
    </w:p>
    <w:p>
      <w:pPr>
        <w:jc w:val="both"/>
        <w:ind w:left="1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Pari Passu Refinancing Debt</w:t>
      </w:r>
      <w:r>
        <w:rPr>
          <w:rFonts w:ascii="Arial" w:cs="Arial" w:eastAsia="Arial" w:hAnsi="Arial"/>
          <w:sz w:val="18"/>
          <w:szCs w:val="18"/>
          <w:color w:val="auto"/>
        </w:rPr>
        <w:t xml:space="preserve">” means any secured Indebtedness incurred by the Borrower and Guarantees with respect thereto by any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Secured Obligations and is not secured by any property or assets of Holdings or the Restricted Subsidiaries other than the Collateral and (ii) such Indebtedness constitutes Credit Agreement Refinancing Indebtedness in respect of Term Loans, Incremental Term Loans, Refinancing Term Loans, Revolving Credit Loans, Incremental Revolving Credit Commitments, or Refinancing Revolving Credit Loans.</w:t>
      </w:r>
    </w:p>
    <w:p>
      <w:pPr>
        <w:spacing w:after="0" w:line="19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Payments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7.06(b)</w:t>
      </w:r>
      <w:r>
        <w:rPr>
          <w:rFonts w:ascii="Arial" w:cs="Arial" w:eastAsia="Arial" w:hAnsi="Arial"/>
          <w:sz w:val="20"/>
          <w:szCs w:val="20"/>
          <w:color w:val="auto"/>
        </w:rPr>
        <w:t>.</w:t>
      </w:r>
    </w:p>
    <w:p>
      <w:pPr>
        <w:spacing w:after="0" w:line="32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Plan</w:t>
      </w:r>
      <w:r>
        <w:rPr>
          <w:rFonts w:ascii="Arial" w:cs="Arial" w:eastAsia="Arial" w:hAnsi="Arial"/>
          <w:sz w:val="20"/>
          <w:szCs w:val="20"/>
          <w:color w:val="auto"/>
        </w:rPr>
        <w:t>” means any employee benefits plan of the Borrower or any of its Affiliates and any Person acting in its capacity as trustee, agent or other fiduciary or administrator of any such plan.</w:t>
      </w:r>
    </w:p>
    <w:p>
      <w:pPr>
        <w:spacing w:after="0" w:line="217"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Restructuring</w:t>
      </w:r>
      <w:r>
        <w:rPr>
          <w:rFonts w:ascii="Arial" w:cs="Arial" w:eastAsia="Arial" w:hAnsi="Arial"/>
          <w:sz w:val="18"/>
          <w:szCs w:val="18"/>
          <w:color w:val="auto"/>
        </w:rPr>
        <w:t xml:space="preserve">” means (i) a reorganization pursuant to which certain Foreign Subsidiaries of the Borrower will become direct or indirect Subsidiaries of a to-be-formed Foreign Subsidiary or Domestic Foreign Holding Company, which will be a direct or indirect Subsidiary of the Borrower and (ii) any other reorganizations and other activities related to Tax planning and reorganization (as determined by the Borrower in good faith) entered into prior to, on or after the Closing Date so long as after giving effect thereto, the security interest of the Lenders in the Collateral, taken as a whole, is not impaired in any material respect and such Permitted Tax Restructuring is not otherwise materially adverse to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after giving effect to such Permitted Tax Restructuring, the Borrower and the Restricted Subsidiaries otherwise comply with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76" w:lineRule="exact"/>
        <w:rPr>
          <w:sz w:val="20"/>
          <w:szCs w:val="20"/>
          <w:color w:val="auto"/>
        </w:rPr>
      </w:pPr>
    </w:p>
    <w:p>
      <w:pPr>
        <w:jc w:val="both"/>
        <w:ind w:left="140" w:firstLine="1345"/>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Unsecured Refinancing Debt</w:t>
      </w:r>
      <w:r>
        <w:rPr>
          <w:rFonts w:ascii="Arial" w:cs="Arial" w:eastAsia="Arial" w:hAnsi="Arial"/>
          <w:sz w:val="20"/>
          <w:szCs w:val="20"/>
          <w:color w:val="auto"/>
        </w:rPr>
        <w:t xml:space="preserve">” means unsecured Indebtedness incurred by the Borrower and Guarantees with respect thereto by any Loan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Indebtedness constitutes Credit Agreement Refinancing Indebtedness in respect of Term Loans, Incremental Term Loans, Refinancing Term Loans, Revolving Credit Loans, Incremental Revolving Credit Commitments, or Refinancing Revolving Credit Loans.</w:t>
      </w:r>
    </w:p>
    <w:p>
      <w:pPr>
        <w:spacing w:after="0" w:line="232" w:lineRule="exact"/>
        <w:rPr>
          <w:sz w:val="20"/>
          <w:szCs w:val="20"/>
          <w:color w:val="auto"/>
        </w:rPr>
      </w:pPr>
    </w:p>
    <w:p>
      <w:pPr>
        <w:jc w:val="both"/>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 stock company, trust, unincorporated organization, limited liability company, government or any agency or political subdivision thereof or any other entity.</w:t>
      </w:r>
    </w:p>
    <w:p>
      <w:pPr>
        <w:spacing w:after="0" w:line="157"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(as such term is defined in Section 3(3) of ERISA) other than a Foreign Plan, established or maintained by any Loan Party or, with respect to any such plan that is subject to Section 412 of the Code or Title IV of ERISA, any ERISA Affiliate.</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means 29 CFR § 2510.3-101 et seq., as modified by Section 3(42) of ERISA, as amended from</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time to time.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-143-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73" w:name="page274"/>
    <w:bookmarkEnd w:id="27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-144-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74" w:name="page275"/>
    <w:bookmarkEnd w:id="27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6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Post-Petition Interest</w:t>
      </w:r>
      <w:r>
        <w:rPr>
          <w:rFonts w:ascii="Arial" w:cs="Arial" w:eastAsia="Arial" w:hAnsi="Arial"/>
          <w:sz w:val="20"/>
          <w:szCs w:val="20"/>
          <w:color w:val="auto"/>
        </w:rPr>
        <w:t>” means any interest or entitlement to fees or expenses or other charges that accrue after the commencement of any bankruptcy or insolvency proceeding, whether or not a claim therefor is allowed or allowable in any such bankruptcy or insolvency proceeding.</w:t>
      </w:r>
    </w:p>
    <w:p>
      <w:pPr>
        <w:spacing w:after="0" w:line="226" w:lineRule="exact"/>
        <w:rPr>
          <w:sz w:val="20"/>
          <w:szCs w:val="20"/>
          <w:color w:val="auto"/>
        </w:rPr>
      </w:pPr>
    </w:p>
    <w:p>
      <w:pPr>
        <w:jc w:val="both"/>
        <w:ind w:left="140" w:firstLine="1345"/>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97"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Amount</w:t>
      </w:r>
      <w:r>
        <w:rPr>
          <w:rFonts w:ascii="Arial" w:cs="Arial" w:eastAsia="Arial" w:hAnsi="Arial"/>
          <w:sz w:val="20"/>
          <w:szCs w:val="20"/>
          <w:color w:val="auto"/>
        </w:rPr>
        <w:t>” means the stated or principal amount of each Loan.</w:t>
      </w:r>
    </w:p>
    <w:p>
      <w:pPr>
        <w:spacing w:after="0" w:line="32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5.05(a)(ii)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Discounted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2.05(d)(ii)</w:t>
      </w:r>
      <w:r>
        <w:rPr>
          <w:rFonts w:ascii="Arial" w:cs="Arial" w:eastAsia="Arial" w:hAnsi="Arial"/>
          <w:sz w:val="20"/>
          <w:szCs w:val="20"/>
          <w:color w:val="auto"/>
        </w:rPr>
        <w:t>.</w:t>
      </w:r>
    </w:p>
    <w:p>
      <w:pPr>
        <w:spacing w:after="0" w:line="321"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204"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33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Money Obligations</w:t>
      </w:r>
      <w:r>
        <w:rPr>
          <w:rFonts w:ascii="Arial" w:cs="Arial" w:eastAsia="Arial" w:hAnsi="Arial"/>
          <w:sz w:val="20"/>
          <w:szCs w:val="20"/>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218"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-145-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75" w:name="page276"/>
    <w:bookmarkEnd w:id="27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7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assigned to it in Section </w:t>
      </w:r>
      <w:r>
        <w:rPr>
          <w:rFonts w:ascii="Arial" w:cs="Arial" w:eastAsia="Arial" w:hAnsi="Arial"/>
          <w:sz w:val="20"/>
          <w:szCs w:val="20"/>
          <w:u w:val="single" w:color="auto"/>
          <w:color w:val="auto"/>
        </w:rPr>
        <w:t>10.23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-146-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76" w:name="page277"/>
    <w:bookmarkEnd w:id="27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Capital Stock</w:t>
      </w:r>
      <w:r>
        <w:rPr>
          <w:rFonts w:ascii="Arial" w:cs="Arial" w:eastAsia="Arial" w:hAnsi="Arial"/>
          <w:sz w:val="20"/>
          <w:szCs w:val="20"/>
          <w:color w:val="auto"/>
        </w:rPr>
        <w:t>” means any Capital Stock of Holdings that is not Disqualified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Stock.</w:t>
      </w:r>
    </w:p>
    <w:p>
      <w:pPr>
        <w:spacing w:after="0" w:line="321" w:lineRule="exact"/>
        <w:rPr>
          <w:sz w:val="20"/>
          <w:szCs w:val="20"/>
          <w:color w:val="auto"/>
        </w:rPr>
      </w:pPr>
    </w:p>
    <w:p>
      <w:pPr>
        <w:jc w:val="both"/>
        <w:ind w:left="140"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Securitization Financing</w:t>
      </w:r>
      <w:r>
        <w:rPr>
          <w:rFonts w:ascii="Arial" w:cs="Arial" w:eastAsia="Arial" w:hAnsi="Arial"/>
          <w:sz w:val="20"/>
          <w:szCs w:val="20"/>
          <w:color w:val="auto"/>
        </w:rPr>
        <w:t>”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Holdings and its Restricted Subsidiaries, (ii) all sales of Securitization Assets by Holdings or any Restricted Subsidiary to the Securitization Subsidiary or, in the case of a Securitization Subsidiary, to any other Person are made for fair consideration (as determined in good faith by the Borrower) and (iii) the financing terms, covenants, termination events and other provisions thereof shall be fair and reasonable terms (as determined in good faith by the Borrower) and (iv) the obligations under the Securitization Facility are non-recourse to Holdings and its Restricted Subsidiaries but may include Standard Securitization Undertakings.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2.05(d)(iv)</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2.05(d)(iv)</w:t>
      </w:r>
      <w:r>
        <w:rPr>
          <w:rFonts w:ascii="Arial" w:cs="Arial" w:eastAsia="Arial" w:hAnsi="Arial"/>
          <w:sz w:val="20"/>
          <w:szCs w:val="20"/>
          <w:color w:val="auto"/>
        </w:rPr>
        <w:t>.</w:t>
      </w:r>
    </w:p>
    <w:p>
      <w:pPr>
        <w:spacing w:after="0" w:line="337"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Quotation Date</w:t>
      </w:r>
      <w:r>
        <w:rPr>
          <w:rFonts w:ascii="Arial" w:cs="Arial" w:eastAsia="Arial" w:hAnsi="Arial"/>
          <w:sz w:val="20"/>
          <w:szCs w:val="20"/>
          <w:color w:val="auto"/>
        </w:rPr>
        <w:t>” means, in respect of the determination of the Eurocurrency Rate for any Interest Period for a Eurocurrency Rate Loan, the day that is two Business Days prior to the first day of such Interest Period.</w:t>
      </w:r>
    </w:p>
    <w:p>
      <w:pPr>
        <w:spacing w:after="0" w:line="21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Assets</w:t>
      </w:r>
      <w:r>
        <w:rPr>
          <w:rFonts w:ascii="Arial" w:cs="Arial" w:eastAsia="Arial" w:hAnsi="Arial"/>
          <w:sz w:val="20"/>
          <w:szCs w:val="20"/>
          <w:color w:val="auto"/>
        </w:rPr>
        <w:t>” means (a) any accounts receivable owed to Holdings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235"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means an arrangement between Holdings or a Subsidiary and a commercial bank, an asset based lender or other financial institution or an Affiliate thereof pursuant to which (a) Holdings or such Subsidiary, as applicable, sells (directly or indirectly) to such commercial bank, asset based lender or other financial institution (or such Affiliate) Receivables Assets and (b) the obligations of Holdings or such Restricted Subsidiary, as applicable, thereunder are non-recourse (except for Securitization Repurchase Obligations) to Holdings and such Subsidiary and (c) the financing terms, covenants, termination events and other provisions thereof shall be on market terms (as determined in good faith by the Borrower) and may include Standard Securitization Undertakings, and shall include any guaranty in respect of such arrangements.</w:t>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L/C Issuer as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applicable.</w:t>
      </w:r>
    </w:p>
    <w:p>
      <w:pPr>
        <w:spacing w:after="0" w:line="308"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20"/>
          <w:szCs w:val="20"/>
          <w:u w:val="single" w:color="auto"/>
          <w:color w:val="auto"/>
        </w:rPr>
        <w:t>refinances</w:t>
      </w:r>
      <w:r>
        <w:rPr>
          <w:rFonts w:ascii="Arial" w:cs="Arial" w:eastAsia="Arial" w:hAnsi="Arial"/>
          <w:sz w:val="20"/>
          <w:szCs w:val="20"/>
          <w:color w:val="auto"/>
        </w:rPr>
        <w:t>,” “</w:t>
      </w:r>
      <w:r>
        <w:rPr>
          <w:rFonts w:ascii="Arial" w:cs="Arial" w:eastAsia="Arial" w:hAnsi="Arial"/>
          <w:sz w:val="20"/>
          <w:szCs w:val="20"/>
          <w:u w:val="single" w:color="auto"/>
          <w:color w:val="auto"/>
        </w:rPr>
        <w:t>refinanced</w:t>
      </w:r>
      <w:r>
        <w:rPr>
          <w:rFonts w:ascii="Arial" w:cs="Arial" w:eastAsia="Arial" w:hAnsi="Arial"/>
          <w:sz w:val="20"/>
          <w:szCs w:val="20"/>
          <w:color w:val="auto"/>
        </w:rPr>
        <w:t>” and “</w:t>
      </w:r>
      <w:r>
        <w:rPr>
          <w:rFonts w:ascii="Arial" w:cs="Arial" w:eastAsia="Arial" w:hAnsi="Arial"/>
          <w:sz w:val="20"/>
          <w:szCs w:val="20"/>
          <w:u w:val="single" w:color="auto"/>
          <w:color w:val="auto"/>
        </w:rPr>
        <w:t>refinancing</w:t>
      </w:r>
      <w:r>
        <w:rPr>
          <w:rFonts w:ascii="Arial" w:cs="Arial" w:eastAsia="Arial" w:hAnsi="Arial"/>
          <w:sz w:val="20"/>
          <w:szCs w:val="20"/>
          <w:color w:val="auto"/>
        </w:rPr>
        <w:t>” as used for any purpose in this Agreement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-147-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77" w:name="page278"/>
    <w:bookmarkEnd w:id="27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means an amendment to this Agreement in form and substance reasonably satisfactory to the Administrative Agent and the Borrower executed by each of (a) the Borrower,</w:t>
      </w:r>
    </w:p>
    <w:p>
      <w:pPr>
        <w:spacing w:after="0" w:line="2" w:lineRule="exact"/>
        <w:rPr>
          <w:sz w:val="20"/>
          <w:szCs w:val="20"/>
          <w:color w:val="auto"/>
        </w:rPr>
      </w:pPr>
    </w:p>
    <w:p>
      <w:pPr>
        <w:ind w:left="140" w:right="280" w:hanging="7"/>
        <w:spacing w:after="0" w:line="244" w:lineRule="auto"/>
        <w:tabs>
          <w:tab w:leader="none" w:pos="65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Administrative Agent and (c) each Lender and Additional Lender that agrees to provide any portion of the Credit Agreement Refinancing Indebtedness being incurred pursuant thereto.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-148-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78" w:name="page279"/>
    <w:bookmarkEnd w:id="27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Holdings that refinances Indebtedness of any Restricted Subsidiary and Indebtedness of any Restricted Subsidiary that refinances Indebtedness of Holdings or another Restricted Subsidiary) including Indebtedness that refinances Refinancing Indebtedness, and Indebtedness incurred pursuant to a commitment that refinances any Indebtedness or unutilized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05" w:lineRule="exact"/>
        <w:rPr>
          <w:sz w:val="20"/>
          <w:szCs w:val="20"/>
          <w:color w:val="auto"/>
        </w:rPr>
      </w:pPr>
    </w:p>
    <w:p>
      <w:pPr>
        <w:jc w:val="both"/>
        <w:ind w:left="780" w:firstLine="544"/>
        <w:spacing w:after="0" w:line="274" w:lineRule="auto"/>
        <w:tabs>
          <w:tab w:leader="none" w:pos="19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 such Refinancing Indebtedness does not mature prior to, and has a Weighted Average Life to Maturity at the time such Refinancing Indebtedness is Incurred which is not less than the remaining Weighted Average Life to Maturity of, the Indebtedness, Disqualified Stock or Preferred Stock being refunded, refinanced, replaced, exchanged, renewed, repaid or extended (or requires no or nominal payments in cash (other than interest payments) prior to the date that is 91 days after the maturity date of the Initial Term Loans); and (b) to the extent such Refinancing Indebtedness refinances Subordinated Indebtedness, such Refinancing Indebtedness is Subordinated Indebtedness, and is subordinated to the Secured Obligations on terms at least as favorable to the Lenders as those contained in the documentation governing the Indebtedness being refinanced;</w:t>
      </w:r>
    </w:p>
    <w:p>
      <w:pPr>
        <w:spacing w:after="0" w:line="195" w:lineRule="exact"/>
        <w:rPr>
          <w:rFonts w:ascii="Arial" w:cs="Arial" w:eastAsia="Arial" w:hAnsi="Arial"/>
          <w:sz w:val="18"/>
          <w:szCs w:val="18"/>
          <w:color w:val="auto"/>
        </w:rPr>
      </w:pPr>
    </w:p>
    <w:p>
      <w:pPr>
        <w:ind w:left="2080" w:hanging="810"/>
        <w:spacing w:after="0"/>
        <w:tabs>
          <w:tab w:leader="none" w:pos="208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Refinancing Indebtedness shall not include:</w:t>
      </w:r>
    </w:p>
    <w:p>
      <w:pPr>
        <w:spacing w:after="0" w:line="256" w:lineRule="exact"/>
        <w:rPr>
          <w:rFonts w:ascii="Arial" w:cs="Arial" w:eastAsia="Arial" w:hAnsi="Arial"/>
          <w:sz w:val="20"/>
          <w:szCs w:val="20"/>
          <w:color w:val="auto"/>
        </w:rPr>
      </w:pPr>
    </w:p>
    <w:p>
      <w:pPr>
        <w:ind w:left="1440" w:firstLine="710"/>
        <w:spacing w:after="0" w:line="260" w:lineRule="auto"/>
        <w:tabs>
          <w:tab w:leader="none" w:pos="2605" w:val="left"/>
        </w:tabs>
        <w:numPr>
          <w:ilvl w:val="5"/>
          <w:numId w:val="162"/>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a Subsidiary that is not a Guarantor that refinances Indebtedness, Disqualified Stock or Preferred Stock of the Borrower or a Guarantor; or</w:t>
      </w:r>
    </w:p>
    <w:p>
      <w:pPr>
        <w:spacing w:after="0" w:line="217" w:lineRule="exact"/>
        <w:rPr>
          <w:rFonts w:ascii="Arial" w:cs="Arial" w:eastAsia="Arial" w:hAnsi="Arial"/>
          <w:sz w:val="20"/>
          <w:szCs w:val="20"/>
          <w:color w:val="auto"/>
        </w:rPr>
      </w:pPr>
    </w:p>
    <w:p>
      <w:pPr>
        <w:ind w:left="1440" w:right="20" w:firstLine="655"/>
        <w:spacing w:after="0" w:line="260" w:lineRule="auto"/>
        <w:tabs>
          <w:tab w:leader="none" w:pos="2604" w:val="left"/>
        </w:tabs>
        <w:numPr>
          <w:ilvl w:val="4"/>
          <w:numId w:val="162"/>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Holdings or a Restricted Subsidiary that refinances Indebtedness, Disqualified Stock or Preferred Stock of an Unrestricted Subsidiary; and</w:t>
      </w:r>
    </w:p>
    <w:p>
      <w:pPr>
        <w:spacing w:after="0" w:line="203" w:lineRule="exact"/>
        <w:rPr>
          <w:rFonts w:ascii="Arial" w:cs="Arial" w:eastAsia="Arial" w:hAnsi="Arial"/>
          <w:sz w:val="20"/>
          <w:szCs w:val="20"/>
          <w:color w:val="auto"/>
        </w:rPr>
      </w:pPr>
    </w:p>
    <w:p>
      <w:pPr>
        <w:ind w:left="760" w:firstLine="419"/>
        <w:spacing w:after="0" w:line="247" w:lineRule="auto"/>
        <w:tabs>
          <w:tab w:leader="none" w:pos="1944" w:val="left"/>
        </w:tabs>
        <w:numPr>
          <w:ilvl w:val="1"/>
          <w:numId w:val="163"/>
        </w:numPr>
        <w:rPr>
          <w:rFonts w:ascii="Arial" w:cs="Arial" w:eastAsia="Arial" w:hAnsi="Arial"/>
          <w:sz w:val="20"/>
          <w:szCs w:val="20"/>
          <w:color w:val="auto"/>
        </w:rPr>
      </w:pPr>
      <w:r>
        <w:rPr>
          <w:rFonts w:ascii="Arial" w:cs="Arial" w:eastAsia="Arial" w:hAnsi="Arial"/>
          <w:sz w:val="20"/>
          <w:szCs w:val="20"/>
          <w:color w:val="auto"/>
        </w:rPr>
        <w:t>such Refinancing Indebtedness is Incurred in an aggregate principal amount (or if issued with original issue discount, an aggregate issue price) that is equal to or less than the sum of</w:t>
      </w:r>
    </w:p>
    <w:p>
      <w:pPr>
        <w:spacing w:after="0" w:line="1" w:lineRule="exact"/>
        <w:rPr>
          <w:rFonts w:ascii="Arial" w:cs="Arial" w:eastAsia="Arial" w:hAnsi="Arial"/>
          <w:sz w:val="20"/>
          <w:szCs w:val="20"/>
          <w:color w:val="auto"/>
        </w:rPr>
      </w:pPr>
    </w:p>
    <w:p>
      <w:pPr>
        <w:jc w:val="both"/>
        <w:ind w:left="760" w:firstLine="3"/>
        <w:spacing w:after="0" w:line="266" w:lineRule="auto"/>
        <w:tabs>
          <w:tab w:leader="none" w:pos="106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aggregate principal amount (or if issued with original issue discount, the aggregate accreted value) of the Indebtedness being refinanced plus (y) an amount equal to any unutilized commitment relating to the Indebtedness being refinanced or otherwise then outstanding under a Facility or other financing arrangement being refinanced to the extent the unutilized commitment being refinanced could be drawn in compliance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hereof immediately prior to such refinancing, plus</w:t>
      </w:r>
    </w:p>
    <w:p>
      <w:pPr>
        <w:ind w:left="760" w:firstLine="3"/>
        <w:spacing w:after="0" w:line="297" w:lineRule="auto"/>
        <w:tabs>
          <w:tab w:leader="none" w:pos="103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accrued and unpaid interest, dividends, premiums (including tender premiums), defeasance costs, underwriting discounts, fees, costs and expenses (including original issue discount, upfront fees or similar fees) in connection with such refinancing</w:t>
      </w:r>
    </w:p>
    <w:p>
      <w:pPr>
        <w:spacing w:after="0" w:line="187" w:lineRule="exact"/>
        <w:rPr>
          <w:rFonts w:ascii="Arial" w:cs="Arial" w:eastAsia="Arial" w:hAnsi="Arial"/>
          <w:sz w:val="18"/>
          <w:szCs w:val="18"/>
          <w:color w:val="auto"/>
        </w:rPr>
      </w:pPr>
    </w:p>
    <w:p>
      <w:pPr>
        <w:jc w:val="both"/>
        <w:ind w:left="760" w:firstLine="633"/>
        <w:spacing w:after="0" w:line="243" w:lineRule="auto"/>
        <w:tabs>
          <w:tab w:leader="none" w:pos="1670" w:val="left"/>
        </w:tabs>
        <w:numPr>
          <w:ilvl w:val="3"/>
          <w:numId w:val="165"/>
        </w:numPr>
        <w:rPr>
          <w:rFonts w:ascii="Arial" w:cs="Arial" w:eastAsia="Arial" w:hAnsi="Arial"/>
          <w:sz w:val="20"/>
          <w:szCs w:val="20"/>
          <w:color w:val="auto"/>
        </w:rPr>
      </w:pPr>
      <w:r>
        <w:rPr>
          <w:rFonts w:ascii="Arial" w:cs="Arial" w:eastAsia="Arial" w:hAnsi="Arial"/>
          <w:sz w:val="20"/>
          <w:szCs w:val="20"/>
          <w:color w:val="auto"/>
        </w:rPr>
        <w:t>If the Indebtedness being refunded, refinanced, replace, exchanged, renewed, repaid or extended is secured by a Lien on the Collateral such Refinancing Indebtedness may be unsecured or secured by a Lien on the same collateral as such Indebtedness (pursuant to substantially similar collateral documentation), (a) in the case of any such Indebtedness being so refinanced that is secured by a Lien on the Collateral that ranks pari passu with the Lien securing the Obligations, that is pari passu with or junior to the Lien securing the Obligations and (b) in the case of any such Indebtedness being so refinanced that is secured by a Lien ranking junior to the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-149-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79" w:name="page280"/>
    <w:bookmarkEnd w:id="27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60"/>
        <w:spacing w:after="0" w:line="316" w:lineRule="auto"/>
        <w:rPr>
          <w:sz w:val="20"/>
          <w:szCs w:val="20"/>
          <w:color w:val="auto"/>
        </w:rPr>
      </w:pPr>
      <w:r>
        <w:rPr>
          <w:rFonts w:ascii="Arial" w:cs="Arial" w:eastAsia="Arial" w:hAnsi="Arial"/>
          <w:sz w:val="18"/>
          <w:szCs w:val="18"/>
          <w:color w:val="auto"/>
        </w:rPr>
        <w:t>lien securing the Collateral, that is junior to the Lien securing the Obligations, in each case provided that the holders of the obligations secured by such Liens, or their duly appointed agent, shall become party to a Customary Intercreditor Agreement.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-150-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80" w:name="page281"/>
    <w:bookmarkEnd w:id="28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11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means shall mean one or more tranches of Revolving Credit Commitments hereunder that result from a Refinancing Amendment.</w:t>
      </w:r>
    </w:p>
    <w:p>
      <w:pPr>
        <w:spacing w:after="0" w:line="217" w:lineRule="exact"/>
        <w:rPr>
          <w:sz w:val="20"/>
          <w:szCs w:val="20"/>
          <w:color w:val="auto"/>
        </w:rPr>
      </w:pPr>
    </w:p>
    <w:p>
      <w:pPr>
        <w:ind w:left="140" w:right="7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Loans</w:t>
      </w:r>
      <w:r>
        <w:rPr>
          <w:rFonts w:ascii="Arial" w:cs="Arial" w:eastAsia="Arial" w:hAnsi="Arial"/>
          <w:sz w:val="20"/>
          <w:szCs w:val="20"/>
          <w:color w:val="auto"/>
        </w:rPr>
        <w:t>” means one or more tranches of Revolving Credit Loans that result from a Refinancing Amendment.</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Term Loans</w:t>
      </w:r>
      <w:r>
        <w:rPr>
          <w:rFonts w:ascii="Arial" w:cs="Arial" w:eastAsia="Arial" w:hAnsi="Arial"/>
          <w:sz w:val="19"/>
          <w:szCs w:val="19"/>
          <w:color w:val="auto"/>
        </w:rPr>
        <w:t>” means one or more tranches of Term Loans that result from a Refinancing Amendment.</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Refunding Capital Stock</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7.06(b)(ii)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10.07(d)</w:t>
      </w:r>
      <w:r>
        <w:rPr>
          <w:rFonts w:ascii="Arial" w:cs="Arial" w:eastAsia="Arial" w:hAnsi="Arial"/>
          <w:sz w:val="20"/>
          <w:szCs w:val="20"/>
          <w:color w:val="auto"/>
        </w:rPr>
        <w:t>.</w:t>
      </w:r>
    </w:p>
    <w:p>
      <w:pPr>
        <w:spacing w:after="0" w:line="337"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Regulated Bank</w:t>
      </w:r>
      <w:r>
        <w:rPr>
          <w:rFonts w:ascii="Arial" w:cs="Arial" w:eastAsia="Arial" w:hAnsi="Arial"/>
          <w:sz w:val="20"/>
          <w:szCs w:val="20"/>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S-X</w:t>
      </w:r>
      <w:r>
        <w:rPr>
          <w:rFonts w:ascii="Arial" w:cs="Arial" w:eastAsia="Arial" w:hAnsi="Arial"/>
          <w:sz w:val="20"/>
          <w:szCs w:val="20"/>
          <w:color w:val="auto"/>
        </w:rPr>
        <w:t>” means Regulation S-X under the Securities Act.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discharge, disposal, leaking, pumping, pouring, dumping, emptying, injection, or leaching into the Environment.</w:t>
      </w:r>
    </w:p>
    <w:p>
      <w:pPr>
        <w:spacing w:after="0" w:line="217"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NYFRB, or a committee officially endorsed or convened by the Federal Reserve Board and/or the NYFRB or, in each case, any successor thereto.</w:t>
      </w:r>
    </w:p>
    <w:p>
      <w:pPr>
        <w:spacing w:after="0" w:line="21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with respect to any Pension Plan, any of the events set forth in Section 4043(c) of ERISA or the regulations issued thereunder, other than events for which the thirty (30) day notice period has been waived.</w:t>
      </w:r>
    </w:p>
    <w:p>
      <w:pPr>
        <w:spacing w:after="0" w:line="204"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xml:space="preserve">” means any repayment, prepayment, refinancing, conversion or replacement of all or a portion of the Initial Term Loans (i) with the proceeds of a broadly syndicated first lien secured term loans denominated in the same currency the primary purpose of which is to reduce the Effective Yield applicable to the Initial Term Loans (and such Effective Yield is reduced) or (ii) in connection with a mandatory prepayment with the proceeds of Indebtedness having an Effective Yield that is less than the Effective Yield of the Initial Term Loans being repaid, refinanced, substituted or replaced, including, in each case, as may be effected by an amendment of any provisions of this Agreement relating to the Applicable Rate or the Base Rate or Eurocurrency Rate “floors” for, or Effective Yield of,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a “</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shall not include any repayment, prepayment, refinancing, replacement or amendment in connection with (w) a Change of Control, (x) a Transformative Disposition, (y) an initial public offering or (z) a Transformative Acquisition.</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-151-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1" w:name="page282"/>
    <w:bookmarkEnd w:id="28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Request for Credit Extension</w:t>
      </w:r>
      <w:r>
        <w:rPr>
          <w:rFonts w:ascii="Arial" w:cs="Arial" w:eastAsia="Arial" w:hAnsi="Arial"/>
          <w:sz w:val="19"/>
          <w:szCs w:val="19"/>
          <w:color w:val="auto"/>
        </w:rPr>
        <w:t>” means (a) with respect to a Borrowing, conversion or continuation of Term Loans or Revolving Credit Loans, a Committed Loan Notice and (b) with respect to an L/C Credit Extension, a Letter of Credit Application.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-152-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82" w:name="page283"/>
    <w:bookmarkEnd w:id="28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Debt Terms</w:t>
      </w:r>
      <w:r>
        <w:rPr>
          <w:rFonts w:ascii="Arial" w:cs="Arial" w:eastAsia="Arial" w:hAnsi="Arial"/>
          <w:sz w:val="18"/>
          <w:szCs w:val="18"/>
          <w:color w:val="auto"/>
        </w:rPr>
        <w:t>” means, (a) in respect of any Refinancing Term Loans: (i) to the extent secured by the Collateral, a Customary Intercreditor Agreement is entered into, (ii) any Refinancing Term Loans do not mature prior to the maturity date of or have a shorter Weighted Average Life to Maturity prior to the Terms Loans being refinanced, (iii) such Refinancing Term Loans have the same guarantors as the Term Loans being refinanced unless such guarantors substantially concurrently guarantee the Secured Obligations, (iv) such Refinancing Term Loans are secured by the same assets as the Term Loans being refinanced unless such assets substantially concurrently secure the Secured Obligations and (vi) the terms and conditions of such Refinancing Term Loans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(b) in respect of any Refinancing Revolving Credit Commitments, (i) to the extent applicable, a Customary Intercreditor Agreement is entered into, (ii) any Refinancing Revolving Credit Commitment does not mature prior to the maturity date of or have scheduled amortization or commitment reductions prior to the maturity date of the Revolving Credit Commitments being refinanced, (iii) such Refinancing Revolving Credit Commitments have the same guarantors unless such guarantors substantially concurrently guarantee the Secured Obligations,</w:t>
      </w:r>
    </w:p>
    <w:p>
      <w:pPr>
        <w:spacing w:after="0" w:line="6" w:lineRule="exact"/>
        <w:rPr>
          <w:sz w:val="20"/>
          <w:szCs w:val="20"/>
          <w:color w:val="auto"/>
        </w:rPr>
      </w:pPr>
    </w:p>
    <w:p>
      <w:pPr>
        <w:jc w:val="both"/>
        <w:ind w:left="140" w:hanging="7"/>
        <w:spacing w:after="0"/>
        <w:tabs>
          <w:tab w:leader="none" w:pos="65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such Refinancing Revolving Credit Commitments are secured by the same assets as the Revolving Credit Commitments being refinanced unless such assets substantially concurrently secure the Secured Obligations, (v) the terms and conditions of such Refinancing Revolving Credit Commitments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(vi) if such Refinancing Revolving Credit Commitments contain any financial maintenance covenants, such covenants shall be added for the benefit of the Revolving Credit Lenders.</w:t>
      </w:r>
    </w:p>
    <w:p>
      <w:pPr>
        <w:spacing w:after="0" w:line="237" w:lineRule="exact"/>
        <w:rPr>
          <w:sz w:val="20"/>
          <w:szCs w:val="20"/>
          <w:color w:val="auto"/>
        </w:rPr>
      </w:pPr>
    </w:p>
    <w:p>
      <w:pPr>
        <w:jc w:val="both"/>
        <w:ind w:left="1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50.0% of the sum of the (a) Total Outstandings (with the aggregate Outstanding Amount of each Lender’s Revolving Credit Exposure being deemed “held” by such Lender for purposes of this definition), (b) aggregate unused Term Commitments and (c)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unused Term Commitment and unused Revolving Credit Commitment of, and the portion of the Total Outstandings held or deemed held by any Defaulting Lender shall be excluded for all purposes of making a determination of Required Lenders.</w:t>
      </w:r>
    </w:p>
    <w:p>
      <w:pPr>
        <w:spacing w:after="0" w:line="192" w:lineRule="exact"/>
        <w:rPr>
          <w:sz w:val="20"/>
          <w:szCs w:val="20"/>
          <w:color w:val="auto"/>
        </w:rPr>
      </w:pPr>
    </w:p>
    <w:p>
      <w:pPr>
        <w:jc w:val="both"/>
        <w:ind w:left="140" w:right="2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Credit Lenders</w:t>
      </w:r>
      <w:r>
        <w:rPr>
          <w:rFonts w:ascii="Arial" w:cs="Arial" w:eastAsia="Arial" w:hAnsi="Arial"/>
          <w:sz w:val="19"/>
          <w:szCs w:val="19"/>
          <w:color w:val="auto"/>
        </w:rPr>
        <w:t xml:space="preserve">” means, as of any date of determination, Lenders having more than 50.0% in the aggregate of the Revolving Credit Commitments plus after the termination of the Revolving Credit Commitments, the Revolving Credit Exposure of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Revolving Credit Commitment and the Revolving Credit Exposure of any Defaulting Lender shall be excluded for all purposes of making a determination of Required Revolving Credit Lenders.</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 Indebtedness Amount</w:t>
      </w:r>
      <w:r>
        <w:rPr>
          <w:rFonts w:ascii="Arial" w:cs="Arial" w:eastAsia="Arial" w:hAnsi="Arial"/>
          <w:sz w:val="20"/>
          <w:szCs w:val="20"/>
          <w:color w:val="auto"/>
        </w:rPr>
        <w:t>” has the meaning specified in Section 7.03(c)(ix).</w:t>
      </w:r>
    </w:p>
    <w:p>
      <w:pPr>
        <w:spacing w:after="0" w:line="324"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217"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vice president, chief financial officer, treasurer, assistant treasurer or other similar officer or director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-153-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3" w:name="page284"/>
    <w:bookmarkEnd w:id="28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 the part of such Loan Party and such Responsible Officer shall be conclusively presumed to have acted on behalf of such Loan Party.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-154-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900"/>
          </w:cols>
          <w:pgMar w:left="320" w:top="122" w:right="679" w:bottom="1440" w:gutter="0" w:footer="0" w:header="0"/>
        </w:sectPr>
      </w:pPr>
    </w:p>
    <w:bookmarkStart w:id="284" w:name="page285"/>
    <w:bookmarkEnd w:id="28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Casualty Event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Disposition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Investment</w:t>
      </w:r>
      <w:r>
        <w:rPr>
          <w:rFonts w:ascii="Arial" w:cs="Arial" w:eastAsia="Arial" w:hAnsi="Arial"/>
          <w:sz w:val="20"/>
          <w:szCs w:val="20"/>
          <w:color w:val="auto"/>
        </w:rPr>
        <w:t>” means any Investment other than a Permitted Investment.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Holdings other than an Unrestricted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Subsidiary.</w:t>
      </w: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Declined Proceeds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Borrowing</w:t>
      </w:r>
      <w:r>
        <w:rPr>
          <w:rFonts w:ascii="Arial" w:cs="Arial" w:eastAsia="Arial" w:hAnsi="Arial"/>
          <w:sz w:val="20"/>
          <w:szCs w:val="20"/>
          <w:color w:val="auto"/>
        </w:rPr>
        <w:t>” means a borrowing consisting of Revolving Credit Loans of the same Class, Type and currency, made, converted or continued on the same date and, in the case of Eurocurrency Rate Loans, as to which a single Interest Period is in effect.</w:t>
      </w:r>
    </w:p>
    <w:p>
      <w:pPr>
        <w:spacing w:after="0" w:line="226"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xml:space="preserve">” means with respect to each Lender, the commitment, if any, of such Lender to make Revolving Credit Loans and to acquire participations in Letters of Credit, expressed as an amount representing the maximum possible aggregate amount of such Lender’s Revolving Credit Exposure hereunder, as such commitment may be (a) reduced from time to time pursuant to </w:t>
      </w:r>
      <w:r>
        <w:rPr>
          <w:rFonts w:ascii="Arial" w:cs="Arial" w:eastAsia="Arial" w:hAnsi="Arial"/>
          <w:sz w:val="20"/>
          <w:szCs w:val="20"/>
          <w:u w:val="single" w:color="auto"/>
          <w:color w:val="auto"/>
        </w:rPr>
        <w:t>Section</w:t>
      </w:r>
    </w:p>
    <w:p>
      <w:pPr>
        <w:spacing w:after="0" w:line="3" w:lineRule="exact"/>
        <w:rPr>
          <w:sz w:val="20"/>
          <w:szCs w:val="20"/>
          <w:color w:val="auto"/>
        </w:rPr>
      </w:pPr>
    </w:p>
    <w:p>
      <w:pPr>
        <w:jc w:val="both"/>
        <w:ind w:left="140" w:hanging="6"/>
        <w:spacing w:after="0" w:line="241" w:lineRule="auto"/>
        <w:tabs>
          <w:tab w:leader="none" w:pos="660" w:val="left"/>
        </w:tabs>
        <w:numPr>
          <w:ilvl w:val="0"/>
          <w:numId w:val="167"/>
        </w:numPr>
        <w:rPr>
          <w:rFonts w:ascii="Arial" w:cs="Arial" w:eastAsia="Arial" w:hAnsi="Arial"/>
          <w:sz w:val="20"/>
          <w:szCs w:val="20"/>
          <w:u w:val="single" w:color="auto"/>
          <w:color w:val="auto"/>
        </w:rPr>
      </w:pPr>
      <w:r>
        <w:rPr>
          <w:rFonts w:ascii="Arial" w:cs="Arial" w:eastAsia="Arial" w:hAnsi="Arial"/>
          <w:sz w:val="20"/>
          <w:szCs w:val="20"/>
          <w:color w:val="auto"/>
        </w:rPr>
        <w:t xml:space="preserve">and (b) increased from time to time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The initial amount of each Lender’s Revolving Credit Commitment on the Closing Date is set forth on </w:t>
      </w:r>
      <w:r>
        <w:rPr>
          <w:rFonts w:ascii="Arial" w:cs="Arial" w:eastAsia="Arial" w:hAnsi="Arial"/>
          <w:sz w:val="20"/>
          <w:szCs w:val="20"/>
          <w:u w:val="single" w:color="auto"/>
          <w:color w:val="auto"/>
        </w:rPr>
        <w:t>Schedule 2.01(B)</w:t>
      </w:r>
      <w:r>
        <w:rPr>
          <w:rFonts w:ascii="Arial" w:cs="Arial" w:eastAsia="Arial" w:hAnsi="Arial"/>
          <w:sz w:val="20"/>
          <w:szCs w:val="20"/>
          <w:color w:val="auto"/>
        </w:rPr>
        <w:t xml:space="preserve"> of this Agreement, or in the Assignment and Assumption pursuant to which such Lender shall have assumed its Revolving Credit Commitment, as the case may be. The initial aggregate amount of the Lenders’ Revolving Credit Commitments on the Closing Date is $150 million.</w:t>
      </w:r>
    </w:p>
    <w:p>
      <w:pPr>
        <w:spacing w:after="0" w:line="221"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at any time for any Lender, the sum of (a) the Outstanding Amount of the Revolving Credit Loans of such Lender outstanding at such time and (b) the L/C Exposure of such Lender at such time.</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means the Revolving Credit Commitments and the extension of credit made thereunder.</w:t>
      </w:r>
    </w:p>
    <w:p>
      <w:pPr>
        <w:spacing w:after="0" w:line="254"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 Lender with a Revolving Credit Commitment or, if the Revolving Credit Commitments have terminated or expired, a Lender with Revolving Credit Exposure.</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of the Borrower payable to any Revolving Credit Lender or its registered assigns, in substantially the form of </w:t>
      </w:r>
      <w:r>
        <w:rPr>
          <w:rFonts w:ascii="Arial" w:cs="Arial" w:eastAsia="Arial" w:hAnsi="Arial"/>
          <w:sz w:val="20"/>
          <w:szCs w:val="20"/>
          <w:u w:val="single" w:color="auto"/>
          <w:color w:val="auto"/>
        </w:rPr>
        <w:t>Exhibit C-2</w:t>
      </w:r>
      <w:r>
        <w:rPr>
          <w:rFonts w:ascii="Arial" w:cs="Arial" w:eastAsia="Arial" w:hAnsi="Arial"/>
          <w:sz w:val="20"/>
          <w:szCs w:val="20"/>
          <w:color w:val="auto"/>
        </w:rPr>
        <w:t xml:space="preserve"> hereto with appropriate insertions, evidencing the aggregate Indebtedness of the Borrower to such Revolving Credit Lender resulting from the Revolving Credit Loans made by such Revolving Credit Lender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-155-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5" w:name="page286"/>
    <w:bookmarkEnd w:id="28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Investors Ratings Services or any of its successors or assigns that is a Nationally Recognized Statistical Rating Organization.</w:t>
      </w:r>
    </w:p>
    <w:p>
      <w:pPr>
        <w:spacing w:after="0" w:line="204"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any arrangement providing for the leasing by Holdings or any of its Restricted Subsidiaries of any real or tangible personal property, which property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-156-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86" w:name="page287"/>
    <w:bookmarkEnd w:id="28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been or is to be sold or transferred by Holdings or such Restricted Subsidiary to a third Person in contemplation of such leasing.</w:t>
      </w:r>
    </w:p>
    <w:p>
      <w:pPr>
        <w:spacing w:after="0" w:line="268"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which is itself the subject or target of any comprehensive economic Sanctions (at the time of this Agreement, Crimea, Cuba, Iran, North Korea and Syria).</w:t>
      </w:r>
    </w:p>
    <w:p>
      <w:pPr>
        <w:spacing w:after="0" w:line="204" w:lineRule="exact"/>
        <w:rPr>
          <w:sz w:val="20"/>
          <w:szCs w:val="20"/>
          <w:color w:val="auto"/>
        </w:rPr>
      </w:pPr>
    </w:p>
    <w:p>
      <w:pPr>
        <w:ind w:left="140" w:right="30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or the U.S. Department of State, the United Nations Security Council, the European Union, or Her Majesty’s Treasury of the United Kingdom, (b) any Person operating, organized or resident in a Sanctioned Country or (c) any Person owned 50% or more by any such Person or Persons, directly or indirectly.</w:t>
      </w:r>
    </w:p>
    <w:p>
      <w:pPr>
        <w:spacing w:after="0" w:line="202"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or Her Majesty’s Treasury of the United Kingdom.</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functions.</w:t>
      </w:r>
    </w:p>
    <w:p>
      <w:pPr>
        <w:spacing w:after="0" w:line="227" w:lineRule="exact"/>
        <w:rPr>
          <w:sz w:val="20"/>
          <w:szCs w:val="20"/>
          <w:color w:val="auto"/>
        </w:rPr>
      </w:pPr>
    </w:p>
    <w:p>
      <w:pPr>
        <w:ind w:left="140" w:right="4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Obligations</w:t>
      </w:r>
      <w:r>
        <w:rPr>
          <w:rFonts w:ascii="Arial" w:cs="Arial" w:eastAsia="Arial" w:hAnsi="Arial"/>
          <w:sz w:val="20"/>
          <w:szCs w:val="20"/>
          <w:color w:val="auto"/>
        </w:rPr>
        <w:t>” means Cash Management Obligations owed by Holdings or any Restricted Subsidiary to any Cash Management Bank.</w:t>
      </w:r>
    </w:p>
    <w:p>
      <w:pPr>
        <w:spacing w:after="0" w:line="21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Swap Contract that is entered into by and between any Loan Party (or any Person that merges into a Loan Party) or any Restricted Subsidiary and any Hedge Bank.</w:t>
      </w:r>
    </w:p>
    <w:p>
      <w:pPr>
        <w:spacing w:after="0" w:line="217"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(x)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expenses and other amounts that accrue after the commencement by or against any Loan Party or any other Subsidiary of any proceeding under any Debtor Relief Laws naming such Person as the debtor in such proceeding, regardless of whether such interest, fees, expenses and other amounts are allowed claims in such proceeding, (y) obligations of any Loan Party or any other Restricted Subsidiary arising under any Secured Hedge Agreement (other than, with respect to any Guarantor, Excluded Swap Obligations of such Guarantor), and (z) Secured Cash Management Obligations. Without limiting the generality of the foregoing, the Secured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the Administrative Agent, the Collateral Agent, or any Lender, in its sole discretion, may elect to pay or advance on behalf of such Loan Party or such Subsidiary.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-157-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7" w:name="page288"/>
    <w:bookmarkEnd w:id="28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Administrative Agent, the Collateral Agent, the Lead Arranger, the Lenders, the L/C Issuers, the Hedge Banks, the Cash Management Banks,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-158-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8" w:name="page289"/>
    <w:bookmarkEnd w:id="28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100"/>
        <w:spacing w:after="0" w:line="260" w:lineRule="auto"/>
        <w:rPr>
          <w:sz w:val="20"/>
          <w:szCs w:val="20"/>
          <w:color w:val="auto"/>
        </w:rPr>
      </w:pPr>
      <w:r>
        <w:rPr>
          <w:rFonts w:ascii="Arial" w:cs="Arial" w:eastAsia="Arial" w:hAnsi="Arial"/>
          <w:sz w:val="20"/>
          <w:szCs w:val="20"/>
          <w:color w:val="auto"/>
        </w:rPr>
        <w:t xml:space="preserve">Supplemental Administrative Agent and each co-agent or sub-agent appointed by the Administrative Agent from time to time pursuant to </w:t>
      </w:r>
      <w:r>
        <w:rPr>
          <w:rFonts w:ascii="Arial" w:cs="Arial" w:eastAsia="Arial" w:hAnsi="Arial"/>
          <w:sz w:val="20"/>
          <w:szCs w:val="20"/>
          <w:u w:val="single" w:color="auto"/>
          <w:color w:val="auto"/>
        </w:rPr>
        <w:t>Section 9.01(c)</w:t>
      </w:r>
      <w:r>
        <w:rPr>
          <w:rFonts w:ascii="Arial" w:cs="Arial" w:eastAsia="Arial" w:hAnsi="Arial"/>
          <w:sz w:val="20"/>
          <w:szCs w:val="20"/>
          <w:color w:val="auto"/>
        </w:rPr>
        <w:t>.</w:t>
      </w:r>
    </w:p>
    <w:p>
      <w:pPr>
        <w:spacing w:after="0" w:line="285"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324"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Asset</w:t>
      </w:r>
      <w:r>
        <w:rPr>
          <w:rFonts w:ascii="Arial" w:cs="Arial" w:eastAsia="Arial" w:hAnsi="Arial"/>
          <w:sz w:val="20"/>
          <w:szCs w:val="20"/>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236"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Facility</w:t>
      </w:r>
      <w:r>
        <w:rPr>
          <w:rFonts w:ascii="Arial" w:cs="Arial" w:eastAsia="Arial" w:hAnsi="Arial"/>
          <w:sz w:val="20"/>
          <w:szCs w:val="20"/>
          <w:color w:val="auto"/>
        </w:rPr>
        <w:t>” means any of one or more securitization, financing, factoring or sales transactions, as amended, supplemented, modified, extended, renewed, restated or refunded from time to time, pursuant to which Holdings or any of the Restricted Subsidiaries sells, transfers, pledges or otherwise conveys any Securitization Assets (whether now existing or arising in the future) to a Securitization Subsidiary or any other Person.</w:t>
      </w:r>
    </w:p>
    <w:p>
      <w:pPr>
        <w:spacing w:after="0" w:line="218"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Fees</w:t>
      </w:r>
      <w:r>
        <w:rPr>
          <w:rFonts w:ascii="Arial" w:cs="Arial" w:eastAsia="Arial" w:hAnsi="Arial"/>
          <w:sz w:val="20"/>
          <w:szCs w:val="20"/>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232"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Repurchase Obligation</w:t>
      </w:r>
      <w:r>
        <w:rPr>
          <w:rFonts w:ascii="Arial" w:cs="Arial" w:eastAsia="Arial" w:hAnsi="Arial"/>
          <w:sz w:val="19"/>
          <w:szCs w:val="19"/>
          <w:color w:val="auto"/>
        </w:rPr>
        <w:t>”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221"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Subsidiary</w:t>
      </w:r>
      <w:r>
        <w:rPr>
          <w:rFonts w:ascii="Arial" w:cs="Arial" w:eastAsia="Arial" w:hAnsi="Arial"/>
          <w:sz w:val="20"/>
          <w:szCs w:val="20"/>
          <w:color w:val="auto"/>
        </w:rPr>
        <w:t>” means any Subsidiary of Holdings in each case formed for the purpose of and that solely engages in one or more Qualified Securitization Financings or Receivables Facilities and other activities reasonably related thereto or another Person formed for this purpose.</w:t>
      </w:r>
    </w:p>
    <w:p>
      <w:pPr>
        <w:spacing w:after="0" w:line="213"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xml:space="preserve">” means, collectively, the Security Agreement executed by the Loan Parties party thereto on the Closing Date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as supplemented by any Security Agreement Supplement executed and delivered pursuant to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pacing w:after="0" w:line="2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means a supplement to the Security Agreement as contemplated by such Security</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Agreement.</w:t>
      </w:r>
    </w:p>
    <w:p>
      <w:pPr>
        <w:spacing w:after="0" w:line="240"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w:t>
      </w:r>
      <w:r>
        <w:rPr>
          <w:rFonts w:ascii="Arial" w:cs="Arial" w:eastAsia="Arial" w:hAnsi="Arial"/>
          <w:sz w:val="19"/>
          <w:szCs w:val="19"/>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-159-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89" w:name="page290"/>
    <w:bookmarkEnd w:id="28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-160-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0" w:name="page291"/>
    <w:bookmarkEnd w:id="29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 Indebtedness</w:t>
      </w:r>
      <w:r>
        <w:rPr>
          <w:rFonts w:ascii="Arial" w:cs="Arial" w:eastAsia="Arial" w:hAnsi="Arial"/>
          <w:sz w:val="19"/>
          <w:szCs w:val="19"/>
          <w:color w:val="auto"/>
        </w:rPr>
        <w:t>” means any payment or reimbursement obligation in respect of a Settlement Payment.</w:t>
      </w:r>
    </w:p>
    <w:p>
      <w:pPr>
        <w:spacing w:after="0" w:line="268"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Lien</w:t>
      </w:r>
      <w:r>
        <w:rPr>
          <w:rFonts w:ascii="Arial" w:cs="Arial" w:eastAsia="Arial" w:hAnsi="Arial"/>
          <w:sz w:val="20"/>
          <w:szCs w:val="20"/>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213"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Payment</w:t>
      </w:r>
      <w:r>
        <w:rPr>
          <w:rFonts w:ascii="Arial" w:cs="Arial" w:eastAsia="Arial" w:hAnsi="Arial"/>
          <w:sz w:val="20"/>
          <w:szCs w:val="20"/>
          <w:color w:val="auto"/>
        </w:rPr>
        <w:t>” means the transfer, or contractual undertaking (including by automated clearing house transaction) to effect a transfer, of cash or other property to effect a Settlement.</w:t>
      </w:r>
    </w:p>
    <w:p>
      <w:pPr>
        <w:spacing w:after="0" w:line="21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Receivable</w:t>
      </w:r>
      <w:r>
        <w:rPr>
          <w:rFonts w:ascii="Arial" w:cs="Arial" w:eastAsia="Arial" w:hAnsi="Arial"/>
          <w:sz w:val="20"/>
          <w:szCs w:val="20"/>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226"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Similar Business</w:t>
      </w:r>
      <w:r>
        <w:rPr>
          <w:rFonts w:ascii="Arial" w:cs="Arial" w:eastAsia="Arial" w:hAnsi="Arial"/>
          <w:sz w:val="20"/>
          <w:szCs w:val="20"/>
          <w:color w:val="auto"/>
        </w:rPr>
        <w:t>” means (a) any businesses, services or activities engaged in by Holdings or any of its Subsidiaries on the Closing Date, (b) any businesses, services and activities engaged in by Holdings or any of its Subsidiaries that are related, complementary, incidental, ancillary or similar to any of the foregoing or are extensions or developments of any thereof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w:t>
      </w:r>
    </w:p>
    <w:p>
      <w:pPr>
        <w:spacing w:after="0" w:line="223"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SOFR-Based Rate</w:t>
      </w:r>
      <w:r>
        <w:rPr>
          <w:rFonts w:ascii="Arial" w:cs="Arial" w:eastAsia="Arial" w:hAnsi="Arial"/>
          <w:sz w:val="20"/>
          <w:szCs w:val="20"/>
          <w:color w:val="auto"/>
        </w:rPr>
        <w:t>” means SOFR, Compounded SOFR or Term SOFR.</w:t>
      </w:r>
    </w:p>
    <w:p>
      <w:pPr>
        <w:spacing w:after="0" w:line="324" w:lineRule="exact"/>
        <w:rPr>
          <w:sz w:val="20"/>
          <w:szCs w:val="20"/>
          <w:color w:val="auto"/>
        </w:rPr>
      </w:pPr>
    </w:p>
    <w:p>
      <w:pPr>
        <w:jc w:val="both"/>
        <w:ind w:left="14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10.07(h)</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Default</w:t>
      </w:r>
      <w:r>
        <w:rPr>
          <w:rFonts w:ascii="Arial" w:cs="Arial" w:eastAsia="Arial" w:hAnsi="Arial"/>
          <w:sz w:val="20"/>
          <w:szCs w:val="20"/>
          <w:color w:val="auto"/>
        </w:rPr>
        <w:t xml:space="preserve">” means the occurrence of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(g).</w:t>
      </w:r>
    </w:p>
    <w:p>
      <w:pPr>
        <w:spacing w:after="0" w:line="308"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xml:space="preserve">” means the representations and warranties of the Borrower set forth in </w:t>
      </w:r>
      <w:r>
        <w:rPr>
          <w:rFonts w:ascii="Arial" w:cs="Arial" w:eastAsia="Arial" w:hAnsi="Arial"/>
          <w:sz w:val="20"/>
          <w:szCs w:val="20"/>
          <w:u w:val="single" w:color="auto"/>
          <w:color w:val="auto"/>
        </w:rPr>
        <w:t>Sections 5.01(a)</w:t>
      </w:r>
      <w:r>
        <w:rPr>
          <w:rFonts w:ascii="Arial" w:cs="Arial" w:eastAsia="Arial" w:hAnsi="Arial"/>
          <w:sz w:val="20"/>
          <w:szCs w:val="20"/>
          <w:color w:val="auto"/>
        </w:rPr>
        <w:t xml:space="preserve"> (solely as it relates to Holdings and the Borrower), </w:t>
      </w:r>
      <w:r>
        <w:rPr>
          <w:rFonts w:ascii="Arial" w:cs="Arial" w:eastAsia="Arial" w:hAnsi="Arial"/>
          <w:sz w:val="20"/>
          <w:szCs w:val="20"/>
          <w:u w:val="single" w:color="auto"/>
          <w:color w:val="auto"/>
        </w:rPr>
        <w:t>5.01(b)(ii)</w:t>
      </w:r>
      <w:r>
        <w:rPr>
          <w:rFonts w:ascii="Arial" w:cs="Arial" w:eastAsia="Arial" w:hAnsi="Arial"/>
          <w:sz w:val="20"/>
          <w:szCs w:val="20"/>
          <w:color w:val="auto"/>
        </w:rPr>
        <w:t xml:space="preserve">, </w:t>
      </w:r>
      <w:r>
        <w:rPr>
          <w:rFonts w:ascii="Arial" w:cs="Arial" w:eastAsia="Arial" w:hAnsi="Arial"/>
          <w:sz w:val="20"/>
          <w:szCs w:val="20"/>
          <w:u w:val="single" w:color="auto"/>
          <w:color w:val="auto"/>
        </w:rPr>
        <w:t>5.02(a)</w:t>
      </w:r>
      <w:r>
        <w:rPr>
          <w:rFonts w:ascii="Arial" w:cs="Arial" w:eastAsia="Arial" w:hAnsi="Arial"/>
          <w:sz w:val="20"/>
          <w:szCs w:val="20"/>
          <w:color w:val="auto"/>
        </w:rPr>
        <w:t xml:space="preserve"> (related to</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-161-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1" w:name="page292"/>
    <w:bookmarkEnd w:id="29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 xml:space="preserve">the entering into and performance of the Loan Documents and the incurrence of the extensions of credit thereunder), </w:t>
      </w:r>
      <w:r>
        <w:rPr>
          <w:rFonts w:ascii="Arial" w:cs="Arial" w:eastAsia="Arial" w:hAnsi="Arial"/>
          <w:sz w:val="20"/>
          <w:szCs w:val="20"/>
          <w:u w:val="single" w:color="auto"/>
          <w:color w:val="auto"/>
        </w:rPr>
        <w:t>5.02(b)(i)</w:t>
      </w:r>
      <w:r>
        <w:rPr>
          <w:rFonts w:ascii="Arial" w:cs="Arial" w:eastAsia="Arial" w:hAnsi="Arial"/>
          <w:sz w:val="20"/>
          <w:szCs w:val="20"/>
          <w:color w:val="auto"/>
        </w:rPr>
        <w:t xml:space="preserve"> (related to the entering into and performance of the Loan Documents and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-162-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2" w:name="page293"/>
    <w:bookmarkEnd w:id="29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0" w:lineRule="auto"/>
        <w:rPr>
          <w:sz w:val="20"/>
          <w:szCs w:val="20"/>
          <w:color w:val="auto"/>
        </w:rPr>
      </w:pPr>
      <w:r>
        <w:rPr>
          <w:rFonts w:ascii="Arial" w:cs="Arial" w:eastAsia="Arial" w:hAnsi="Arial"/>
          <w:sz w:val="20"/>
          <w:szCs w:val="20"/>
          <w:color w:val="auto"/>
        </w:rPr>
        <w:t xml:space="preserve">incurrence of the extensions of credit thereunder), </w:t>
      </w:r>
      <w:r>
        <w:rPr>
          <w:rFonts w:ascii="Arial" w:cs="Arial" w:eastAsia="Arial" w:hAnsi="Arial"/>
          <w:sz w:val="20"/>
          <w:szCs w:val="20"/>
          <w:u w:val="single" w:color="auto"/>
          <w:color w:val="auto"/>
        </w:rPr>
        <w:t>5.04</w:t>
      </w:r>
      <w:r>
        <w:rPr>
          <w:rFonts w:ascii="Arial" w:cs="Arial" w:eastAsia="Arial" w:hAnsi="Arial"/>
          <w:sz w:val="20"/>
          <w:szCs w:val="20"/>
          <w:color w:val="auto"/>
        </w:rPr>
        <w:t xml:space="preserve">,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w:t>
      </w:r>
      <w:r>
        <w:rPr>
          <w:rFonts w:ascii="Arial" w:cs="Arial" w:eastAsia="Arial" w:hAnsi="Arial"/>
          <w:sz w:val="20"/>
          <w:szCs w:val="20"/>
          <w:u w:val="single" w:color="auto"/>
          <w:color w:val="auto"/>
        </w:rPr>
        <w:t>5.15</w:t>
      </w:r>
      <w:r>
        <w:rPr>
          <w:rFonts w:ascii="Arial" w:cs="Arial" w:eastAsia="Arial" w:hAnsi="Arial"/>
          <w:sz w:val="20"/>
          <w:szCs w:val="20"/>
          <w:color w:val="auto"/>
        </w:rPr>
        <w:t xml:space="preserve">, </w:t>
      </w:r>
      <w:r>
        <w:rPr>
          <w:rFonts w:ascii="Arial" w:cs="Arial" w:eastAsia="Arial" w:hAnsi="Arial"/>
          <w:sz w:val="20"/>
          <w:szCs w:val="20"/>
          <w:u w:val="single" w:color="auto"/>
          <w:color w:val="auto"/>
        </w:rPr>
        <w:t>5.16</w:t>
      </w:r>
      <w:r>
        <w:rPr>
          <w:rFonts w:ascii="Arial" w:cs="Arial" w:eastAsia="Arial" w:hAnsi="Arial"/>
          <w:sz w:val="20"/>
          <w:szCs w:val="20"/>
          <w:color w:val="auto"/>
        </w:rPr>
        <w:t xml:space="preserve"> (subject to the proviso to Section </w:t>
      </w:r>
      <w:r>
        <w:rPr>
          <w:rFonts w:ascii="Arial" w:cs="Arial" w:eastAsia="Arial" w:hAnsi="Arial"/>
          <w:sz w:val="20"/>
          <w:szCs w:val="20"/>
          <w:u w:val="single" w:color="auto"/>
          <w:color w:val="auto"/>
        </w:rPr>
        <w:t>4.03(b)(iii)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5.18</w:t>
      </w:r>
      <w:r>
        <w:rPr>
          <w:rFonts w:ascii="Arial" w:cs="Arial" w:eastAsia="Arial" w:hAnsi="Arial"/>
          <w:sz w:val="20"/>
          <w:szCs w:val="20"/>
          <w:color w:val="auto"/>
        </w:rPr>
        <w:t xml:space="preserve"> (limited to the use of proceeds of the Loans on the applicable date).</w:t>
      </w:r>
    </w:p>
    <w:p>
      <w:pPr>
        <w:spacing w:after="0" w:line="298"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means, individually or collectively, any fund, partnership, co-investment vehicles and/or similar vehicles or accounts, in each case managed or advised by Oaktree Capital Management, L.P. or its Affiliates or any of their respective successors, but not including any portfolio operating companies of any of the foregoing.</w:t>
      </w:r>
    </w:p>
    <w:p>
      <w:pPr>
        <w:spacing w:after="0" w:line="213"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means representations, warranties, covenants, guarantees and indemnities entered into by Holdings or any Subsidiary of Holdings which the Borrower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221"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Maturity</w:t>
      </w:r>
      <w:r>
        <w:rPr>
          <w:rFonts w:ascii="Arial" w:cs="Arial" w:eastAsia="Arial" w:hAnsi="Arial"/>
          <w:sz w:val="20"/>
          <w:szCs w:val="20"/>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232"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with respect to any person, any Indebtedness (whether outstanding on the Closing Date or thereafter Incurred), which is expressly subordinated in right of payment to the Secured Obligations pursuant to a written agreement.</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w:t>
      </w:r>
    </w:p>
    <w:p>
      <w:pPr>
        <w:spacing w:after="0" w:line="324" w:lineRule="exact"/>
        <w:rPr>
          <w:sz w:val="20"/>
          <w:szCs w:val="20"/>
          <w:color w:val="auto"/>
        </w:rPr>
      </w:pPr>
    </w:p>
    <w:p>
      <w:pPr>
        <w:jc w:val="both"/>
        <w:ind w:left="780" w:firstLine="544"/>
        <w:spacing w:after="0" w:line="244" w:lineRule="auto"/>
        <w:tabs>
          <w:tab w:leader="none" w:pos="19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234" w:lineRule="exact"/>
        <w:rPr>
          <w:rFonts w:ascii="Arial" w:cs="Arial" w:eastAsia="Arial" w:hAnsi="Arial"/>
          <w:sz w:val="20"/>
          <w:szCs w:val="20"/>
          <w:color w:val="auto"/>
        </w:rPr>
      </w:pPr>
    </w:p>
    <w:p>
      <w:pPr>
        <w:ind w:left="2080" w:hanging="811"/>
        <w:spacing w:after="0"/>
        <w:tabs>
          <w:tab w:leader="none" w:pos="20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partnership, joint venture, limited liability company or similar entity of which:</w:t>
      </w:r>
    </w:p>
    <w:p>
      <w:pPr>
        <w:spacing w:after="0" w:line="256" w:lineRule="exact"/>
        <w:rPr>
          <w:rFonts w:ascii="Arial" w:cs="Arial" w:eastAsia="Arial" w:hAnsi="Arial"/>
          <w:sz w:val="20"/>
          <w:szCs w:val="20"/>
          <w:color w:val="auto"/>
        </w:rPr>
      </w:pPr>
    </w:p>
    <w:p>
      <w:pPr>
        <w:jc w:val="both"/>
        <w:ind w:left="1420" w:firstLine="657"/>
        <w:spacing w:after="0" w:line="246" w:lineRule="auto"/>
        <w:tabs>
          <w:tab w:leader="none" w:pos="2581" w:val="left"/>
        </w:tabs>
        <w:numPr>
          <w:ilvl w:val="1"/>
          <w:numId w:val="168"/>
        </w:numPr>
        <w:rPr>
          <w:rFonts w:ascii="Arial" w:cs="Arial" w:eastAsia="Arial" w:hAnsi="Arial"/>
          <w:sz w:val="20"/>
          <w:szCs w:val="20"/>
          <w:color w:val="auto"/>
        </w:rPr>
      </w:pPr>
      <w:r>
        <w:rPr>
          <w:rFonts w:ascii="Arial" w:cs="Arial" w:eastAsia="Arial" w:hAnsi="Arial"/>
          <w:sz w:val="20"/>
          <w:szCs w:val="20"/>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18" w:lineRule="exact"/>
        <w:rPr>
          <w:rFonts w:ascii="Arial" w:cs="Arial" w:eastAsia="Arial" w:hAnsi="Arial"/>
          <w:sz w:val="20"/>
          <w:szCs w:val="20"/>
          <w:color w:val="auto"/>
        </w:rPr>
      </w:pPr>
    </w:p>
    <w:p>
      <w:pPr>
        <w:ind w:left="2580" w:hanging="504"/>
        <w:spacing w:after="0"/>
        <w:tabs>
          <w:tab w:leader="none" w:pos="25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such Person or any Subsidiary of such Person is a controlling general partner or otherwise controls such</w:t>
      </w:r>
    </w:p>
    <w:p>
      <w:pPr>
        <w:spacing w:after="0" w:line="3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20"/>
          <w:szCs w:val="20"/>
          <w:color w:val="auto"/>
        </w:rPr>
        <w:t>entity; or</w:t>
      </w:r>
    </w:p>
    <w:p>
      <w:pPr>
        <w:spacing w:after="0" w:line="240" w:lineRule="exact"/>
        <w:rPr>
          <w:rFonts w:ascii="Arial" w:cs="Arial" w:eastAsia="Arial" w:hAnsi="Arial"/>
          <w:sz w:val="18"/>
          <w:szCs w:val="18"/>
          <w:color w:val="auto"/>
        </w:rPr>
      </w:pPr>
    </w:p>
    <w:p>
      <w:pPr>
        <w:ind w:left="140" w:right="20" w:firstLine="1075"/>
        <w:spacing w:after="0" w:line="260" w:lineRule="auto"/>
        <w:tabs>
          <w:tab w:leader="none" w:pos="194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at the election of Holdings, any partnership, joint venture, limited liability company or similar entity of which such Person or any Subsidiary of such Person is a controlling general partner or otherwise controls such entity.</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-163-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3" w:name="page294"/>
    <w:bookmarkEnd w:id="29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299"/>
        <w:spacing w:after="0"/>
        <w:rPr>
          <w:sz w:val="20"/>
          <w:szCs w:val="20"/>
          <w:color w:val="auto"/>
        </w:rPr>
      </w:pPr>
      <w:r>
        <w:rPr>
          <w:rFonts w:ascii="Arial" w:cs="Arial" w:eastAsia="Arial" w:hAnsi="Arial"/>
          <w:sz w:val="20"/>
          <w:szCs w:val="20"/>
          <w:color w:val="auto"/>
        </w:rPr>
        <w:t>Unless otherwise specified, “Subsidiary” shall mean any Subsidiary of Holdings.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-164-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2" w:right="1440" w:bottom="1440" w:gutter="0" w:footer="0" w:header="0"/>
        </w:sectPr>
      </w:pPr>
    </w:p>
    <w:bookmarkStart w:id="294" w:name="page295"/>
    <w:bookmarkEnd w:id="29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collectively, the Subsidiaries of Holdings (other than the Borrower and any Intermediate Holding Company) that are Guarantors.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Company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7.04(a)(i)</w:t>
      </w:r>
      <w:r>
        <w:rPr>
          <w:rFonts w:ascii="Arial" w:cs="Arial" w:eastAsia="Arial" w:hAnsi="Arial"/>
          <w:sz w:val="20"/>
          <w:szCs w:val="20"/>
          <w:color w:val="auto"/>
        </w:rPr>
        <w:t>.</w:t>
      </w:r>
    </w:p>
    <w:p>
      <w:pPr>
        <w:spacing w:after="0" w:line="324" w:lineRule="exact"/>
        <w:rPr>
          <w:sz w:val="20"/>
          <w:szCs w:val="20"/>
          <w:color w:val="auto"/>
        </w:rPr>
      </w:pPr>
    </w:p>
    <w:p>
      <w:pPr>
        <w:ind w:left="140" w:right="3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Supplemental Administrative Agent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9.13(a)</w:t>
      </w:r>
      <w:r>
        <w:rPr>
          <w:rFonts w:ascii="Arial" w:cs="Arial" w:eastAsia="Arial" w:hAnsi="Arial"/>
          <w:sz w:val="20"/>
          <w:szCs w:val="20"/>
          <w:color w:val="auto"/>
        </w:rPr>
        <w:t xml:space="preserve"> and “Supplemental Administrative Agents” shall have the corresponding meaning.</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10.23</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Survey</w:t>
      </w:r>
      <w:r>
        <w:rPr>
          <w:rFonts w:ascii="Arial" w:cs="Arial" w:eastAsia="Arial" w:hAnsi="Arial"/>
          <w:sz w:val="19"/>
          <w:szCs w:val="19"/>
          <w:color w:val="auto"/>
        </w:rPr>
        <w:t>” means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(v) sufficient for the Title Company to remove all standard survey exceptions from the Mortgage Policy relating to such Mortgaged Property and issue the endorsements of the type required by paragraph (f) of the definition of Collateral and Guarantee Requirement and (vi) otherwise reasonably acceptable to the Administrative Agent.</w:t>
      </w:r>
    </w:p>
    <w:p>
      <w:pPr>
        <w:spacing w:after="0" w:line="232" w:lineRule="exact"/>
        <w:rPr>
          <w:sz w:val="20"/>
          <w:szCs w:val="20"/>
          <w:color w:val="auto"/>
        </w:rPr>
      </w:pPr>
    </w:p>
    <w:p>
      <w:pPr>
        <w:jc w:val="both"/>
        <w:ind w:left="1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Hedging Obligations,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92" w:lineRule="exact"/>
        <w:rPr>
          <w:sz w:val="20"/>
          <w:szCs w:val="20"/>
          <w:color w:val="auto"/>
        </w:rPr>
      </w:pPr>
    </w:p>
    <w:p>
      <w:pPr>
        <w:jc w:val="both"/>
        <w:ind w:left="14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93" w:lineRule="exact"/>
        <w:rPr>
          <w:sz w:val="20"/>
          <w:szCs w:val="20"/>
          <w:color w:val="auto"/>
        </w:rPr>
      </w:pPr>
    </w:p>
    <w:p>
      <w:pPr>
        <w:jc w:val="both"/>
        <w:ind w:left="140" w:firstLine="1296"/>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w:t>
      </w:r>
    </w:p>
    <w:p>
      <w:pPr>
        <w:spacing w:after="0" w:line="2" w:lineRule="exact"/>
        <w:rPr>
          <w:sz w:val="20"/>
          <w:szCs w:val="20"/>
          <w:color w:val="auto"/>
        </w:rPr>
      </w:pPr>
    </w:p>
    <w:p>
      <w:pPr>
        <w:jc w:val="both"/>
        <w:ind w:left="140" w:hanging="6"/>
        <w:spacing w:after="0" w:line="276" w:lineRule="auto"/>
        <w:tabs>
          <w:tab w:leader="none" w:pos="65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the amount(s) determined as the mark to market value(s) for such Swap Contracts, as determined by the Hedge Bank (or the Borrower, if no Hedge Bank is party to such Swap Contract) in accordance with the terms thereof and in accordance with customary methods for calculating</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-165-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5" w:name="page296"/>
    <w:bookmarkEnd w:id="29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mark-to- market values under similar arrangements by the Hedge Bank (or the Borrower, if no Hedge Bank is party to such Swap Contract).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-166-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296" w:name="page297"/>
    <w:bookmarkEnd w:id="29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and all present or future taxes, levies, imposts, deductions, charges, duties and withholdings and any charges of a similar nature (including backup withholding, interest, penalties and other liabilities with respect thereto) that are imposed by any government or other taxing authority.</w:t>
      </w: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means a Borrowing in respect of a Class of Term Loans.</w:t>
      </w:r>
    </w:p>
    <w:p>
      <w:pPr>
        <w:spacing w:after="0" w:line="324" w:lineRule="exact"/>
        <w:rPr>
          <w:sz w:val="20"/>
          <w:szCs w:val="20"/>
          <w:color w:val="auto"/>
        </w:rPr>
      </w:pPr>
    </w:p>
    <w:p>
      <w:pPr>
        <w:ind w:left="140"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Commitments</w:t>
      </w:r>
      <w:r>
        <w:rPr>
          <w:rFonts w:ascii="Arial" w:cs="Arial" w:eastAsia="Arial" w:hAnsi="Arial"/>
          <w:sz w:val="20"/>
          <w:szCs w:val="20"/>
          <w:color w:val="auto"/>
        </w:rPr>
        <w:t>” means an Initial Term Commitment or a commitment in respect of any Incremental Term Loans or any combination thereof, as the context may require.</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Lenders</w:t>
      </w:r>
      <w:r>
        <w:rPr>
          <w:rFonts w:ascii="Arial" w:cs="Arial" w:eastAsia="Arial" w:hAnsi="Arial"/>
          <w:sz w:val="20"/>
          <w:szCs w:val="20"/>
          <w:color w:val="auto"/>
        </w:rPr>
        <w:t>” means the Initial Term Lenders, the Lenders with Incremental Term Loans and the Lenders with Extended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Term Loans.</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Standstill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8.01(b)</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the Initial Term Loans, the Incremental Term Loans and the Extended Term Loans.</w:t>
      </w:r>
    </w:p>
    <w:p>
      <w:pPr>
        <w:spacing w:after="0" w:line="256" w:lineRule="exact"/>
        <w:rPr>
          <w:sz w:val="20"/>
          <w:szCs w:val="20"/>
          <w:color w:val="auto"/>
        </w:rPr>
      </w:pPr>
    </w:p>
    <w:p>
      <w:pPr>
        <w:jc w:val="both"/>
        <w:ind w:left="140"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of the Borrower payable to any Term Lender or its registered assigns, in substantially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with appropriate insertions, evidencing the aggregate Indebtedness of the Borrower to such Term Lender resulting from any Class of Term Loans made by such Term Lender.</w:t>
      </w:r>
    </w:p>
    <w:p>
      <w:pPr>
        <w:spacing w:after="0" w:line="213" w:lineRule="exact"/>
        <w:rPr>
          <w:sz w:val="20"/>
          <w:szCs w:val="20"/>
          <w:color w:val="auto"/>
        </w:rPr>
      </w:pPr>
    </w:p>
    <w:p>
      <w:pPr>
        <w:jc w:val="both"/>
        <w:ind w:left="140" w:right="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based on SOFR that has been selected or recommended by the Relevant Governmental Body.</w:t>
      </w:r>
    </w:p>
    <w:p>
      <w:pPr>
        <w:spacing w:after="0" w:line="217" w:lineRule="exact"/>
        <w:rPr>
          <w:sz w:val="20"/>
          <w:szCs w:val="20"/>
          <w:color w:val="auto"/>
        </w:rPr>
      </w:pPr>
    </w:p>
    <w:p>
      <w:pPr>
        <w:jc w:val="both"/>
        <w:ind w:left="140" w:right="40"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at any date of determination, the most recently completed four consecutive fiscal quarters of Holdings ending on or prior to such date for which financial statements have been or are required to be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or, if earlier, are internally available to Holdings;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calculation of (i) Applicable Rate and (ii) compliance with Section 7.09, in each case, internally available financial statements shall be disregarded with respect to this definition and such calculations shall instead be based on the financial statements for the most recent period of four consecutive fiscal quarters for which financial statements have been or are required to have been delivered pursuant to Section 6.01(a) or (b), as applicable.</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$20.0 million.</w:t>
      </w:r>
    </w:p>
    <w:p>
      <w:pPr>
        <w:spacing w:after="0" w:line="324" w:lineRule="exact"/>
        <w:rPr>
          <w:sz w:val="20"/>
          <w:szCs w:val="20"/>
          <w:color w:val="auto"/>
        </w:rPr>
      </w:pPr>
    </w:p>
    <w:p>
      <w:pPr>
        <w:ind w:left="140" w:right="5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Company</w:t>
      </w:r>
      <w:r>
        <w:rPr>
          <w:rFonts w:ascii="Arial" w:cs="Arial" w:eastAsia="Arial" w:hAnsi="Arial"/>
          <w:sz w:val="20"/>
          <w:szCs w:val="20"/>
          <w:color w:val="auto"/>
        </w:rPr>
        <w:t>” means any reputable nationally recognized title insurance company as reasonably acceptable to the Administrative Agent which shall be retained by Borrower to issue the Mortgage Policies.</w:t>
      </w:r>
    </w:p>
    <w:p>
      <w:pPr>
        <w:spacing w:after="0" w:line="204" w:lineRule="exact"/>
        <w:rPr>
          <w:sz w:val="20"/>
          <w:szCs w:val="20"/>
          <w:color w:val="auto"/>
        </w:rPr>
      </w:pPr>
    </w:p>
    <w:p>
      <w:pPr>
        <w:jc w:val="both"/>
        <w:ind w:left="140"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Assets</w:t>
      </w:r>
      <w:r>
        <w:rPr>
          <w:rFonts w:ascii="Arial" w:cs="Arial" w:eastAsia="Arial" w:hAnsi="Arial"/>
          <w:sz w:val="20"/>
          <w:szCs w:val="20"/>
          <w:color w:val="auto"/>
        </w:rPr>
        <w:t>” means, as of any date, the total consolidated assets of Holdings and its Restricted Subsidiaries on a consolidated basis, as shown on the most recent consolidated balance sheet of Holdings and its Restricted Subsidiaries, determined on a pro forma basis.</w:t>
      </w:r>
    </w:p>
    <w:p>
      <w:pPr>
        <w:spacing w:after="0" w:line="29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Obligations.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-167-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60"/>
          </w:cols>
          <w:pgMar w:left="320" w:top="122" w:right="419" w:bottom="1440" w:gutter="0" w:footer="0" w:header="0"/>
        </w:sectPr>
      </w:pPr>
    </w:p>
    <w:bookmarkStart w:id="297" w:name="page298"/>
    <w:bookmarkEnd w:id="29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w:t>
      </w:r>
      <w:r>
        <w:rPr>
          <w:rFonts w:ascii="Arial" w:cs="Arial" w:eastAsia="Arial" w:hAnsi="Arial"/>
          <w:sz w:val="20"/>
          <w:szCs w:val="20"/>
          <w:color w:val="auto"/>
        </w:rPr>
        <w:t>” means that certain Tax Receivable Agreement, dated as of July 8, 2016, between the Borrower and Ron P. Corio, as amended from time to time.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-168-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200"/>
          </w:cols>
          <w:pgMar w:left="320" w:top="122" w:right="379" w:bottom="1440" w:gutter="0" w:footer="0" w:header="0"/>
        </w:sectPr>
      </w:pPr>
    </w:p>
    <w:bookmarkStart w:id="298" w:name="page299"/>
    <w:bookmarkEnd w:id="29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means any fees, costs and expenses (including (x) all legal, accounting and other professional fees, costs and expenses and (y) underwriting fees, costs and expenses (including original issue discount, upfront fees or similar fees)) incurred or paid by Holdings, the Borrower, or any Restricted Subsidiary in connection with the Transactions.</w:t>
      </w:r>
    </w:p>
    <w:p>
      <w:pPr>
        <w:spacing w:after="0" w:line="210"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the execution, delivery and initial borrowings under the Credit Agreement, the Closing Distribution, the Closing Date Refinancing and the consummation of any other transaction in connection with the foregoing.</w:t>
      </w:r>
    </w:p>
    <w:p>
      <w:pPr>
        <w:spacing w:after="0" w:line="204" w:lineRule="exact"/>
        <w:rPr>
          <w:sz w:val="20"/>
          <w:szCs w:val="20"/>
          <w:color w:val="auto"/>
        </w:rPr>
      </w:pPr>
    </w:p>
    <w:p>
      <w:pPr>
        <w:jc w:val="both"/>
        <w:ind w:left="140"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Transformative Acquisition</w:t>
      </w:r>
      <w:r>
        <w:rPr>
          <w:rFonts w:ascii="Arial" w:cs="Arial" w:eastAsia="Arial" w:hAnsi="Arial"/>
          <w:sz w:val="19"/>
          <w:szCs w:val="19"/>
          <w:color w:val="auto"/>
        </w:rPr>
        <w:t>” means any acquisition (or series of related acquisitions within a period of 90 days) by Holdings, the Borrower or any Restricted Subsidiary that (a) is not permitted by the terms of the Loan Documents immediately prior to the consummation of such acquisition, (b) if permitted by the terms of the Loan Documents immediately prior to the consummation of such acquisition, would not provide Holdings and the Restricted Subsidiaries with adequate flexibility under the Loan Documents for the continuation and/or expansion of their combined operations following such consummation, as determined by the Borrower acting in good faith or (c) involves aggregate consideration of at least $150.0 million.</w:t>
      </w:r>
    </w:p>
    <w:p>
      <w:pPr>
        <w:spacing w:after="0" w:line="219"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Transformative Disposition</w:t>
      </w:r>
      <w:r>
        <w:rPr>
          <w:rFonts w:ascii="Arial" w:cs="Arial" w:eastAsia="Arial" w:hAnsi="Arial"/>
          <w:sz w:val="19"/>
          <w:szCs w:val="19"/>
          <w:color w:val="auto"/>
        </w:rPr>
        <w:t>” means any disposition by any Holdings, the Borrower or any Restricted Subsidiary that (a) is not permitted by the terms of the Loan Documents immediately prior to the consummation of such Acquisition or (b) if permitted by the terms of the Loan Documents immediately prior to the consummation of such disposition, would not provide the Borrower and the Restricted Subsidiaries with adequate flexibility under the Loan Documents for the continuation and/or expansion of its operations following such consummation, as determined by the Borrower acting in good faith.</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Capital Stock</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7.06(b)(ii)</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Eurocurrency</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Rate Loan.</w:t>
      </w:r>
    </w:p>
    <w:p>
      <w:pPr>
        <w:spacing w:after="0" w:line="308"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226"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xml:space="preserve">” means the Benchmark Replacement excluding the Benchmark Replacement Adjustment;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Unadjusted Benchmark Replacement as so determined would be less than 0.50%, the Unadjusted Benchmark Replacement will be deemed to be 0.50% for the purposes of this Agreement.</w:t>
      </w:r>
    </w:p>
    <w:p>
      <w:pPr>
        <w:spacing w:after="0" w:line="226"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means the unaudited consolidated balance sheet as of June 30, 2020, and any fiscal quarter ended at least 45 days prior to the Closing Date and related unaudited statement of operation, stockholders’ equity, and cash flows for the 6-month period then ended of the Borrower (or any passive holding company of the Borrower) and its Subsidiaries.</w:t>
      </w:r>
    </w:p>
    <w:p>
      <w:pPr>
        <w:spacing w:after="0" w:line="179"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Undisclosed Administration</w:t>
      </w:r>
      <w:r>
        <w:rPr>
          <w:rFonts w:ascii="Arial" w:cs="Arial" w:eastAsia="Arial" w:hAnsi="Arial"/>
          <w:sz w:val="20"/>
          <w:szCs w:val="20"/>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-169-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299" w:name="page300"/>
    <w:bookmarkEnd w:id="29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such Lender or such parent company is subject to home jurisdiction supervision if applicable law requires that such appointment is not to be publicly disclosed.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-170-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2" w:right="479" w:bottom="1440" w:gutter="0" w:footer="0" w:header="0"/>
        </w:sectPr>
      </w:pPr>
    </w:p>
    <w:bookmarkStart w:id="300" w:name="page301"/>
    <w:bookmarkEnd w:id="30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345"/>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or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226"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w:t>
      </w:r>
      <w:r>
        <w:rPr>
          <w:rFonts w:ascii="Arial" w:cs="Arial" w:eastAsia="Arial" w:hAnsi="Arial"/>
          <w:sz w:val="20"/>
          <w:szCs w:val="20"/>
          <w:color w:val="auto"/>
        </w:rPr>
        <w: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Incremental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w:t>
      </w:r>
    </w:p>
    <w:p>
      <w:pPr>
        <w:spacing w:after="0" w:line="324" w:lineRule="exact"/>
        <w:rPr>
          <w:sz w:val="20"/>
          <w:szCs w:val="20"/>
          <w:color w:val="auto"/>
        </w:rPr>
      </w:pPr>
    </w:p>
    <w:p>
      <w:pPr>
        <w:ind w:left="780" w:firstLine="544"/>
        <w:spacing w:after="0" w:line="260" w:lineRule="auto"/>
        <w:tabs>
          <w:tab w:leader="none" w:pos="19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Subsidiary of the Borrower that at the time of determination is an Unrestricted Subsidiary (as designated by the Borrower in the manner provided in the succeeding paragraph); and</w:t>
      </w:r>
    </w:p>
    <w:p>
      <w:pPr>
        <w:spacing w:after="0" w:line="203" w:lineRule="exact"/>
        <w:rPr>
          <w:rFonts w:ascii="Arial" w:cs="Arial" w:eastAsia="Arial" w:hAnsi="Arial"/>
          <w:sz w:val="20"/>
          <w:szCs w:val="20"/>
          <w:color w:val="auto"/>
        </w:rPr>
      </w:pPr>
    </w:p>
    <w:p>
      <w:pPr>
        <w:ind w:left="2080" w:hanging="810"/>
        <w:spacing w:after="0"/>
        <w:tabs>
          <w:tab w:leader="none" w:pos="20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Subsidiary of an Unrestricted Subsidiary.</w:t>
      </w:r>
    </w:p>
    <w:p>
      <w:pPr>
        <w:spacing w:after="0" w:line="256" w:lineRule="exact"/>
        <w:rPr>
          <w:sz w:val="20"/>
          <w:szCs w:val="20"/>
          <w:color w:val="auto"/>
        </w:rPr>
      </w:pPr>
    </w:p>
    <w:p>
      <w:pPr>
        <w:jc w:val="both"/>
        <w:ind w:left="140" w:firstLine="1295"/>
        <w:spacing w:after="0" w:line="250" w:lineRule="auto"/>
        <w:rPr>
          <w:sz w:val="20"/>
          <w:szCs w:val="20"/>
          <w:color w:val="auto"/>
        </w:rPr>
      </w:pPr>
      <w:r>
        <w:rPr>
          <w:rFonts w:ascii="Arial" w:cs="Arial" w:eastAsia="Arial" w:hAnsi="Arial"/>
          <w:sz w:val="20"/>
          <w:szCs w:val="20"/>
          <w:color w:val="auto"/>
        </w:rPr>
        <w:t>The Borrower may designate any Subsidiary of the Borrower (including any newly acquired or newly formed Subsidiary or a Person becoming a Subsidiary of the Borrower through merger, consolidation or other business combination transaction, or Investment therein) to be an Unrestricted Subsidiary only if:</w:t>
      </w:r>
    </w:p>
    <w:p>
      <w:pPr>
        <w:spacing w:after="0" w:line="226" w:lineRule="exact"/>
        <w:rPr>
          <w:sz w:val="20"/>
          <w:szCs w:val="20"/>
          <w:color w:val="auto"/>
        </w:rPr>
      </w:pPr>
    </w:p>
    <w:p>
      <w:pPr>
        <w:jc w:val="both"/>
        <w:ind w:left="2080" w:hanging="651"/>
        <w:spacing w:after="0" w:line="291" w:lineRule="auto"/>
        <w:tabs>
          <w:tab w:leader="none" w:pos="20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 the time of such designation, such Subsidiary or any of its Subsidiaries does not own any Capital Stock or Indebtedness of, or own or hold any Lien on any property of, the Borrower or any other Subsidiary of the Borrower which is not a Subsidiary of the Subsidiary to be so designated or otherwise an Unrestricted Subsidiary;</w:t>
      </w:r>
    </w:p>
    <w:p>
      <w:pPr>
        <w:spacing w:after="0" w:line="178" w:lineRule="exact"/>
        <w:rPr>
          <w:rFonts w:ascii="Arial" w:cs="Arial" w:eastAsia="Arial" w:hAnsi="Arial"/>
          <w:sz w:val="18"/>
          <w:szCs w:val="18"/>
          <w:color w:val="auto"/>
        </w:rPr>
      </w:pPr>
    </w:p>
    <w:p>
      <w:pPr>
        <w:ind w:left="2080" w:right="20" w:hanging="651"/>
        <w:spacing w:after="0" w:line="260" w:lineRule="auto"/>
        <w:tabs>
          <w:tab w:leader="none" w:pos="206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such designation and the Investment, if any, of the Borrower in such Subsidiary complies with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hereof; and</w:t>
      </w:r>
    </w:p>
    <w:p>
      <w:pPr>
        <w:spacing w:after="0" w:line="298" w:lineRule="exact"/>
        <w:rPr>
          <w:rFonts w:ascii="Arial" w:cs="Arial" w:eastAsia="Arial" w:hAnsi="Arial"/>
          <w:sz w:val="20"/>
          <w:szCs w:val="20"/>
          <w:color w:val="auto"/>
        </w:rPr>
      </w:pPr>
    </w:p>
    <w:p>
      <w:pPr>
        <w:ind w:left="2080" w:right="460" w:hanging="650"/>
        <w:spacing w:after="0" w:line="260" w:lineRule="auto"/>
        <w:tabs>
          <w:tab w:leader="none" w:pos="206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at the time of such designation no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under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shall have occurred and be continuing (or would result therefrom).</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-171-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301" w:name="page302"/>
    <w:bookmarkEnd w:id="30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w:t>
      </w:r>
      <w:r>
        <w:rPr>
          <w:rFonts w:ascii="Arial" w:cs="Arial" w:eastAsia="Arial" w:hAnsi="Arial"/>
          <w:sz w:val="20"/>
          <w:szCs w:val="20"/>
          <w:color w:val="auto"/>
        </w:rPr>
        <w:t xml:space="preserve">” shall have the meaning provided in Section </w:t>
      </w:r>
      <w:r>
        <w:rPr>
          <w:rFonts w:ascii="Arial" w:cs="Arial" w:eastAsia="Arial" w:hAnsi="Arial"/>
          <w:sz w:val="20"/>
          <w:szCs w:val="20"/>
          <w:u w:val="single" w:color="auto"/>
          <w:color w:val="auto"/>
        </w:rPr>
        <w:t>10.23</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No. 107- 56 (signed into law October 26, 2001)), as amended or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-172-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302" w:name="page303"/>
    <w:bookmarkEnd w:id="30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Voluntary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324"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of a Person means all classes of Capital Stock of such Person then outstanding and normally entitled to vote in the election of directors.</w:t>
      </w:r>
    </w:p>
    <w:p>
      <w:pPr>
        <w:spacing w:after="0" w:line="217"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when applied to any Indebtedness, Disqualified Stock or Preferred Stock, as the case may be, at any date, the quotient (in number of years) obtained by dividing: (1) the sum of the products obtained by multiplying (a) the number of years (calculated to the nearest one-twelfth) from the date of determination to the date of each successive scheduled principal payment of such Indebtedness or redemption or similar payment with respect to such Disqualified Stock or Preferred Stock, by</w:t>
      </w:r>
    </w:p>
    <w:p>
      <w:pPr>
        <w:spacing w:after="0" w:line="3" w:lineRule="exact"/>
        <w:rPr>
          <w:sz w:val="20"/>
          <w:szCs w:val="20"/>
          <w:color w:val="auto"/>
        </w:rPr>
      </w:pPr>
    </w:p>
    <w:p>
      <w:pPr>
        <w:jc w:val="both"/>
        <w:ind w:left="140" w:hanging="7"/>
        <w:spacing w:after="0" w:line="241" w:lineRule="auto"/>
        <w:tabs>
          <w:tab w:leader="none" w:pos="43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the amount of such payment, by (2) the sum of all such payments;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223"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of any specified Person means a Subsidiary of such Person, all of the Capital Stock of which (other than directors’ qualifying shares or shares required by any applicable law or regulation to be held by a Person other than such Person) is owned by such Person.</w:t>
      </w:r>
    </w:p>
    <w:p>
      <w:pPr>
        <w:spacing w:after="0" w:line="226"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the liability of a Multiemployer Plan as a result of a complete or partial withdrawal from such Multiemployer Plan, as such terms are defined in Part I of Subtitle E of Title IV of ERISA.</w:t>
      </w:r>
    </w:p>
    <w:p>
      <w:pPr>
        <w:spacing w:after="0" w:line="217"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204" w:lineRule="exact"/>
        <w:rPr>
          <w:sz w:val="20"/>
          <w:szCs w:val="20"/>
          <w:color w:val="auto"/>
        </w:rPr>
      </w:pPr>
    </w:p>
    <w:p>
      <w:pPr>
        <w:ind w:left="1940" w:hanging="511"/>
        <w:spacing w:after="0"/>
        <w:tabs>
          <w:tab w:leader="none" w:pos="19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 terms.</w:t>
      </w:r>
    </w:p>
    <w:p>
      <w:pPr>
        <w:spacing w:after="0" w:line="267" w:lineRule="exact"/>
        <w:rPr>
          <w:rFonts w:ascii="Arial" w:cs="Arial" w:eastAsia="Arial" w:hAnsi="Arial"/>
          <w:sz w:val="19"/>
          <w:szCs w:val="19"/>
          <w:color w:val="auto"/>
        </w:rPr>
      </w:pPr>
    </w:p>
    <w:p>
      <w:pPr>
        <w:ind w:left="780" w:right="20" w:firstLine="650"/>
        <w:spacing w:after="0" w:line="260" w:lineRule="auto"/>
        <w:tabs>
          <w:tab w:leader="none" w:pos="194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203" w:lineRule="exact"/>
        <w:rPr>
          <w:rFonts w:ascii="Arial" w:cs="Arial" w:eastAsia="Arial" w:hAnsi="Arial"/>
          <w:sz w:val="20"/>
          <w:szCs w:val="20"/>
          <w:color w:val="auto"/>
        </w:rPr>
      </w:pPr>
    </w:p>
    <w:p>
      <w:pPr>
        <w:ind w:left="1940" w:hanging="493"/>
        <w:spacing w:after="0"/>
        <w:tabs>
          <w:tab w:leader="none" w:pos="194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279" w:lineRule="exact"/>
        <w:rPr>
          <w:rFonts w:ascii="Arial" w:cs="Arial" w:eastAsia="Arial" w:hAnsi="Arial"/>
          <w:sz w:val="18"/>
          <w:szCs w:val="18"/>
          <w:color w:val="auto"/>
        </w:rPr>
      </w:pPr>
    </w:p>
    <w:p>
      <w:pPr>
        <w:ind w:left="2060" w:hanging="669"/>
        <w:spacing w:after="0"/>
        <w:tabs>
          <w:tab w:leader="none" w:pos="20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is by way of example and not limitation.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-173-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303" w:name="page304"/>
    <w:bookmarkEnd w:id="30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20" w:firstLine="623"/>
        <w:spacing w:after="0" w:line="260" w:lineRule="auto"/>
        <w:tabs>
          <w:tab w:leader="none" w:pos="194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documents</w:t>
      </w:r>
      <w:r>
        <w:rPr>
          <w:rFonts w:ascii="Arial" w:cs="Arial" w:eastAsia="Arial" w:hAnsi="Arial"/>
          <w:sz w:val="20"/>
          <w:szCs w:val="20"/>
          <w:color w:val="auto"/>
        </w:rPr>
        <w:t>” includes any and all instruments, documents, agreements, certificates, notices, reports, financial statements and other writings, however evidenced, whether in physical or electronic form.</w:t>
      </w:r>
    </w:p>
    <w:p>
      <w:pPr>
        <w:spacing w:after="0" w:line="217" w:lineRule="exact"/>
        <w:rPr>
          <w:rFonts w:ascii="Arial" w:cs="Arial" w:eastAsia="Arial" w:hAnsi="Arial"/>
          <w:sz w:val="20"/>
          <w:szCs w:val="20"/>
          <w:color w:val="auto"/>
        </w:rPr>
      </w:pPr>
    </w:p>
    <w:p>
      <w:pPr>
        <w:ind w:left="780" w:firstLine="649"/>
        <w:spacing w:after="0" w:line="316" w:lineRule="auto"/>
        <w:tabs>
          <w:tab w:leader="none" w:pos="194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780" w:firstLine="649"/>
        <w:spacing w:after="0" w:line="260" w:lineRule="auto"/>
        <w:tabs>
          <w:tab w:leader="none" w:pos="194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20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324" w:lineRule="exact"/>
        <w:rPr>
          <w:sz w:val="20"/>
          <w:szCs w:val="20"/>
          <w:color w:val="auto"/>
        </w:rPr>
      </w:pPr>
    </w:p>
    <w:p>
      <w:pPr>
        <w:jc w:val="both"/>
        <w:ind w:left="220" w:right="20" w:firstLine="1186"/>
        <w:spacing w:after="0" w:line="250" w:lineRule="auto"/>
        <w:tabs>
          <w:tab w:leader="none" w:pos="194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w:t>
      </w:r>
    </w:p>
    <w:p>
      <w:pPr>
        <w:spacing w:after="0" w:line="226" w:lineRule="exact"/>
        <w:rPr>
          <w:rFonts w:ascii="Arial" w:cs="Arial" w:eastAsia="Arial" w:hAnsi="Arial"/>
          <w:sz w:val="20"/>
          <w:szCs w:val="20"/>
          <w:color w:val="auto"/>
        </w:rPr>
      </w:pPr>
    </w:p>
    <w:p>
      <w:pPr>
        <w:ind w:left="220" w:right="20" w:firstLine="1131"/>
        <w:spacing w:after="0" w:line="260" w:lineRule="auto"/>
        <w:tabs>
          <w:tab w:leader="none" w:pos="194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Where reference is made to “Holdings and its Restricted Subsidiaries on a consolidated basis” or similar language, such consolidation shall not include any Subsidiaries of Holdings other than Restricted Subsidiaries.</w:t>
      </w:r>
    </w:p>
    <w:p>
      <w:pPr>
        <w:spacing w:after="0" w:line="21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18"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References to Agreements, Laws, Etc</w:t>
      </w:r>
      <w:r>
        <w:rPr>
          <w:rFonts w:ascii="Arial" w:cs="Arial" w:eastAsia="Arial" w:hAnsi="Arial"/>
          <w:sz w:val="19"/>
          <w:szCs w:val="19"/>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w:t>
      </w:r>
    </w:p>
    <w:p>
      <w:pPr>
        <w:spacing w:after="0" w:line="2" w:lineRule="exact"/>
        <w:rPr>
          <w:sz w:val="20"/>
          <w:szCs w:val="20"/>
          <w:color w:val="auto"/>
        </w:rPr>
      </w:pPr>
    </w:p>
    <w:p>
      <w:pPr>
        <w:ind w:left="140" w:right="20" w:hanging="6"/>
        <w:spacing w:after="0" w:line="244" w:lineRule="auto"/>
        <w:tabs>
          <w:tab w:leader="none" w:pos="65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references to any Law shall include all statutory and regulatory provisions consolidating, amending, replacing, supplementing or interpreting such Law.</w:t>
      </w:r>
    </w:p>
    <w:p>
      <w:pPr>
        <w:spacing w:after="0" w:line="232"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217" w:lineRule="exact"/>
        <w:rPr>
          <w:sz w:val="20"/>
          <w:szCs w:val="20"/>
          <w:color w:val="auto"/>
        </w:rPr>
      </w:pPr>
    </w:p>
    <w:p>
      <w:pPr>
        <w:jc w:val="both"/>
        <w:ind w:left="140" w:firstLine="1296"/>
        <w:spacing w:after="0" w:line="291"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9"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w:t>
      </w:r>
    </w:p>
    <w:p>
      <w:pPr>
        <w:spacing w:after="0" w:line="324" w:lineRule="exact"/>
        <w:rPr>
          <w:sz w:val="20"/>
          <w:szCs w:val="20"/>
          <w:color w:val="auto"/>
        </w:rPr>
      </w:pPr>
    </w:p>
    <w:p>
      <w:pPr>
        <w:ind w:left="220" w:firstLine="1104"/>
        <w:spacing w:after="0" w:line="260" w:lineRule="auto"/>
        <w:tabs>
          <w:tab w:leader="none" w:pos="194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with respect to any amount of Indebtedness or Investment in a currency other than Dollars, no Default shall be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-174-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2" w:right="459" w:bottom="1440" w:gutter="0" w:footer="0" w:header="0"/>
        </w:sectPr>
      </w:pPr>
    </w:p>
    <w:bookmarkStart w:id="304" w:name="page305"/>
    <w:bookmarkEnd w:id="30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 xml:space="preserve">deemed to have occurred solely as a result of changes in rates of exchange occurring after the time such Lien, Indebtedness or Investment is incurred; </w:t>
      </w:r>
      <w:r>
        <w:rPr>
          <w:rFonts w:ascii="Arial" w:cs="Arial" w:eastAsia="Arial" w:hAnsi="Arial"/>
          <w:sz w:val="20"/>
          <w:szCs w:val="20"/>
          <w:u w:val="single" w:color="auto"/>
          <w:color w:val="auto"/>
        </w:rPr>
        <w:t>provided</w:t>
      </w:r>
      <w:r>
        <w:rPr>
          <w:rFonts w:ascii="Arial" w:cs="Arial" w:eastAsia="Arial" w:hAnsi="Arial"/>
          <w:sz w:val="20"/>
          <w:szCs w:val="20"/>
          <w:color w:val="auto"/>
        </w:rPr>
        <w:t>, that for the avoidance of doubt, the foregoing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-175-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05" w:name="page306"/>
    <w:bookmarkEnd w:id="30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40"/>
        <w:spacing w:after="0" w:line="260" w:lineRule="auto"/>
        <w:rPr>
          <w:sz w:val="20"/>
          <w:szCs w:val="20"/>
          <w:color w:val="auto"/>
        </w:rPr>
      </w:pPr>
      <w:r>
        <w:rPr>
          <w:rFonts w:ascii="Arial" w:cs="Arial" w:eastAsia="Arial" w:hAnsi="Arial"/>
          <w:sz w:val="20"/>
          <w:szCs w:val="20"/>
          <w:color w:val="auto"/>
        </w:rPr>
        <w:t xml:space="preserve">provisions of this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shall otherwise apply to such Sections, including with respect to determining whether any Indebtedness or Investment may be incurred at any time under such Sections.</w:t>
      </w:r>
    </w:p>
    <w:p>
      <w:pPr>
        <w:spacing w:after="0" w:line="217" w:lineRule="exact"/>
        <w:rPr>
          <w:sz w:val="20"/>
          <w:szCs w:val="20"/>
          <w:color w:val="auto"/>
        </w:rPr>
      </w:pPr>
    </w:p>
    <w:p>
      <w:pPr>
        <w:jc w:val="both"/>
        <w:ind w:left="220" w:right="20" w:firstLine="1187"/>
        <w:spacing w:after="0" w:line="246" w:lineRule="auto"/>
        <w:tabs>
          <w:tab w:leader="none" w:pos="194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under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any amount in a currency other than Dollars will be converted to Dollars in a manner consistent with that used in calculating net income in Holdings’ annual financial statements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foregoing shall not be deemed to apply to the determination of any amount of Indebtedness.</w:t>
      </w:r>
    </w:p>
    <w:p>
      <w:pPr>
        <w:spacing w:after="0" w:line="218" w:lineRule="exact"/>
        <w:rPr>
          <w:rFonts w:ascii="Arial" w:cs="Arial" w:eastAsia="Arial" w:hAnsi="Arial"/>
          <w:sz w:val="20"/>
          <w:szCs w:val="20"/>
          <w:color w:val="auto"/>
        </w:rPr>
      </w:pPr>
    </w:p>
    <w:p>
      <w:pPr>
        <w:jc w:val="both"/>
        <w:ind w:left="220" w:firstLine="1131"/>
        <w:spacing w:after="0" w:line="256" w:lineRule="auto"/>
        <w:tabs>
          <w:tab w:leader="none" w:pos="194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any restriction on the incurrence of Indebtedness, the Dollar Equivalent of the principal amount of Indebtedness denominated in a foreign currency shall be calculated based on the Exchange Rate in effect on the date such Indebtedness was incurred, in the case of term debt, or first committed, in the case of revolving credit debt;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w:t>
      </w:r>
    </w:p>
    <w:p>
      <w:pPr>
        <w:spacing w:after="0" w:line="225"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6"/>
          <w:szCs w:val="16"/>
          <w:color w:val="auto"/>
        </w:rPr>
        <w:t>Certain Calculations and Tests.</w:t>
      </w:r>
    </w:p>
    <w:p>
      <w:pPr>
        <w:spacing w:after="0" w:line="337" w:lineRule="exact"/>
        <w:rPr>
          <w:sz w:val="20"/>
          <w:szCs w:val="20"/>
          <w:color w:val="auto"/>
        </w:rPr>
      </w:pPr>
    </w:p>
    <w:p>
      <w:pPr>
        <w:jc w:val="both"/>
        <w:ind w:left="220" w:firstLine="1290"/>
        <w:spacing w:after="0" w:line="268" w:lineRule="auto"/>
        <w:tabs>
          <w:tab w:leader="none" w:pos="303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Borrower (the Borrower’s election to exercise such option, an “LCT Election”),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Arial" w:cs="Arial" w:eastAsia="Arial" w:hAnsi="Arial"/>
          <w:sz w:val="18"/>
          <w:szCs w:val="18"/>
          <w:u w:val="single" w:color="auto"/>
          <w:color w:val="auto"/>
        </w:rPr>
        <w:t>LCT Test Date</w:t>
      </w:r>
      <w:r>
        <w:rPr>
          <w:rFonts w:ascii="Arial" w:cs="Arial" w:eastAsia="Arial" w:hAnsi="Arial"/>
          <w:sz w:val="18"/>
          <w:szCs w:val="18"/>
          <w:color w:val="auto"/>
        </w:rPr>
        <w:t>”)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 and Mergers applies, the date on which a “Rule 2.7 announcement” of a firm intention to make an offer (or equivalent announcement in another jurisdiction) (an “</w:t>
      </w:r>
      <w:r>
        <w:rPr>
          <w:rFonts w:ascii="Arial" w:cs="Arial" w:eastAsia="Arial" w:hAnsi="Arial"/>
          <w:sz w:val="18"/>
          <w:szCs w:val="18"/>
          <w:u w:val="single" w:color="auto"/>
          <w:color w:val="auto"/>
        </w:rPr>
        <w:t>LCT Public Offer</w:t>
      </w:r>
      <w:r>
        <w:rPr>
          <w:rFonts w:ascii="Arial" w:cs="Arial" w:eastAsia="Arial" w:hAnsi="Arial"/>
          <w:sz w:val="18"/>
          <w:szCs w:val="18"/>
          <w:color w:val="auto"/>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Holdings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Arial" w:cs="Arial" w:eastAsia="Arial" w:hAnsi="Arial"/>
          <w:sz w:val="18"/>
          <w:szCs w:val="18"/>
          <w:i w:val="1"/>
          <w:iCs w:val="1"/>
          <w:color w:val="auto"/>
        </w:rPr>
        <w:t>provided</w:t>
      </w:r>
      <w:r>
        <w:rPr>
          <w:rFonts w:ascii="Arial" w:cs="Arial" w:eastAsia="Arial" w:hAnsi="Arial"/>
          <w:sz w:val="18"/>
          <w:szCs w:val="18"/>
          <w:color w:val="auto"/>
        </w:rPr>
        <w:t>, that (a) if financial statements for one or more subsequent fiscal quarters shall have become available, the Borrower may elect, in its sole discretion, to redetermine all such ratios, tests or baskets on the basis of such financial statements, in which case, such date of redetermination shall thereafter be the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-176-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06" w:name="page307"/>
    <w:bookmarkEnd w:id="30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line="316" w:lineRule="auto"/>
        <w:rPr>
          <w:sz w:val="20"/>
          <w:szCs w:val="20"/>
          <w:color w:val="auto"/>
        </w:rPr>
      </w:pPr>
      <w:r>
        <w:rPr>
          <w:rFonts w:ascii="Arial" w:cs="Arial" w:eastAsia="Arial" w:hAnsi="Arial"/>
          <w:sz w:val="18"/>
          <w:szCs w:val="18"/>
          <w:color w:val="auto"/>
        </w:rPr>
        <w:t>applicable LCT Test Date for purposes of such ratios, tests or baskets, (b) except as contemplated in the foregoing clause (a), compliance with such ratios, test or baskets (and any related requirements and conditions) shall not be determined or tested at any time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-177-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07" w:name="page308"/>
    <w:bookmarkEnd w:id="30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82" w:lineRule="auto"/>
        <w:rPr>
          <w:sz w:val="20"/>
          <w:szCs w:val="20"/>
          <w:color w:val="auto"/>
        </w:rPr>
      </w:pPr>
      <w:r>
        <w:rPr>
          <w:rFonts w:ascii="Arial" w:cs="Arial" w:eastAsia="Arial" w:hAnsi="Arial"/>
          <w:sz w:val="18"/>
          <w:szCs w:val="18"/>
          <w:color w:val="auto"/>
        </w:rPr>
        <w:t>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Interest Coverage Ratio will be calculated using an assumed interest rate as reasonably determined by the Borrower.</w:t>
      </w:r>
    </w:p>
    <w:p>
      <w:pPr>
        <w:spacing w:after="0" w:line="202" w:lineRule="exact"/>
        <w:rPr>
          <w:sz w:val="20"/>
          <w:szCs w:val="20"/>
          <w:color w:val="auto"/>
        </w:rPr>
      </w:pPr>
    </w:p>
    <w:p>
      <w:pPr>
        <w:jc w:val="both"/>
        <w:ind w:left="140" w:firstLine="648"/>
        <w:spacing w:after="0" w:line="255" w:lineRule="auto"/>
        <w:rPr>
          <w:sz w:val="20"/>
          <w:szCs w:val="20"/>
          <w:color w:val="auto"/>
        </w:rPr>
      </w:pPr>
      <w:r>
        <w:rPr>
          <w:rFonts w:ascii="Arial" w:cs="Arial" w:eastAsia="Arial" w:hAnsi="Arial"/>
          <w:sz w:val="19"/>
          <w:szCs w:val="19"/>
          <w:color w:val="auto"/>
        </w:rPr>
        <w:t>For the avoidance of doubt, if the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Holdings or the Person subject to such Limited Condition Transaction, such baskets, tests or ratios will not be deemed to have been exceeded or failed to have been complied with as a result of such fluctuations;</w:t>
      </w:r>
    </w:p>
    <w:p>
      <w:pPr>
        <w:spacing w:after="0" w:line="3" w:lineRule="exact"/>
        <w:rPr>
          <w:sz w:val="20"/>
          <w:szCs w:val="20"/>
          <w:color w:val="auto"/>
        </w:rPr>
      </w:pPr>
    </w:p>
    <w:p>
      <w:pPr>
        <w:jc w:val="both"/>
        <w:ind w:left="140" w:hanging="7"/>
        <w:spacing w:after="0" w:line="269" w:lineRule="auto"/>
        <w:tabs>
          <w:tab w:leader="none" w:pos="65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199" w:lineRule="exact"/>
        <w:rPr>
          <w:rFonts w:ascii="Arial" w:cs="Arial" w:eastAsia="Arial" w:hAnsi="Arial"/>
          <w:sz w:val="18"/>
          <w:szCs w:val="18"/>
          <w:color w:val="auto"/>
        </w:rPr>
      </w:pPr>
    </w:p>
    <w:p>
      <w:pPr>
        <w:jc w:val="both"/>
        <w:ind w:left="220" w:firstLine="1289"/>
        <w:spacing w:after="0" w:line="242" w:lineRule="auto"/>
        <w:tabs>
          <w:tab w:leader="none" w:pos="1949" w:val="left"/>
        </w:tabs>
        <w:numPr>
          <w:ilvl w:val="2"/>
          <w:numId w:val="181"/>
        </w:numPr>
        <w:rPr>
          <w:rFonts w:ascii="Arial" w:cs="Arial" w:eastAsia="Arial" w:hAnsi="Arial"/>
          <w:sz w:val="20"/>
          <w:szCs w:val="20"/>
          <w:color w:val="auto"/>
        </w:rPr>
      </w:pPr>
      <w:r>
        <w:rPr>
          <w:rFonts w:ascii="Arial" w:cs="Arial" w:eastAsia="Arial" w:hAnsi="Arial"/>
          <w:sz w:val="20"/>
          <w:szCs w:val="20"/>
          <w:color w:val="auto"/>
        </w:rPr>
        <w:t>Notwithstanding anything to the contrary herein, in the event an item of Indebtedness (or any portion thereof) is incurred or issued, any Lien is incurred or other transaction is undertaken in reliance on a ratio basket based exceptions, thresholds and baskets, such ratio(s) shall be calculated with respect to such incurrence, issuance or other transaction without giving effect to amounts being utilized under any other basket under the same covenant (other than a ratio basket based on the Interest Coverage Ratio, Consolidated First Lien Secured Leverage Ratio, Consolidated Total Senior Secured Leverage Ratio or Consolidated Total Leverage Ratio) on the same date. Each item of Indebtedness that is incurred or issued, each Lien incurred and each other transaction undertaken will be deemed to have been incurred, issued or taken first, to the extent available, pursuant to the relevant Interest Coverage Ratio, Consolidated First Lien Secured Leverage Ratio, Consolidated Total Senior Secured Leverage Ratio or Consolidated Total Leverage Ratio test.</w:t>
      </w:r>
    </w:p>
    <w:p>
      <w:pPr>
        <w:spacing w:after="0" w:line="234" w:lineRule="exact"/>
        <w:rPr>
          <w:rFonts w:ascii="Arial" w:cs="Arial" w:eastAsia="Arial" w:hAnsi="Arial"/>
          <w:sz w:val="20"/>
          <w:szCs w:val="20"/>
          <w:color w:val="auto"/>
        </w:rPr>
      </w:pPr>
    </w:p>
    <w:p>
      <w:pPr>
        <w:jc w:val="both"/>
        <w:ind w:left="140" w:firstLine="1289"/>
        <w:spacing w:after="0" w:line="243" w:lineRule="auto"/>
        <w:tabs>
          <w:tab w:leader="none" w:pos="194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Notwithstanding anything to the contrary herein, (i) in the event an item of Indebtedness (or any portion thereof) is incurred or issued, any Lien is incurred or other transaction is undertaken in reliance on a ratio basket based on an Interest Coverage Ratio, Consolidated First Lien Secured Leverage Ratio, Consolidated Total Senior Secured Leverage Ratio or Consolidated Total Leverage Ratio, such ratio(s) shall be calculated without regard to the incurrence of any Revolving Credit Loan or Letter of Credit Incurred or issued, as applicable, immediately prior to or in connection therewith; and (ii) any calculation or measure that is determined with reference to Holdings’ financial statements (including Consolidated EBITDA, Consolidated Interest Expense, Consolidated Net Income, Interest</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-178-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08" w:name="page309"/>
    <w:bookmarkEnd w:id="30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Coverage Ratio, Consolidated First Lien Secured Leverage Ratio, Consolidated Total Senior Secured Leverage Ratio and Consolidated Total Leverage Ratio) may be determined with reference to the financial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-179-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09" w:name="page310"/>
    <w:bookmarkEnd w:id="30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statements of a Parent Entity delivered in accordance with the requirements set forth in the penultimate paragraph of Section 6.01.</w:t>
      </w:r>
    </w:p>
    <w:p>
      <w:pPr>
        <w:spacing w:after="0" w:line="268" w:lineRule="exact"/>
        <w:rPr>
          <w:sz w:val="20"/>
          <w:szCs w:val="20"/>
          <w:color w:val="auto"/>
        </w:rPr>
      </w:pPr>
    </w:p>
    <w:p>
      <w:pPr>
        <w:jc w:val="both"/>
        <w:ind w:left="140" w:firstLine="1289"/>
        <w:spacing w:after="0" w:line="270" w:lineRule="auto"/>
        <w:tabs>
          <w:tab w:leader="none" w:pos="19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 purposes of making the computations referred to above, any Investments, acquisitions, dispositions, mergers, consolidations, operational changes, business expansions and disposed or discontinued operations that have been made by Holdings or any of its Restricted Subsidiaries, during the reference period or subsequent to the reference period and on or prior to or simultaneously with the date of such computation shall be calculated (other than for the purposes of the Financial Covenant or Applicable Rate) on a pro forma basis assuming that all such Investments, acquisitions, dispositions, mergers, consolidations, operational changes, business expansions and disposed or discontinued operations (and the change in any associated fixed charge obligations and the change in Consolidated EBITDA resulting therefrom) had occurred on the first day of the reference period. If since the beginning of such period any Person that subsequently became a Restricted Subsidiary or was merged with or into Holdings or any of its Restricted Subsidiaries since the beginning of such period shall have made any Investment, acquisition, disposition, merger, consolidation, operational change, business expansion or disposed or discontinued operation that would have required adjustment pursuant to this definition, then the applicable computations shall be calculated giving pro forma effect thereto for such period as if such Investment, acquisition, disposition, merger, consolidation or disposed operation had occurred at the beginning of the applicable reference period.</w:t>
      </w:r>
    </w:p>
    <w:p>
      <w:pPr>
        <w:spacing w:after="0" w:line="202" w:lineRule="exact"/>
        <w:rPr>
          <w:rFonts w:ascii="Arial" w:cs="Arial" w:eastAsia="Arial" w:hAnsi="Arial"/>
          <w:sz w:val="18"/>
          <w:szCs w:val="18"/>
          <w:color w:val="auto"/>
        </w:rPr>
      </w:pPr>
    </w:p>
    <w:p>
      <w:pPr>
        <w:jc w:val="both"/>
        <w:ind w:left="140" w:firstLine="1290"/>
        <w:spacing w:after="0" w:line="269" w:lineRule="auto"/>
        <w:tabs>
          <w:tab w:leader="none" w:pos="19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 purposes of this Agreement, whenever pro forma effect is to be given to a transaction (including the Transactions), the pro forma calculations shall be made in good faith by a responsible financial or chief accounting officer of Holdings (and may include, for the avoidance of doubt, cost savings, operating expense reductions and synergies resulting from such transaction which is being given pro forma effect, subject to and without duplication of the applicable limitations and other terms of the definition of Consolidated EBITDA). If any Indebtedness bears a floating rate of interest and is being given pro forma effect), the interest on such Indebtedness shall be calculated as if the rate in effect on the date such Indebtedness was incurred had been the applicable rate for the reference period (taking into account any Hedging Obligations applicable to such Indebtedness).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computations referred to in the preceding paragraphs,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w:t>
      </w:r>
    </w:p>
    <w:p>
      <w:pPr>
        <w:spacing w:after="0" w:line="222" w:lineRule="exact"/>
        <w:rPr>
          <w:sz w:val="20"/>
          <w:szCs w:val="20"/>
          <w:color w:val="auto"/>
        </w:rPr>
      </w:pPr>
    </w:p>
    <w:p>
      <w:pPr>
        <w:jc w:val="both"/>
        <w:ind w:left="140" w:firstLine="648"/>
        <w:spacing w:after="0" w:line="256"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Interest Rates; Eurocurrency Notification</w:t>
      </w:r>
      <w:r>
        <w:rPr>
          <w:rFonts w:ascii="Arial" w:cs="Arial" w:eastAsia="Arial" w:hAnsi="Arial"/>
          <w:sz w:val="19"/>
          <w:szCs w:val="19"/>
          <w:color w:val="auto"/>
        </w:rPr>
        <w:t>. The interest rate on Eurocurrency Rate Loans is determined by reference to the Eurocurrency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9"/>
          <w:szCs w:val="19"/>
          <w:u w:val="single" w:color="auto"/>
          <w:color w:val="auto"/>
        </w:rPr>
        <w:t>IBA</w:t>
      </w:r>
      <w:r>
        <w:rPr>
          <w:rFonts w:ascii="Arial" w:cs="Arial" w:eastAsia="Arial" w:hAnsi="Arial"/>
          <w:sz w:val="19"/>
          <w:szCs w:val="19"/>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Rate Loans. In light of this eventuality, public and private sector industry initiatives are currently underway to identify new or alternative reference rates to</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-180-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0" w:name="page311"/>
    <w:bookmarkEnd w:id="31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 used in place of the London interbank offered rate. Upon the occurrence of a Benchmark Transition Event or an Early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-181-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11" w:name="page312"/>
    <w:bookmarkEnd w:id="31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4" w:lineRule="auto"/>
        <w:rPr>
          <w:sz w:val="20"/>
          <w:szCs w:val="20"/>
          <w:color w:val="auto"/>
        </w:rPr>
      </w:pPr>
      <w:r>
        <w:rPr>
          <w:rFonts w:ascii="Arial" w:cs="Arial" w:eastAsia="Arial" w:hAnsi="Arial"/>
          <w:sz w:val="19"/>
          <w:szCs w:val="19"/>
          <w:color w:val="auto"/>
        </w:rPr>
        <w:t>Opt-In Election, Section 3.02 provides a mechanism for determining an alternative rate of interest. The Administrative Agent will promptly notify the applicable parties as and when required by Section 3.02, of any change to the reference rate upon which the interest rate on Eurocurrency Rate Loans is based. Except as otherwise provided in this Agreement, the Administrative Agent does not warrant or accept any responsibility for, and shall not have any liability with respect to, the administration, submission or any other matter related to the London interbank offered rate or other rates in the definition of “Eurocurrency Rate” or with respect to any alternative or successor rate thereto, or replacement rate thereof (including, without limitation, (i) any such alternative, successor or replacement rate implemented pursuant to Section 3.02, whether upon the occurrence of a Benchmark Transition Event or an Early Opt-in Election, and (ii) the implementation of any Benchmark Replacement Conforming Changes pursuant to Section 3.02, including without limitation, whether the composition or characteristics of any such alternative, successor or replacement reference rate will be similar to, or produce the same value or economic equivalence of, the Eurocurrency Rate or have the same volume or liquidity as did the London interbank offered rate prior to its discontinuance or unavailability other than, in each case, to the extent of the Administrative Agent’s gross negligence, bad faith or willful misconduct as determined by a court of competent jurisdiction in a final and non-appealable decision)</w:t>
      </w:r>
      <w:r>
        <w:rPr>
          <w:rFonts w:ascii="Arial" w:cs="Arial" w:eastAsia="Arial" w:hAnsi="Arial"/>
          <w:sz w:val="19"/>
          <w:szCs w:val="19"/>
          <w:b w:val="1"/>
          <w:bCs w:val="1"/>
          <w:color w:val="auto"/>
        </w:rPr>
        <w:t>.</w:t>
      </w:r>
      <w:r>
        <w:rPr>
          <w:rFonts w:ascii="Arial" w:cs="Arial" w:eastAsia="Arial" w:hAnsi="Arial"/>
          <w:sz w:val="19"/>
          <w:szCs w:val="19"/>
          <w:color w:val="auto"/>
        </w:rPr>
        <w:t xml:space="preserve"> Nothing in this Section shall constitute a representation or warranty by Holdings or any of its Restricted Subsidiaries nor can it constitute the basis of any Default or Event of Default.</w:t>
      </w:r>
    </w:p>
    <w:p>
      <w:pPr>
        <w:spacing w:after="0" w:line="232" w:lineRule="exact"/>
        <w:rPr>
          <w:sz w:val="20"/>
          <w:szCs w:val="20"/>
          <w:color w:val="auto"/>
        </w:rPr>
      </w:pPr>
    </w:p>
    <w:p>
      <w:pPr>
        <w:jc w:val="both"/>
        <w:ind w:left="140" w:firstLine="648"/>
        <w:spacing w:after="0" w:line="260"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The Commitments and Credit Extensions</w:t>
      </w:r>
    </w:p>
    <w:p>
      <w:pPr>
        <w:spacing w:after="0" w:line="32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u w:val="single" w:color="auto"/>
          <w:color w:val="auto"/>
        </w:rPr>
        <w:t>The Loans</w:t>
      </w:r>
      <w:r>
        <w:rPr>
          <w:rFonts w:ascii="Arial" w:cs="Arial" w:eastAsia="Arial" w:hAnsi="Arial"/>
          <w:sz w:val="16"/>
          <w:szCs w:val="16"/>
          <w:color w:val="auto"/>
        </w:rPr>
        <w:t>.</w:t>
      </w:r>
    </w:p>
    <w:p>
      <w:pPr>
        <w:spacing w:after="0" w:line="324" w:lineRule="exact"/>
        <w:rPr>
          <w:sz w:val="20"/>
          <w:szCs w:val="20"/>
          <w:color w:val="auto"/>
        </w:rPr>
      </w:pPr>
    </w:p>
    <w:p>
      <w:pPr>
        <w:ind w:left="2060" w:hanging="631"/>
        <w:spacing w:after="0"/>
        <w:tabs>
          <w:tab w:leader="none" w:pos="206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The Initial Term Loans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jc w:val="both"/>
        <w:ind w:left="780" w:firstLine="1111"/>
        <w:spacing w:after="0" w:line="250" w:lineRule="auto"/>
        <w:tabs>
          <w:tab w:leader="none" w:pos="2589"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each Lender with an Initial Term Commitment as set forth on </w:t>
      </w:r>
      <w:r>
        <w:rPr>
          <w:rFonts w:ascii="Arial" w:cs="Arial" w:eastAsia="Arial" w:hAnsi="Arial"/>
          <w:sz w:val="20"/>
          <w:szCs w:val="20"/>
          <w:u w:val="single" w:color="auto"/>
          <w:color w:val="auto"/>
        </w:rPr>
        <w:t>Schedule 2.01(A)</w:t>
      </w:r>
      <w:r>
        <w:rPr>
          <w:rFonts w:ascii="Arial" w:cs="Arial" w:eastAsia="Arial" w:hAnsi="Arial"/>
          <w:sz w:val="20"/>
          <w:szCs w:val="20"/>
          <w:color w:val="auto"/>
        </w:rPr>
        <w:t xml:space="preserve"> severally agrees to make to the Borrower a single loan denominated in Dollars in a principal amount equal to such Lender’s Initial Term Commitment on the Closing Date.</w:t>
      </w:r>
    </w:p>
    <w:p>
      <w:pPr>
        <w:spacing w:after="0" w:line="226" w:lineRule="exact"/>
        <w:rPr>
          <w:rFonts w:ascii="Arial" w:cs="Arial" w:eastAsia="Arial" w:hAnsi="Arial"/>
          <w:sz w:val="20"/>
          <w:szCs w:val="20"/>
          <w:color w:val="auto"/>
        </w:rPr>
      </w:pPr>
    </w:p>
    <w:p>
      <w:pPr>
        <w:jc w:val="both"/>
        <w:ind w:left="780" w:firstLine="1056"/>
        <w:spacing w:after="0" w:line="291" w:lineRule="auto"/>
        <w:tabs>
          <w:tab w:leader="none" w:pos="258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Initial Term Loans made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 xml:space="preserve"> on the Closing Date shall be deemed to constitute one Class of Loans for all purposes hereunder.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repaid or prepaid may not be reborrowed. Initial Term Loans may be Base Rate Loans or Eurocurrency Rate Loans, as further provided herein.</w:t>
      </w:r>
    </w:p>
    <w:p>
      <w:pPr>
        <w:spacing w:after="0" w:line="178" w:lineRule="exact"/>
        <w:rPr>
          <w:rFonts w:ascii="Arial" w:cs="Arial" w:eastAsia="Arial" w:hAnsi="Arial"/>
          <w:sz w:val="18"/>
          <w:szCs w:val="18"/>
          <w:color w:val="auto"/>
        </w:rPr>
      </w:pPr>
    </w:p>
    <w:p>
      <w:pPr>
        <w:jc w:val="both"/>
        <w:ind w:left="780" w:firstLine="650"/>
        <w:spacing w:after="0" w:line="291" w:lineRule="auto"/>
        <w:tabs>
          <w:tab w:leader="none" w:pos="194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The Revolving Credit Borrowings</w:t>
      </w:r>
      <w:r>
        <w:rPr>
          <w:rFonts w:ascii="Arial" w:cs="Arial" w:eastAsia="Arial" w:hAnsi="Arial"/>
          <w:sz w:val="18"/>
          <w:szCs w:val="18"/>
          <w:color w:val="auto"/>
        </w:rPr>
        <w:t>. Subject to the terms and conditions set forth herein, each Revolving Credit Lender severally agrees to make (or cause its Applicable Lending Office to make) Revolving Credit Loans from time to time during the Availability Period in Dollars in an aggregate principal amount that will not result in such Lender’s Revolving Credit</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-182-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2" w:name="page313"/>
    <w:bookmarkEnd w:id="31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Exposure exceeding such Lender’s Revolving Credit Commitment. Within the limits of each Lender’s Revolving Credit Commitment, and subject to the other terms and conditions hereof, the Borrower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-183-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3" w:name="page314"/>
    <w:bookmarkEnd w:id="31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20"/>
        <w:spacing w:after="0" w:line="260" w:lineRule="auto"/>
        <w:rPr>
          <w:sz w:val="20"/>
          <w:szCs w:val="20"/>
          <w:color w:val="auto"/>
        </w:rPr>
      </w:pPr>
      <w:r>
        <w:rPr>
          <w:rFonts w:ascii="Arial" w:cs="Arial" w:eastAsia="Arial" w:hAnsi="Arial"/>
          <w:sz w:val="20"/>
          <w:szCs w:val="20"/>
          <w:color w:val="auto"/>
        </w:rPr>
        <w:t xml:space="preserve">may borrow under this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2.01(b)</w:t>
      </w:r>
      <w:r>
        <w:rPr>
          <w:rFonts w:ascii="Arial" w:cs="Arial" w:eastAsia="Arial" w:hAnsi="Arial"/>
          <w:sz w:val="20"/>
          <w:szCs w:val="20"/>
          <w:color w:val="auto"/>
        </w:rPr>
        <w:t>. Revolving Credit Loans may be Base Rate Loans or Eurocurrency Rate Loans, as further provided herein.</w:t>
      </w:r>
    </w:p>
    <w:p>
      <w:pPr>
        <w:spacing w:after="0" w:line="217" w:lineRule="exact"/>
        <w:rPr>
          <w:sz w:val="20"/>
          <w:szCs w:val="20"/>
          <w:color w:val="auto"/>
        </w:rPr>
      </w:pPr>
    </w:p>
    <w:p>
      <w:pPr>
        <w:jc w:val="center"/>
        <w:ind w:right="-139"/>
        <w:spacing w:after="0"/>
        <w:tabs>
          <w:tab w:leader="none" w:pos="18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66" w:lineRule="auto"/>
        <w:tabs>
          <w:tab w:leader="none" w:pos="195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Each Term Borrowing, each Revolving Credit Borrowing, each conversion of Loans from one Type to the other, and each continuation of Eurocurrency Rate Loans shall be made upon the Borrower’s irrevocable notice, on behalf of the Borrower, to the Administrative Agent, which may be given by telephone. Each such notice must be received by the Administrative Agent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 in the case of a Eurocurrency Rate Loan, not later than 1:00 p.m., Local Time, three (3) Business Days before the date of the proposed Borrowing (or, in the case of Initial Term Loans to be borrowed on the Closing Date, one (1) Business Day before the proposed Borrowing), or (ii) in the case of a Base Rate Loan, not later than 11:00 a.m., Local Time, on same day of the proposed Borrowing. Each telephonic notice by the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hand delivery, telecopy or electronic transmission to the Administrative Agent of a written Committed Loan Notice, appropriately completed and signed by a Responsible Officer of the Borrower. Each Borrowing of, conversion to or continuation of Eurocurrency Rate Loans shall be in a principal amount of the Borrowing Minimum or a whole multiple of the Borrowing Multiple in excess thereof. Except as provided in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each Borrowing of or conversion to Base Rate Loans shall be in a principal amount of the Borrowing Minimum or a whole multiple of the Borrowing Multiple in excess thereof. Each Committed Loan Notice (whether telephonic or written) shall specify (i) whether the Borrower are requesting a Term Borrowing, a Revolving Credit Borrowing, a conversion of Loans from one Type to the other, or a continuation of Eurocurrency Rate Loans, (ii) the requested date of the Borrowing, conversion or continuation, as the case may be (which shall be a Business Day), (iii) the Class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2.02(b)</w:t>
      </w:r>
      <w:r>
        <w:rPr>
          <w:rFonts w:ascii="Arial" w:cs="Arial" w:eastAsia="Arial" w:hAnsi="Arial"/>
          <w:sz w:val="18"/>
          <w:szCs w:val="18"/>
          <w:color w:val="auto"/>
        </w:rPr>
        <w:t>. If the Borrower fails to specify a Type of Loan in a Committed Loan Notice or fail to give a timely notice requesting a conversion or continuation, then the applicable Loans shall be made or continued as, or converted to Base Rate Loans. Any such automatic conversion or continuation shall be effective as of the last day of the Interest Period then in effect with respect to the applicable Eurocurrency Rate Loans. If the Borrower requests a Borrowing of, conversion to, or continuation of Eurocurrency Rate Loans in any such Committed Loan Notice, but fail to specify an Interest Period, it will be deemed to have specified an Interest Period of one</w:t>
      </w:r>
    </w:p>
    <w:p>
      <w:pPr>
        <w:spacing w:after="0" w:line="18" w:lineRule="exact"/>
        <w:rPr>
          <w:rFonts w:ascii="Arial" w:cs="Arial" w:eastAsia="Arial" w:hAnsi="Arial"/>
          <w:sz w:val="18"/>
          <w:szCs w:val="18"/>
          <w:color w:val="auto"/>
        </w:rPr>
      </w:pPr>
    </w:p>
    <w:p>
      <w:pPr>
        <w:ind w:left="220"/>
        <w:spacing w:after="0" w:line="297" w:lineRule="auto"/>
        <w:rPr>
          <w:rFonts w:ascii="Arial" w:cs="Arial" w:eastAsia="Arial" w:hAnsi="Arial"/>
          <w:sz w:val="18"/>
          <w:szCs w:val="18"/>
          <w:color w:val="auto"/>
        </w:rPr>
      </w:pPr>
      <w:r>
        <w:rPr>
          <w:rFonts w:ascii="Arial" w:cs="Arial" w:eastAsia="Arial" w:hAnsi="Arial"/>
          <w:sz w:val="18"/>
          <w:szCs w:val="18"/>
          <w:color w:val="auto"/>
        </w:rPr>
        <w:t>a. month. For the avoidance of doubt, the Borrower and Lenders acknowledge and agree that any conversion or continuation of an existing Loan shall be deemed to be a continuation of that Loan with a converted interest rate methodology and not a new Loan.</w:t>
      </w:r>
    </w:p>
    <w:p>
      <w:pPr>
        <w:spacing w:after="0" w:line="173" w:lineRule="exact"/>
        <w:rPr>
          <w:rFonts w:ascii="Arial" w:cs="Arial" w:eastAsia="Arial" w:hAnsi="Arial"/>
          <w:sz w:val="18"/>
          <w:szCs w:val="18"/>
          <w:color w:val="auto"/>
        </w:rPr>
      </w:pPr>
    </w:p>
    <w:p>
      <w:pPr>
        <w:jc w:val="both"/>
        <w:ind w:left="220" w:firstLine="1290"/>
        <w:spacing w:after="0" w:line="257" w:lineRule="auto"/>
        <w:tabs>
          <w:tab w:leader="none" w:pos="1949"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or continuation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each Borrowing, each Appropriate Lender shall make (or cause its Applicable Lending Office to make) the amount of its Loan available to the Administrative Agent by wire transfer in immediately available funds at the Administrative Agent’s Office not later than 1:00 p.m., Local Time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-184-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4" w:name="page315"/>
    <w:bookmarkEnd w:id="31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so received available to the Borrower designated in the Committed Loan Notice in like funds as received by the Administrative Agent either by (i) crediting the account of the Borrower maintained with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-185-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5" w:name="page316"/>
    <w:bookmarkEnd w:id="31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44" w:lineRule="auto"/>
        <w:rPr>
          <w:sz w:val="20"/>
          <w:szCs w:val="20"/>
          <w:color w:val="auto"/>
        </w:rPr>
      </w:pPr>
      <w:r>
        <w:rPr>
          <w:rFonts w:ascii="Arial" w:cs="Arial" w:eastAsia="Arial" w:hAnsi="Arial"/>
          <w:sz w:val="20"/>
          <w:szCs w:val="20"/>
          <w:color w:val="auto"/>
        </w:rPr>
        <w:t xml:space="preserve">Administrative Agent and designated by the Borrower in the Committed Loan Notice with the amount of such funds or (ii) wire transfer of such funds, in each case in accordance with instructions provided to (and reasonably acceptable to) the Administrative Agent by 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on the date the Committed Loan Notice with respect to such Borrowing is given by the Borrower, there are L/C Borrowings outstanding, then the proceeds of such Borrowing shall be applied first, to the payment in full of any such L/C Borrowings, and second, to the Borrower as provided above.</w:t>
      </w:r>
    </w:p>
    <w:p>
      <w:pPr>
        <w:spacing w:after="0" w:line="235" w:lineRule="exact"/>
        <w:rPr>
          <w:sz w:val="20"/>
          <w:szCs w:val="20"/>
          <w:color w:val="auto"/>
        </w:rPr>
      </w:pPr>
    </w:p>
    <w:p>
      <w:pPr>
        <w:jc w:val="both"/>
        <w:ind w:left="220" w:firstLine="1290"/>
        <w:spacing w:after="0" w:line="274" w:lineRule="auto"/>
        <w:tabs>
          <w:tab w:leader="none" w:pos="195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a Eurocurrency Rate Loan may be continued or converted only on the last day of an Interest Period for such Eurocurrency Rate Loan unless the Borrower pay the amount due, if any,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in connection therewith. If an Event of Default has occurred and is continuing and, the Administrative Agent, at the request of the Required Lenders (or, solely with respect to the Revolving Credit Facility, at the request of the Required Revolving Credit Facility Lenders), so notifies the Borrower, then so long as such Event of Default is continuing: (i) no Loans may be converted to or continued as Eurocurrency Rate Loans, (ii) no outstanding Loans may be continued for an Interest Period of more than one month’s duration and (iii) unless repaid, each Eurocurrency Rate Loan shall be converted to a Base Rate Loan at the end of the Interest Period applicable thereto.</w:t>
      </w:r>
    </w:p>
    <w:p>
      <w:pPr>
        <w:spacing w:after="0" w:line="195" w:lineRule="exact"/>
        <w:rPr>
          <w:rFonts w:ascii="Arial" w:cs="Arial" w:eastAsia="Arial" w:hAnsi="Arial"/>
          <w:sz w:val="18"/>
          <w:szCs w:val="18"/>
          <w:color w:val="auto"/>
        </w:rPr>
      </w:pPr>
    </w:p>
    <w:p>
      <w:pPr>
        <w:jc w:val="both"/>
        <w:ind w:left="220" w:firstLine="1290"/>
        <w:spacing w:after="0" w:line="250" w:lineRule="auto"/>
        <w:tabs>
          <w:tab w:leader="none" w:pos="1947"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Lenders of the interest rate applicable to any Interest Period for Eurocurrency Rate Loans upon determination of such interest rate. The determination of the Eurocurrency Rate by the Administrative Agent shall be conclusive in the absence of manifest error.</w:t>
      </w:r>
    </w:p>
    <w:p>
      <w:pPr>
        <w:spacing w:after="0" w:line="226" w:lineRule="exact"/>
        <w:rPr>
          <w:rFonts w:ascii="Arial" w:cs="Arial" w:eastAsia="Arial" w:hAnsi="Arial"/>
          <w:sz w:val="20"/>
          <w:szCs w:val="20"/>
          <w:color w:val="auto"/>
        </w:rPr>
      </w:pPr>
    </w:p>
    <w:p>
      <w:pPr>
        <w:jc w:val="both"/>
        <w:ind w:left="220" w:firstLine="1291"/>
        <w:spacing w:after="0" w:line="246" w:lineRule="auto"/>
        <w:tabs>
          <w:tab w:leader="none" w:pos="195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Anything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fifteen (15) Interest Periods in effect at any time for all Borrowings of Eurocurrency Rate Loans.</w:t>
      </w:r>
    </w:p>
    <w:p>
      <w:pPr>
        <w:spacing w:after="0" w:line="232"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324" w:lineRule="exact"/>
        <w:rPr>
          <w:sz w:val="20"/>
          <w:szCs w:val="20"/>
          <w:color w:val="auto"/>
        </w:rPr>
      </w:pPr>
    </w:p>
    <w:p>
      <w:pPr>
        <w:ind w:left="2140" w:hanging="630"/>
        <w:spacing w:after="0"/>
        <w:tabs>
          <w:tab w:leader="none" w:pos="2140"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Commitments</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140" w:firstLine="1426"/>
        <w:spacing w:after="0" w:line="270" w:lineRule="auto"/>
        <w:tabs>
          <w:tab w:leader="none" w:pos="194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(1) each L/C Issuer agrees, in reliance upon the agreements of the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 from time to time on any Business Day during the Availability Period for the Revolving Credit Facility, to issue Letters of Credit denominated in Dollars for the account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Letter of Credit may be for the benefit of any Subsidiary of the Borrower) and to amend or extend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(y) to honor drafts under the Letters of Credit and (2) the Revolving Credit Lenders severally agree to participate in Letters of Credit issued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L/C Issuer shall be obligated to make any L/C Credit Extension with respect to any Letter of Credit, and, except in the case of the following </w:t>
      </w:r>
      <w:r>
        <w:rPr>
          <w:rFonts w:ascii="Arial" w:cs="Arial" w:eastAsia="Arial" w:hAnsi="Arial"/>
          <w:sz w:val="18"/>
          <w:szCs w:val="18"/>
          <w:u w:val="single" w:color="auto"/>
          <w:color w:val="auto"/>
        </w:rPr>
        <w:t>clause (w)</w:t>
      </w:r>
      <w:r>
        <w:rPr>
          <w:rFonts w:ascii="Arial" w:cs="Arial" w:eastAsia="Arial" w:hAnsi="Arial"/>
          <w:sz w:val="18"/>
          <w:szCs w:val="18"/>
          <w:color w:val="auto"/>
        </w:rPr>
        <w:t>, no Lender shall be obligated to participate in any Letter of Credit if immediately after giving effect to such L/C Credit Extension, (w) the aggregate L/C Exposure in respect of Letters of Credit issued by such L/C Issuer would exceed such L/C Issuer’s L/C Issuer Sublimit, (x) the aggregate L/C Exposure would exceed the Letter of Credit Sublimit or (y) the Revolving Credit Exposure of any Lender would exceed such Lender’s Revolving Credit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-186-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-187-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17" w:name="page318"/>
    <w:bookmarkEnd w:id="31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360" w:firstLine="1371"/>
        <w:spacing w:after="0" w:line="260" w:lineRule="auto"/>
        <w:tabs>
          <w:tab w:leader="none" w:pos="194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 xml:space="preserve">An L/C Issuer shall be under no obligation to issue any Letter of Credit (and, in the case of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shall not issue any Letter of Credit) if:</w:t>
      </w:r>
    </w:p>
    <w:p>
      <w:pPr>
        <w:spacing w:after="0" w:line="298" w:lineRule="exact"/>
        <w:rPr>
          <w:rFonts w:ascii="Arial" w:cs="Arial" w:eastAsia="Arial" w:hAnsi="Arial"/>
          <w:sz w:val="20"/>
          <w:szCs w:val="20"/>
          <w:color w:val="auto"/>
        </w:rPr>
      </w:pPr>
    </w:p>
    <w:p>
      <w:pPr>
        <w:jc w:val="both"/>
        <w:ind w:left="780" w:firstLine="544"/>
        <w:spacing w:after="0" w:line="242" w:lineRule="auto"/>
        <w:tabs>
          <w:tab w:leader="none" w:pos="194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223" w:lineRule="exact"/>
        <w:rPr>
          <w:rFonts w:ascii="Arial" w:cs="Arial" w:eastAsia="Arial" w:hAnsi="Arial"/>
          <w:sz w:val="20"/>
          <w:szCs w:val="20"/>
          <w:color w:val="auto"/>
        </w:rPr>
      </w:pPr>
    </w:p>
    <w:p>
      <w:pPr>
        <w:ind w:left="780" w:right="20" w:firstLine="490"/>
        <w:spacing w:after="0" w:line="287" w:lineRule="auto"/>
        <w:tabs>
          <w:tab w:leader="none" w:pos="1941"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more than twelve months after the date of issuance or last renewal, unless the relevant L/C Issuer has approved such expiry date;</w:t>
      </w:r>
    </w:p>
    <w:p>
      <w:pPr>
        <w:spacing w:after="0" w:line="192" w:lineRule="exact"/>
        <w:rPr>
          <w:rFonts w:ascii="Arial" w:cs="Arial" w:eastAsia="Arial" w:hAnsi="Arial"/>
          <w:sz w:val="19"/>
          <w:szCs w:val="19"/>
          <w:color w:val="auto"/>
        </w:rPr>
      </w:pPr>
    </w:p>
    <w:p>
      <w:pPr>
        <w:jc w:val="both"/>
        <w:ind w:left="780" w:firstLine="435"/>
        <w:spacing w:after="0" w:line="269" w:lineRule="auto"/>
        <w:tabs>
          <w:tab w:leader="none" w:pos="194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the expiry date of such requested Letter of Credit would occur after the Letter of Credit Expiration Date, unless the relevant L/C Issuer has approved such expiry date (it being understood that the participations of the Revolving Credit Lenders in any undrawn Letter of Credit shall in any event terminate on the Letter of Credit Expiration Date);</w:t>
      </w:r>
    </w:p>
    <w:p>
      <w:pPr>
        <w:spacing w:after="0" w:line="210" w:lineRule="exact"/>
        <w:rPr>
          <w:rFonts w:ascii="Arial" w:cs="Arial" w:eastAsia="Arial" w:hAnsi="Arial"/>
          <w:sz w:val="19"/>
          <w:szCs w:val="19"/>
          <w:color w:val="auto"/>
        </w:rPr>
      </w:pPr>
    </w:p>
    <w:p>
      <w:pPr>
        <w:ind w:left="1920" w:hanging="694"/>
        <w:spacing w:after="0"/>
        <w:tabs>
          <w:tab w:leader="none" w:pos="19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any Laws binding upon such L/C Issuer;</w:t>
      </w:r>
    </w:p>
    <w:p>
      <w:pPr>
        <w:spacing w:after="0" w:line="242" w:lineRule="exact"/>
        <w:rPr>
          <w:rFonts w:ascii="Arial" w:cs="Arial" w:eastAsia="Arial" w:hAnsi="Arial"/>
          <w:sz w:val="20"/>
          <w:szCs w:val="20"/>
          <w:color w:val="auto"/>
        </w:rPr>
      </w:pPr>
    </w:p>
    <w:p>
      <w:pPr>
        <w:ind w:left="2060" w:hanging="779"/>
        <w:spacing w:after="0"/>
        <w:tabs>
          <w:tab w:leader="none" w:pos="20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issuance would violate any policies or procedures of such L/C Issuer;</w:t>
      </w:r>
    </w:p>
    <w:p>
      <w:pPr>
        <w:spacing w:after="0" w:line="256" w:lineRule="exact"/>
        <w:rPr>
          <w:rFonts w:ascii="Arial" w:cs="Arial" w:eastAsia="Arial" w:hAnsi="Arial"/>
          <w:sz w:val="20"/>
          <w:szCs w:val="20"/>
          <w:color w:val="auto"/>
        </w:rPr>
      </w:pPr>
    </w:p>
    <w:p>
      <w:pPr>
        <w:ind w:left="780" w:right="20" w:firstLine="446"/>
        <w:spacing w:after="0" w:line="260" w:lineRule="auto"/>
        <w:tabs>
          <w:tab w:leader="none" w:pos="19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face amount of such Letter of Credit (together with all other Letters of Credit issued by such L/C Issuer and outstanding at such time) shall exceed the L/C Issuer Sublimit applicable to such L/C Issuer; or</w:t>
      </w:r>
    </w:p>
    <w:p>
      <w:pPr>
        <w:spacing w:after="0" w:line="217" w:lineRule="exact"/>
        <w:rPr>
          <w:rFonts w:ascii="Arial" w:cs="Arial" w:eastAsia="Arial" w:hAnsi="Arial"/>
          <w:sz w:val="20"/>
          <w:szCs w:val="20"/>
          <w:color w:val="auto"/>
        </w:rPr>
      </w:pPr>
    </w:p>
    <w:p>
      <w:pPr>
        <w:ind w:left="2080" w:hanging="909"/>
        <w:spacing w:after="0"/>
        <w:tabs>
          <w:tab w:leader="none" w:pos="20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Letter of credit is not a standby letter of credit.</w:t>
      </w:r>
    </w:p>
    <w:p>
      <w:pPr>
        <w:spacing w:after="0" w:line="242" w:lineRule="exact"/>
        <w:rPr>
          <w:rFonts w:ascii="Arial" w:cs="Arial" w:eastAsia="Arial" w:hAnsi="Arial"/>
          <w:sz w:val="20"/>
          <w:szCs w:val="20"/>
          <w:color w:val="auto"/>
        </w:rPr>
      </w:pPr>
    </w:p>
    <w:p>
      <w:pPr>
        <w:jc w:val="both"/>
        <w:ind w:left="140" w:firstLine="1317"/>
        <w:spacing w:after="0" w:line="250" w:lineRule="auto"/>
        <w:tabs>
          <w:tab w:leader="none" w:pos="1946" w:val="left"/>
        </w:tabs>
        <w:numPr>
          <w:ilvl w:val="2"/>
          <w:numId w:val="189"/>
        </w:numPr>
        <w:rPr>
          <w:rFonts w:ascii="Arial" w:cs="Arial" w:eastAsia="Arial" w:hAnsi="Arial"/>
          <w:sz w:val="20"/>
          <w:szCs w:val="20"/>
          <w:color w:val="auto"/>
        </w:rPr>
      </w:pPr>
      <w:r>
        <w:rPr>
          <w:rFonts w:ascii="Arial" w:cs="Arial" w:eastAsia="Arial" w:hAnsi="Arial"/>
          <w:sz w:val="20"/>
          <w:szCs w:val="20"/>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226" w:lineRule="exact"/>
        <w:rPr>
          <w:rFonts w:ascii="Arial" w:cs="Arial" w:eastAsia="Arial" w:hAnsi="Arial"/>
          <w:sz w:val="20"/>
          <w:szCs w:val="20"/>
          <w:color w:val="auto"/>
        </w:rPr>
      </w:pPr>
    </w:p>
    <w:p>
      <w:pPr>
        <w:ind w:left="780" w:right="720" w:firstLine="623"/>
        <w:spacing w:after="0" w:line="260" w:lineRule="auto"/>
        <w:tabs>
          <w:tab w:leader="none" w:pos="1939" w:val="left"/>
        </w:tabs>
        <w:numPr>
          <w:ilvl w:val="2"/>
          <w:numId w:val="189"/>
        </w:numPr>
        <w:rPr>
          <w:rFonts w:ascii="Arial" w:cs="Arial" w:eastAsia="Arial" w:hAnsi="Arial"/>
          <w:sz w:val="20"/>
          <w:szCs w:val="20"/>
          <w:color w:val="auto"/>
        </w:rPr>
      </w:pPr>
      <w:r>
        <w:rPr>
          <w:rFonts w:ascii="Arial" w:cs="Arial" w:eastAsia="Arial" w:hAnsi="Arial"/>
          <w:sz w:val="20"/>
          <w:szCs w:val="20"/>
          <w:u w:val="single" w:color="auto"/>
          <w:color w:val="auto"/>
        </w:rPr>
        <w:t>Letter of Credit Reporting</w:t>
      </w:r>
      <w:r>
        <w:rPr>
          <w:rFonts w:ascii="Arial" w:cs="Arial" w:eastAsia="Arial" w:hAnsi="Arial"/>
          <w:sz w:val="20"/>
          <w:szCs w:val="20"/>
          <w:color w:val="auto"/>
        </w:rPr>
        <w:t>. On a monthly basis, each L/C Issuer shall deliver to the Administrative Agent a complete list of outstanding Letters of Credit issued by such L/C Issuer.</w:t>
      </w:r>
    </w:p>
    <w:p>
      <w:pPr>
        <w:spacing w:after="0" w:line="217" w:lineRule="exact"/>
        <w:rPr>
          <w:rFonts w:ascii="Arial" w:cs="Arial" w:eastAsia="Arial" w:hAnsi="Arial"/>
          <w:sz w:val="20"/>
          <w:szCs w:val="20"/>
          <w:color w:val="auto"/>
        </w:rPr>
      </w:pPr>
    </w:p>
    <w:p>
      <w:pPr>
        <w:ind w:left="1940" w:hanging="429"/>
        <w:spacing w:after="0"/>
        <w:tabs>
          <w:tab w:leader="none" w:pos="1940" w:val="left"/>
        </w:tabs>
        <w:numPr>
          <w:ilvl w:val="3"/>
          <w:numId w:val="189"/>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 Extension Letters of Credit</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140" w:firstLine="1426"/>
        <w:spacing w:after="0" w:line="250" w:lineRule="auto"/>
        <w:tabs>
          <w:tab w:leader="none" w:pos="1948" w:val="left"/>
        </w:tabs>
        <w:numPr>
          <w:ilvl w:val="4"/>
          <w:numId w:val="189"/>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Borrower hand delivered or telecopied (or transmitted by electronic communication, if arrangements for doing so have been approved by the L/C Issuer) to the L/C Issuer (with a copy to the</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-188-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8" w:name="page319"/>
    <w:bookmarkEnd w:id="31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Administrative Agent) in the form of a Letter of Credit Application, appropriately completed and signed by a Responsible Officer of the Borrower. Such Letter of Credit Application must be received by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-189-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19" w:name="page320"/>
    <w:bookmarkEnd w:id="31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0" w:lineRule="auto"/>
        <w:rPr>
          <w:sz w:val="20"/>
          <w:szCs w:val="20"/>
          <w:color w:val="auto"/>
        </w:rPr>
      </w:pPr>
      <w:r>
        <w:rPr>
          <w:rFonts w:ascii="Arial" w:cs="Arial" w:eastAsia="Arial" w:hAnsi="Arial"/>
          <w:sz w:val="18"/>
          <w:szCs w:val="18"/>
          <w:color w:val="auto"/>
        </w:rPr>
        <w:t>relevant L/C Issuer and the Administrative Agent not later than 1:00 p.m., Local Time,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If requested by the L/C Issuer, the Borrower also shall submit a letter of credit application on the L/C Issuer’s standard form in connection with any request for a Letter of Credit.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216" w:lineRule="exact"/>
        <w:rPr>
          <w:sz w:val="20"/>
          <w:szCs w:val="20"/>
          <w:color w:val="auto"/>
        </w:rPr>
      </w:pPr>
    </w:p>
    <w:p>
      <w:pPr>
        <w:jc w:val="both"/>
        <w:ind w:left="140" w:firstLine="1371"/>
        <w:spacing w:after="0" w:line="256" w:lineRule="auto"/>
        <w:tabs>
          <w:tab w:leader="none" w:pos="194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spacing w:after="0" w:line="211" w:lineRule="exact"/>
        <w:rPr>
          <w:rFonts w:ascii="Arial" w:cs="Arial" w:eastAsia="Arial" w:hAnsi="Arial"/>
          <w:sz w:val="19"/>
          <w:szCs w:val="19"/>
          <w:color w:val="auto"/>
        </w:rPr>
      </w:pPr>
    </w:p>
    <w:p>
      <w:pPr>
        <w:jc w:val="both"/>
        <w:ind w:left="140" w:firstLine="1316"/>
        <w:spacing w:after="0" w:line="269" w:lineRule="auto"/>
        <w:tabs>
          <w:tab w:leader="none" w:pos="19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With respect to standby Letters of Credit only, if the Borrower so requests in any applicable Letter of Credit Application, the relevant L/C Issuer shall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or otherwise), or (B) it has received notice (which may be by telephone, followed promptly in writing, or in writing) on or before the day that is five (5) Business Days before the Non-Extension Notice Date from the Administrative Agent or any Revolving Credit Lender, as applicable,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w:t>
      </w:r>
    </w:p>
    <w:p>
      <w:pPr>
        <w:spacing w:after="0" w:line="289" w:lineRule="exact"/>
        <w:rPr>
          <w:rFonts w:ascii="Arial" w:cs="Arial" w:eastAsia="Arial" w:hAnsi="Arial"/>
          <w:sz w:val="18"/>
          <w:szCs w:val="18"/>
          <w:color w:val="auto"/>
        </w:rPr>
      </w:pPr>
    </w:p>
    <w:p>
      <w:pPr>
        <w:ind w:left="140" w:right="120" w:firstLine="1327"/>
        <w:spacing w:after="0" w:line="260" w:lineRule="auto"/>
        <w:tabs>
          <w:tab w:leader="none" w:pos="1958" w:val="left"/>
        </w:tabs>
        <w:numPr>
          <w:ilvl w:val="1"/>
          <w:numId w:val="190"/>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relevant L/C Issuer will</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-190-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-191-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21" w:name="page322"/>
    <w:bookmarkEnd w:id="32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also deliver to the Borrower and the Administrative Agent a true and complete copy of such Letter of Credit or amendment.</w:t>
      </w:r>
    </w:p>
    <w:p>
      <w:pPr>
        <w:spacing w:after="0" w:line="256" w:lineRule="exact"/>
        <w:rPr>
          <w:sz w:val="20"/>
          <w:szCs w:val="20"/>
          <w:color w:val="auto"/>
        </w:rPr>
      </w:pPr>
    </w:p>
    <w:p>
      <w:pPr>
        <w:ind w:left="2140" w:hanging="630"/>
        <w:spacing w:after="0"/>
        <w:tabs>
          <w:tab w:leader="none" w:pos="2140"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140" w:firstLine="1426"/>
        <w:spacing w:after="0" w:line="268" w:lineRule="auto"/>
        <w:tabs>
          <w:tab w:leader="none" w:pos="194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L/C Issuer shall notify promptly the Borrower and the Administrative Agent thereof. On the Business Day immediately following the Business Day on which the Borrower shall have received notice of any payment by an L/C Issuer under a Letter of Credit (or, if the Borrower shall have received such notice later than 1:00 p.m. on any Business Day, on the second succeeding Business Day) (such date of payment, an “</w:t>
      </w:r>
      <w:r>
        <w:rPr>
          <w:rFonts w:ascii="Arial" w:cs="Arial" w:eastAsia="Arial" w:hAnsi="Arial"/>
          <w:sz w:val="18"/>
          <w:szCs w:val="18"/>
          <w:u w:val="single" w:color="auto"/>
          <w:color w:val="auto"/>
        </w:rPr>
        <w:t>Honor Date</w:t>
      </w:r>
      <w:r>
        <w:rPr>
          <w:rFonts w:ascii="Arial" w:cs="Arial" w:eastAsia="Arial" w:hAnsi="Arial"/>
          <w:sz w:val="18"/>
          <w:szCs w:val="18"/>
          <w:color w:val="auto"/>
        </w:rPr>
        <w:t>”), the Borrower shall reimburse such L/C Issuer through the Administrative Agent in Dollars in an amount equal to the Dollar Equivalent of such drawing using the Exchange Rate in relation to Dollars in effect on the Honor Date. If the Borrower fails to so reimburse such L/C Issuer on the Honor Date (or if any such reimbursement payment is required to be refunded to the Borrower for any reason), then, in the case of each L/C Borrowing, the Administrative Agent shall promptly notify the applicable L/C Issuer and each Appropriate Lender of the Honor Date, the amount of the unreimbursed drawing in Dollars (the “</w:t>
      </w:r>
      <w:r>
        <w:rPr>
          <w:rFonts w:ascii="Arial" w:cs="Arial" w:eastAsia="Arial" w:hAnsi="Arial"/>
          <w:sz w:val="18"/>
          <w:szCs w:val="18"/>
          <w:u w:val="single" w:color="auto"/>
          <w:color w:val="auto"/>
        </w:rPr>
        <w:t>Unreimbursed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and the amount of such Appropriate Lender’s Applicable Percentage thereof. In the event that the Borrower does not reimburse the L/C Issuer on the Business Day following the date it receives notice of the Honor Date (or, if the Borrower shall have received such notice later than 1:00 p.m. on any Business Day, on the second succeeding Business Day), the Borrower shall be deemed to have requested a Revolving Credit Borrowing denominated in Dollars of Base Rate Loans to be disbursed on such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Revolving Credit Commitments, and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 Any notice given by an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 For the avoidance of doubt, if any drawing occurs under a Letter of Credit and such drawing is not reimbursed on the same day, such drawing shall, without duplication, accrue interest at the rate applicable to Base Rate Loans under the Revolving Credit Facility until the date of reimbursement.</w:t>
      </w:r>
    </w:p>
    <w:p>
      <w:pPr>
        <w:spacing w:after="0" w:line="223" w:lineRule="exact"/>
        <w:rPr>
          <w:rFonts w:ascii="Arial" w:cs="Arial" w:eastAsia="Arial" w:hAnsi="Arial"/>
          <w:sz w:val="18"/>
          <w:szCs w:val="18"/>
          <w:color w:val="auto"/>
        </w:rPr>
      </w:pPr>
    </w:p>
    <w:p>
      <w:pPr>
        <w:jc w:val="both"/>
        <w:ind w:left="140" w:firstLine="1371"/>
        <w:spacing w:after="0" w:line="243" w:lineRule="auto"/>
        <w:tabs>
          <w:tab w:leader="none" w:pos="1948"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Each Revolving Credit Lender (including any such Lender acting as an L/C Issuer)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to the Administrative Agent in Dollars for the account of the relevant L/C Issuer at the Administrative Agent’s Office for payments in an amount equal to its Applicable Percentage of any Unreimbursed Amount in respect of a Letter of Credit not later than 1:00 p.m., New York City time, on the Business Day specified in such notice by the Administrative Agent, whereupon, subject to the provisions of </w:t>
      </w:r>
      <w:r>
        <w:rPr>
          <w:rFonts w:ascii="Arial" w:cs="Arial" w:eastAsia="Arial" w:hAnsi="Arial"/>
          <w:sz w:val="20"/>
          <w:szCs w:val="20"/>
          <w:u w:val="single" w:color="auto"/>
          <w:color w:val="auto"/>
        </w:rPr>
        <w:t>Section 2.03</w:t>
      </w:r>
      <w:r>
        <w:rPr>
          <w:rFonts w:ascii="Arial" w:cs="Arial" w:eastAsia="Arial" w:hAnsi="Arial"/>
          <w:sz w:val="20"/>
          <w:szCs w:val="20"/>
          <w:color w:val="auto"/>
        </w:rPr>
        <w:t>, each Revolving Credit Lender that so makes funds available shall be deemed to have made a Base Rate Loan to the Borrower in such amount. The Administrative Agent shall remit the funds so received to the relevant L/C Issuer.</w:t>
      </w:r>
    </w:p>
    <w:p>
      <w:pPr>
        <w:spacing w:after="0" w:line="233" w:lineRule="exact"/>
        <w:rPr>
          <w:rFonts w:ascii="Arial" w:cs="Arial" w:eastAsia="Arial" w:hAnsi="Arial"/>
          <w:sz w:val="20"/>
          <w:szCs w:val="20"/>
          <w:color w:val="auto"/>
        </w:rPr>
      </w:pPr>
    </w:p>
    <w:p>
      <w:pPr>
        <w:jc w:val="both"/>
        <w:ind w:left="140" w:firstLine="1316"/>
        <w:spacing w:after="0" w:line="243" w:lineRule="auto"/>
        <w:tabs>
          <w:tab w:leader="none" w:pos="1949"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in respect of a Letter of Credit that is not fully refinanced by a Revolving Credit Borrowing of Base Rate Loans because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cannot be satisfied or for any other reason, the Borrower shall be deemed to have incurred from the relevant L/C Issuer an L/C Borrowing in Dollars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-192-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2" w:name="page323"/>
    <w:bookmarkEnd w:id="32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-193-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23" w:name="page324"/>
    <w:bookmarkEnd w:id="32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327"/>
        <w:spacing w:after="0" w:line="269" w:lineRule="auto"/>
        <w:tabs>
          <w:tab w:leader="none" w:pos="195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Until each Revolving Credit Lender funds its Revolving Credit Loan or L/C Advance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to reimburse the relevant L/C Issuer for any amount drawn under any Letter of Credit, interest in respect of such Revolving Credit Lender’s Applicable Percentage of such amount shall be solely for the account of the relevant L/C Issuer.</w:t>
      </w:r>
    </w:p>
    <w:p>
      <w:pPr>
        <w:spacing w:after="0" w:line="210" w:lineRule="exact"/>
        <w:rPr>
          <w:rFonts w:ascii="Arial" w:cs="Arial" w:eastAsia="Arial" w:hAnsi="Arial"/>
          <w:sz w:val="19"/>
          <w:szCs w:val="19"/>
          <w:color w:val="auto"/>
        </w:rPr>
      </w:pPr>
    </w:p>
    <w:p>
      <w:pPr>
        <w:jc w:val="both"/>
        <w:ind w:left="140" w:firstLine="1382"/>
        <w:spacing w:after="0" w:line="272" w:lineRule="auto"/>
        <w:tabs>
          <w:tab w:leader="none" w:pos="195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L/C Advances to reimburse an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relevant L/C Issuer, a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Revolving Credit Lender’s obligation to make Revolving Credit Loans (but not L/C Advances)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97" w:lineRule="exact"/>
        <w:rPr>
          <w:rFonts w:ascii="Arial" w:cs="Arial" w:eastAsia="Arial" w:hAnsi="Arial"/>
          <w:sz w:val="18"/>
          <w:szCs w:val="18"/>
          <w:color w:val="auto"/>
        </w:rPr>
      </w:pPr>
    </w:p>
    <w:p>
      <w:pPr>
        <w:jc w:val="both"/>
        <w:ind w:left="140" w:firstLine="1327"/>
        <w:spacing w:after="0" w:line="242" w:lineRule="auto"/>
        <w:tabs>
          <w:tab w:leader="none" w:pos="1958"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by the time specified in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the greater of the Federal Funds Rate and a rate determined by the Administrative Agent in accordance with banking industry rules on interbank compensation. A certificate of the relevant L/C Issuer submitted to any Revolving Credit Lender (through the Administrative Agent) with respect to any amounts owing under this </w:t>
      </w:r>
      <w:r>
        <w:rPr>
          <w:rFonts w:ascii="Arial" w:cs="Arial" w:eastAsia="Arial" w:hAnsi="Arial"/>
          <w:sz w:val="20"/>
          <w:szCs w:val="20"/>
          <w:u w:val="single" w:color="auto"/>
          <w:color w:val="auto"/>
        </w:rPr>
        <w:t>Section 2.03(c)(vi)</w:t>
      </w:r>
      <w:r>
        <w:rPr>
          <w:rFonts w:ascii="Arial" w:cs="Arial" w:eastAsia="Arial" w:hAnsi="Arial"/>
          <w:sz w:val="20"/>
          <w:szCs w:val="20"/>
          <w:color w:val="auto"/>
        </w:rPr>
        <w:t xml:space="preserve"> shall be conclusive absent demonstrable error.</w:t>
      </w:r>
    </w:p>
    <w:p>
      <w:pPr>
        <w:spacing w:after="0" w:line="237" w:lineRule="exact"/>
        <w:rPr>
          <w:sz w:val="20"/>
          <w:szCs w:val="20"/>
          <w:color w:val="auto"/>
        </w:rPr>
      </w:pPr>
    </w:p>
    <w:p>
      <w:pPr>
        <w:jc w:val="both"/>
        <w:ind w:left="140" w:firstLine="1271"/>
        <w:spacing w:after="0" w:line="257" w:lineRule="auto"/>
        <w:tabs>
          <w:tab w:leader="none" w:pos="194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If, at any time after an L/C Issuer has made a payment under any Letter of Credit and has received from any Revolving Credit Lender such Lender’s L/C Advance in respect of such payment in accordance with this </w:t>
      </w:r>
      <w:r>
        <w:rPr>
          <w:rFonts w:ascii="Arial" w:cs="Arial" w:eastAsia="Arial" w:hAnsi="Arial"/>
          <w:sz w:val="19"/>
          <w:szCs w:val="19"/>
          <w:u w:val="single" w:color="auto"/>
          <w:color w:val="auto"/>
        </w:rPr>
        <w:t>Section 2.03(c)</w:t>
      </w:r>
      <w:r>
        <w:rPr>
          <w:rFonts w:ascii="Arial" w:cs="Arial" w:eastAsia="Arial" w:hAnsi="Arial"/>
          <w:sz w:val="19"/>
          <w:szCs w:val="19"/>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225" w:lineRule="exact"/>
        <w:rPr>
          <w:rFonts w:ascii="Arial" w:cs="Arial" w:eastAsia="Arial" w:hAnsi="Arial"/>
          <w:sz w:val="19"/>
          <w:szCs w:val="19"/>
          <w:color w:val="auto"/>
        </w:rPr>
      </w:pPr>
    </w:p>
    <w:p>
      <w:pPr>
        <w:jc w:val="both"/>
        <w:ind w:left="140" w:firstLine="1216"/>
        <w:spacing w:after="0" w:line="278" w:lineRule="auto"/>
        <w:tabs>
          <w:tab w:leader="none" w:pos="19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an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Federal Funds Rate.</w:t>
      </w:r>
    </w:p>
    <w:p>
      <w:pPr>
        <w:spacing w:after="0" w:line="191" w:lineRule="exact"/>
        <w:rPr>
          <w:rFonts w:ascii="Arial" w:cs="Arial" w:eastAsia="Arial" w:hAnsi="Arial"/>
          <w:sz w:val="18"/>
          <w:szCs w:val="18"/>
          <w:color w:val="auto"/>
        </w:rPr>
      </w:pPr>
    </w:p>
    <w:p>
      <w:pPr>
        <w:ind w:left="220" w:firstLine="1291"/>
        <w:spacing w:after="0" w:line="260" w:lineRule="auto"/>
        <w:tabs>
          <w:tab w:leader="none" w:pos="1950" w:val="left"/>
        </w:tabs>
        <w:numPr>
          <w:ilvl w:val="2"/>
          <w:numId w:val="194"/>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 to reimburse the relevant L/C Issuer for each drawing under each Letter of Credit issued by it and to repay each L/C Borrowing shall</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-194-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4" w:name="page325"/>
    <w:bookmarkEnd w:id="32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-195-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5" w:name="page326"/>
    <w:bookmarkEnd w:id="32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firstLine="721"/>
        <w:spacing w:after="0" w:line="260" w:lineRule="auto"/>
        <w:tabs>
          <w:tab w:leader="none" w:pos="194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agreement or instrument relating thereto;</w:t>
      </w:r>
    </w:p>
    <w:p>
      <w:pPr>
        <w:spacing w:after="0" w:line="217" w:lineRule="exact"/>
        <w:rPr>
          <w:rFonts w:ascii="Arial" w:cs="Arial" w:eastAsia="Arial" w:hAnsi="Arial"/>
          <w:sz w:val="20"/>
          <w:szCs w:val="20"/>
          <w:color w:val="auto"/>
        </w:rPr>
      </w:pPr>
    </w:p>
    <w:p>
      <w:pPr>
        <w:jc w:val="both"/>
        <w:ind w:left="780" w:firstLine="666"/>
        <w:spacing w:after="0" w:line="244" w:lineRule="auto"/>
        <w:tabs>
          <w:tab w:leader="none" w:pos="194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221" w:lineRule="exact"/>
        <w:rPr>
          <w:rFonts w:ascii="Arial" w:cs="Arial" w:eastAsia="Arial" w:hAnsi="Arial"/>
          <w:sz w:val="20"/>
          <w:szCs w:val="20"/>
          <w:color w:val="auto"/>
        </w:rPr>
      </w:pPr>
    </w:p>
    <w:p>
      <w:pPr>
        <w:jc w:val="both"/>
        <w:ind w:left="780" w:firstLine="611"/>
        <w:spacing w:after="0" w:line="291" w:lineRule="auto"/>
        <w:tabs>
          <w:tab w:leader="none" w:pos="19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92" w:lineRule="exact"/>
        <w:rPr>
          <w:rFonts w:ascii="Arial" w:cs="Arial" w:eastAsia="Arial" w:hAnsi="Arial"/>
          <w:sz w:val="18"/>
          <w:szCs w:val="18"/>
          <w:color w:val="auto"/>
        </w:rPr>
      </w:pPr>
    </w:p>
    <w:p>
      <w:pPr>
        <w:jc w:val="both"/>
        <w:ind w:left="780" w:firstLine="622"/>
        <w:spacing w:after="0" w:line="260" w:lineRule="auto"/>
        <w:tabs>
          <w:tab w:leader="none" w:pos="194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20" w:lineRule="exact"/>
        <w:rPr>
          <w:rFonts w:ascii="Arial" w:cs="Arial" w:eastAsia="Arial" w:hAnsi="Arial"/>
          <w:sz w:val="19"/>
          <w:szCs w:val="19"/>
          <w:color w:val="auto"/>
        </w:rPr>
      </w:pPr>
    </w:p>
    <w:p>
      <w:pPr>
        <w:jc w:val="both"/>
        <w:ind w:left="780" w:firstLine="678"/>
        <w:spacing w:after="0" w:line="250" w:lineRule="auto"/>
        <w:tabs>
          <w:tab w:leader="none" w:pos="194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exchange, release or nonperfection of any Collateral, or any release or amendment or waiver of or consent to departure from the Guaranty or any other guarantee, for all or any of the Secured Obligations of any Loan Party in respect of such Letter of Credit; or</w:t>
      </w:r>
    </w:p>
    <w:p>
      <w:pPr>
        <w:spacing w:after="0" w:line="212" w:lineRule="exact"/>
        <w:rPr>
          <w:rFonts w:ascii="Arial" w:cs="Arial" w:eastAsia="Arial" w:hAnsi="Arial"/>
          <w:sz w:val="20"/>
          <w:szCs w:val="20"/>
          <w:color w:val="auto"/>
        </w:rPr>
      </w:pPr>
    </w:p>
    <w:p>
      <w:pPr>
        <w:ind w:left="780" w:firstLine="622"/>
        <w:spacing w:after="0" w:line="287" w:lineRule="auto"/>
        <w:tabs>
          <w:tab w:leader="none" w:pos="194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any Loan Party;</w:t>
      </w:r>
    </w:p>
    <w:p>
      <w:pPr>
        <w:spacing w:after="0" w:line="193" w:lineRule="exact"/>
        <w:rPr>
          <w:sz w:val="20"/>
          <w:szCs w:val="20"/>
          <w:color w:val="auto"/>
        </w:rPr>
      </w:pPr>
    </w:p>
    <w:p>
      <w:pPr>
        <w:jc w:val="both"/>
        <w:ind w:left="140"/>
        <w:spacing w:after="0" w:line="244"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foregoing shall not excuse any L/C Issuer from liability to the Borrower to the extent of any direct damages (as opposed</w:t>
      </w:r>
      <w:r>
        <w:rPr>
          <w:rFonts w:ascii="Arial" w:cs="Arial" w:eastAsia="Arial" w:hAnsi="Arial"/>
          <w:sz w:val="20"/>
          <w:szCs w:val="20"/>
          <w:i w:val="1"/>
          <w:iCs w:val="1"/>
          <w:color w:val="auto"/>
        </w:rPr>
        <w:t xml:space="preserve"> </w:t>
      </w:r>
      <w:r>
        <w:rPr>
          <w:rFonts w:ascii="Arial" w:cs="Arial" w:eastAsia="Arial" w:hAnsi="Arial"/>
          <w:sz w:val="20"/>
          <w:szCs w:val="20"/>
          <w:color w:val="auto"/>
        </w:rPr>
        <w:t>to special, indirect, consequential or punitive damages, claims in respect of which are waived by the Borrower to the extent permitted by applicable Law) suffered by the Borrower that are caused by such L/C Issuer’s gross negligence or willful misconduct as determined by a court of competent jurisdiction when determining whether drafts and other documents presented under a Letter of Credit comply with the terms thereof.</w:t>
      </w:r>
    </w:p>
    <w:p>
      <w:pPr>
        <w:spacing w:after="0" w:line="235" w:lineRule="exact"/>
        <w:rPr>
          <w:sz w:val="20"/>
          <w:szCs w:val="20"/>
          <w:color w:val="auto"/>
        </w:rPr>
      </w:pPr>
    </w:p>
    <w:p>
      <w:pPr>
        <w:jc w:val="both"/>
        <w:ind w:left="220" w:firstLine="1291"/>
        <w:spacing w:after="0" w:line="268" w:lineRule="auto"/>
        <w:tabs>
          <w:tab w:leader="none" w:pos="195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Role of L/C Issuers</w:t>
      </w:r>
      <w:r>
        <w:rPr>
          <w:rFonts w:ascii="Arial" w:cs="Arial" w:eastAsia="Arial" w:hAnsi="Arial"/>
          <w:sz w:val="18"/>
          <w:szCs w:val="18"/>
          <w:color w:val="auto"/>
        </w:rPr>
        <w:t>.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Required Lenders or the Required Revolving Credit Lenders, as applicable; (ii) any action taken or omitted in the absence of gross negligence or willful misconduct as determined by a court of competent jurisdiction; or</w:t>
      </w:r>
    </w:p>
    <w:p>
      <w:pPr>
        <w:spacing w:after="0" w:line="4" w:lineRule="exact"/>
        <w:rPr>
          <w:rFonts w:ascii="Arial" w:cs="Arial" w:eastAsia="Arial" w:hAnsi="Arial"/>
          <w:sz w:val="18"/>
          <w:szCs w:val="18"/>
          <w:color w:val="auto"/>
        </w:rPr>
      </w:pPr>
    </w:p>
    <w:p>
      <w:pPr>
        <w:jc w:val="both"/>
        <w:ind w:left="220" w:hanging="5"/>
        <w:spacing w:after="0" w:line="241" w:lineRule="auto"/>
        <w:tabs>
          <w:tab w:leader="none" w:pos="57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due execution, effectiveness, validity or enforceability of any document or instrument related to any Letter of Credit or Letter of Credit Application. The Borrower hereby assumes all risks of the acts or omissions of any beneficiary or transferee with respect to its use of</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-196-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6" w:name="page327"/>
    <w:bookmarkEnd w:id="32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any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assumption is not intended to, and shall not, preclude the Borrower’s pursuing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-197-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27" w:name="page328"/>
    <w:bookmarkEnd w:id="32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70" w:lineRule="auto"/>
        <w:rPr>
          <w:sz w:val="20"/>
          <w:szCs w:val="20"/>
          <w:color w:val="auto"/>
        </w:rPr>
      </w:pPr>
      <w:r>
        <w:rPr>
          <w:rFonts w:ascii="Arial" w:cs="Arial" w:eastAsia="Arial" w:hAnsi="Arial"/>
          <w:sz w:val="18"/>
          <w:szCs w:val="18"/>
          <w:color w:val="auto"/>
        </w:rPr>
        <w:t xml:space="preserve">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as determined by a court of competent jurisdiction or such L/C Issuer’s willful or grossly negligent failure as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16" w:lineRule="exact"/>
        <w:rPr>
          <w:sz w:val="20"/>
          <w:szCs w:val="20"/>
          <w:color w:val="auto"/>
        </w:rPr>
      </w:pPr>
    </w:p>
    <w:p>
      <w:pPr>
        <w:jc w:val="both"/>
        <w:ind w:left="220" w:firstLine="1290"/>
        <w:spacing w:after="0" w:line="268" w:lineRule="auto"/>
        <w:tabs>
          <w:tab w:leader="none" w:pos="195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any Event of Default occurs and is continuing and the Administrative Agent or the Required Revolving Credit Lenders or Required Lenders, as applicable, require the Borrower to Cash Collateralize the L/C Obligations pursuant to </w:t>
      </w:r>
      <w:r>
        <w:rPr>
          <w:rFonts w:ascii="Arial" w:cs="Arial" w:eastAsia="Arial" w:hAnsi="Arial"/>
          <w:sz w:val="18"/>
          <w:szCs w:val="18"/>
          <w:u w:val="single" w:color="auto"/>
          <w:color w:val="auto"/>
        </w:rPr>
        <w:t>Section 8.02(a)(iii)</w:t>
      </w:r>
      <w:r>
        <w:rPr>
          <w:rFonts w:ascii="Arial" w:cs="Arial" w:eastAsia="Arial" w:hAnsi="Arial"/>
          <w:sz w:val="18"/>
          <w:szCs w:val="18"/>
          <w:color w:val="auto"/>
        </w:rPr>
        <w:t xml:space="preserve"> or (ii) an Event of Default set forth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(with respect to the Borrower)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occurs and is continuing, then the Borrower shall Cash Collateralize the then Outstanding Amount of all L/C Obligations (in an amount equal to such Outstanding Amount plus any accrued or unpaid fees thereon determined as of the date such Cash Collateral is provided).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relevant L/C Issuer and the Revolving Credit Lenders, as collateral for the L/C Obligations, cash or deposit account balances in the relevant currencies in an amount equal to the L/C Exposure (determined as of the date of such Event of Default)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pursuant to documentation in form and substance reasonably satisfactory to the Administrative Agent and the relevant L/C Issuer (which documents are hereby consented to by the Lenders). Derivatives of such term have corresponding meanings. The Borrower hereby grants to the Administrative Agent, for the benefit of the L/C Issuers and the Revolving Credit Lenders, a security interest in all such cash, deposit accounts and all balances therein and all proceeds of the foregoing. The Administrative Agent shall have exclusive dominion and control, including the exclusive right of withdrawal, over such account. Interest or profits, if any, on such investments shall accumulate in such account. Cash Collateral shall be maintained in accounts satisfactory to the Administrative Agent, in the name of the Administrative Agent and for the benefit of the Revolving Credit Lenders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L/C Exposure, the Borrower will, forthwith upon demand by the Administrative Agent, pay to the Administrative Agent, as additional funds to be deposited and held in the deposit accounts specified by the Administrative Agent, an amount equal to the excess of (a) such L/C Exposure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L/C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costs incidental thereto and so long as no other Event of Default has occurred and is continuing, the excess shall be refunded to the Borrower. If such Event of Default is cured or waived and no other Event of Default is then occurring</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-198-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28" w:name="page329"/>
    <w:bookmarkEnd w:id="32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continuing, the amount of any Cash Collateral (including any accrued interest thereon) shall be refunded to the Borrower.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-199-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60"/>
          </w:cols>
          <w:pgMar w:left="320" w:top="121" w:right="1419" w:bottom="1440" w:gutter="0" w:footer="0" w:header="0"/>
        </w:sectPr>
      </w:pPr>
    </w:p>
    <w:bookmarkStart w:id="329" w:name="page330"/>
    <w:bookmarkEnd w:id="32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1"/>
        <w:spacing w:after="0" w:line="242" w:lineRule="auto"/>
        <w:tabs>
          <w:tab w:leader="none" w:pos="195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The Borrower shall pay to the Administrative Agent in Dollars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Such letter of credit fees shall be computed on a quarterly basis in arrears. Such letter of credit fees shall be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234" w:lineRule="exact"/>
        <w:rPr>
          <w:rFonts w:ascii="Arial" w:cs="Arial" w:eastAsia="Arial" w:hAnsi="Arial"/>
          <w:sz w:val="20"/>
          <w:szCs w:val="20"/>
          <w:color w:val="auto"/>
        </w:rPr>
      </w:pPr>
    </w:p>
    <w:p>
      <w:pPr>
        <w:jc w:val="both"/>
        <w:ind w:left="220" w:firstLine="1291"/>
        <w:spacing w:after="0" w:line="272" w:lineRule="auto"/>
        <w:tabs>
          <w:tab w:leader="none" w:pos="194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Issuers</w:t>
      </w:r>
      <w:r>
        <w:rPr>
          <w:rFonts w:ascii="Arial" w:cs="Arial" w:eastAsia="Arial" w:hAnsi="Arial"/>
          <w:sz w:val="18"/>
          <w:szCs w:val="18"/>
          <w:color w:val="auto"/>
        </w:rPr>
        <w:t>. The Borrower shall pay directly to each L/C Issuer for its own account a fronting fee (a “</w:t>
      </w:r>
      <w:r>
        <w:rPr>
          <w:rFonts w:ascii="Arial" w:cs="Arial" w:eastAsia="Arial" w:hAnsi="Arial"/>
          <w:sz w:val="18"/>
          <w:szCs w:val="18"/>
          <w:u w:val="single" w:color="auto"/>
          <w:color w:val="auto"/>
        </w:rPr>
        <w:t>Fronting Fee</w:t>
      </w:r>
      <w:r>
        <w:rPr>
          <w:rFonts w:ascii="Arial" w:cs="Arial" w:eastAsia="Arial" w:hAnsi="Arial"/>
          <w:sz w:val="18"/>
          <w:szCs w:val="18"/>
          <w:color w:val="auto"/>
        </w:rPr>
        <w:t>”) in Dollars with respect to each Letter of Credit issued by it equal to 0.125% per annum of the Dollar Equivalent of the daily maximum amount then available to be drawn under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97" w:lineRule="exact"/>
        <w:rPr>
          <w:rFonts w:ascii="Arial" w:cs="Arial" w:eastAsia="Arial" w:hAnsi="Arial"/>
          <w:sz w:val="18"/>
          <w:szCs w:val="18"/>
          <w:color w:val="auto"/>
        </w:rPr>
      </w:pPr>
    </w:p>
    <w:p>
      <w:pPr>
        <w:jc w:val="both"/>
        <w:ind w:left="220" w:right="20" w:firstLine="1291"/>
        <w:spacing w:after="0" w:line="250" w:lineRule="auto"/>
        <w:tabs>
          <w:tab w:leader="none" w:pos="195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226" w:lineRule="exact"/>
        <w:rPr>
          <w:rFonts w:ascii="Arial" w:cs="Arial" w:eastAsia="Arial" w:hAnsi="Arial"/>
          <w:sz w:val="20"/>
          <w:szCs w:val="20"/>
          <w:color w:val="auto"/>
        </w:rPr>
      </w:pPr>
    </w:p>
    <w:p>
      <w:pPr>
        <w:jc w:val="both"/>
        <w:ind w:left="220" w:right="20" w:firstLine="1290"/>
        <w:spacing w:after="0" w:line="269" w:lineRule="auto"/>
        <w:tabs>
          <w:tab w:leader="none" w:pos="1948"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Addition of an L/C Issuer</w:t>
      </w:r>
      <w:r>
        <w:rPr>
          <w:rFonts w:ascii="Arial" w:cs="Arial" w:eastAsia="Arial" w:hAnsi="Arial"/>
          <w:sz w:val="19"/>
          <w:szCs w:val="19"/>
          <w:color w:val="auto"/>
        </w:rPr>
        <w:t>. A Revolving Credit Lender (or any of its Subsidiaries or affiliates) may become an additional L/C Issuer hereunder pursuant to a written agreement among the Borrower, the Administrative Agent and such Revolving Credit Lender. The Administrative Agent shall notify the Revolving Credit Lenders of any such additional L/C Issuer.</w:t>
      </w:r>
    </w:p>
    <w:p>
      <w:pPr>
        <w:spacing w:after="0" w:line="210" w:lineRule="exact"/>
        <w:rPr>
          <w:rFonts w:ascii="Arial" w:cs="Arial" w:eastAsia="Arial" w:hAnsi="Arial"/>
          <w:sz w:val="19"/>
          <w:szCs w:val="19"/>
          <w:color w:val="auto"/>
        </w:rPr>
      </w:pPr>
    </w:p>
    <w:p>
      <w:pPr>
        <w:jc w:val="both"/>
        <w:ind w:left="220" w:firstLine="1291"/>
        <w:spacing w:after="0" w:line="250" w:lineRule="auto"/>
        <w:tabs>
          <w:tab w:leader="none" w:pos="195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Applicability of ISP and UCP.</w:t>
      </w:r>
      <w:r>
        <w:rPr>
          <w:rFonts w:ascii="Arial" w:cs="Arial" w:eastAsia="Arial" w:hAnsi="Arial"/>
          <w:sz w:val="20"/>
          <w:szCs w:val="20"/>
          <w:color w:val="auto"/>
        </w:rPr>
        <w:t xml:space="preserve"> Unless otherwise expressly agreed by the L/C Issuer and the Borrower when a Letter of Credit is issued (i) the rules of the ISP shall apply to each standby Letter of Credit, and (ii) the rules of the UCP shall apply to each commercial Letter of Credit.</w:t>
      </w:r>
    </w:p>
    <w:p>
      <w:pPr>
        <w:spacing w:after="0" w:line="212" w:lineRule="exact"/>
        <w:rPr>
          <w:rFonts w:ascii="Arial" w:cs="Arial" w:eastAsia="Arial" w:hAnsi="Arial"/>
          <w:sz w:val="20"/>
          <w:szCs w:val="20"/>
          <w:color w:val="auto"/>
        </w:rPr>
      </w:pPr>
    </w:p>
    <w:p>
      <w:pPr>
        <w:ind w:left="2160" w:hanging="650"/>
        <w:spacing w:after="0"/>
        <w:tabs>
          <w:tab w:leader="none" w:pos="216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220" w:firstLine="1290"/>
        <w:spacing w:after="0" w:line="257" w:lineRule="auto"/>
        <w:tabs>
          <w:tab w:leader="none" w:pos="1948"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Replacement of L/C Issuer</w:t>
      </w:r>
      <w:r>
        <w:rPr>
          <w:rFonts w:ascii="Arial" w:cs="Arial" w:eastAsia="Arial" w:hAnsi="Arial"/>
          <w:sz w:val="19"/>
          <w:szCs w:val="19"/>
          <w:color w:val="auto"/>
        </w:rPr>
        <w:t>. Any L/C Issuer may be replaced with another Revolving Credit Lender (or an Affiliate of a Revolving Credit Lender) at any time by written agreement among the Borrower, the Administrative Agent, the Required Revolving Credit Lenders, and the successor L/C Issuer. The Administrative Agent shall notify the Revolving Credit Lenders of any such replacement of such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applicable L/C Issuer under this Agreement with respect to Letters of Credit to be issued thereafter, and (ii) references herein to the term “L/C Issuer” shall be deemed to refer to such successor or to any previous L/C Issuer, or to such successor L/C Issuer and all previous L/C Issuers, as the context shall</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-200-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0" w:name="page331"/>
    <w:bookmarkEnd w:id="33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require. After the replacement of an L/C Issuer hereunder, the replaced L/C Issuer shall remain a party hereto and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-201-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31" w:name="page332"/>
    <w:bookmarkEnd w:id="33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20"/>
        <w:spacing w:after="0" w:line="260" w:lineRule="auto"/>
        <w:rPr>
          <w:sz w:val="20"/>
          <w:szCs w:val="20"/>
          <w:color w:val="auto"/>
        </w:rPr>
      </w:pPr>
      <w:r>
        <w:rPr>
          <w:rFonts w:ascii="Arial" w:cs="Arial" w:eastAsia="Arial" w:hAnsi="Arial"/>
          <w:sz w:val="20"/>
          <w:szCs w:val="20"/>
          <w:color w:val="auto"/>
        </w:rPr>
        <w:t>continue to have all the rights and obligations of an L/C Issuer under this Agreement with respect to Letters of Credit issued by it prior to such replacement but shall not be required to issue additional Letters of Credit.</w:t>
      </w:r>
    </w:p>
    <w:p>
      <w:pPr>
        <w:spacing w:after="0" w:line="21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2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324" w:lineRule="exact"/>
        <w:rPr>
          <w:sz w:val="20"/>
          <w:szCs w:val="20"/>
          <w:color w:val="auto"/>
        </w:rPr>
      </w:pPr>
    </w:p>
    <w:p>
      <w:pPr>
        <w:ind w:left="2140" w:hanging="630"/>
        <w:spacing w:after="0"/>
        <w:tabs>
          <w:tab w:leader="none" w:pos="214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Optional Prepayments</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140" w:firstLine="1426"/>
        <w:spacing w:after="0" w:line="269" w:lineRule="auto"/>
        <w:tabs>
          <w:tab w:leader="none" w:pos="194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by the Borrower, at any time or from time to time voluntarily prepay any Borrowing of any Class in whole or in part without premium or penalty (except as set forth in </w:t>
      </w:r>
      <w:r>
        <w:rPr>
          <w:rFonts w:ascii="Arial" w:cs="Arial" w:eastAsia="Arial" w:hAnsi="Arial"/>
          <w:sz w:val="18"/>
          <w:szCs w:val="18"/>
          <w:u w:val="single" w:color="auto"/>
          <w:color w:val="auto"/>
        </w:rPr>
        <w:t>Section 2.05(a)(iv)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(1) such notice must be received by the Administrative Agent not later than 1:00 p.m., New York City time (A) three (3)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Business Days prior to any date of prepayment of Eurocurrency Rate Loans and (B) on the date of prepayment of Base Rate Loans and (2) any prepayment of Eurocurrency Rate Loans shall be in a principal amount of the Borrowing Minimum or a whole multiple of the Borrowing Multiple in excess thereof,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Eurocurrency Rate Loan shall be accompanied by all accrued interest thereon, together with any additional amounts required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Each prepayment of the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installments thereof as directed by the Borrower (it being understood and agreed that if the Borrower does not so direct at the time of such prepayment, such prepayment shall be applied against the scheduled repayments of Term Loans of the relevant Class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in direct order of maturity) and shall be paid to the Appropriate Lenders in accordance with their respective Applicable Percentages.</w:t>
      </w:r>
    </w:p>
    <w:p>
      <w:pPr>
        <w:spacing w:after="0" w:line="205" w:lineRule="exact"/>
        <w:rPr>
          <w:rFonts w:ascii="Arial" w:cs="Arial" w:eastAsia="Arial" w:hAnsi="Arial"/>
          <w:sz w:val="18"/>
          <w:szCs w:val="18"/>
          <w:color w:val="auto"/>
        </w:rPr>
      </w:pPr>
    </w:p>
    <w:p>
      <w:pPr>
        <w:ind w:left="2080" w:hanging="569"/>
        <w:spacing w:after="0"/>
        <w:tabs>
          <w:tab w:leader="none" w:pos="20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140" w:firstLine="1316"/>
        <w:spacing w:after="0" w:line="250" w:lineRule="auto"/>
        <w:tabs>
          <w:tab w:leader="none" w:pos="1949"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Agreement, the Borrower may rescind any notice of prepayment under </w:t>
      </w:r>
      <w:r>
        <w:rPr>
          <w:rFonts w:ascii="Arial" w:cs="Arial" w:eastAsia="Arial" w:hAnsi="Arial"/>
          <w:sz w:val="20"/>
          <w:szCs w:val="20"/>
          <w:u w:val="single" w:color="auto"/>
          <w:color w:val="auto"/>
        </w:rPr>
        <w:t>Section 2.05(a)</w:t>
      </w:r>
      <w:r>
        <w:rPr>
          <w:rFonts w:ascii="Arial" w:cs="Arial" w:eastAsia="Arial" w:hAnsi="Arial"/>
          <w:sz w:val="20"/>
          <w:szCs w:val="20"/>
          <w:color w:val="auto"/>
        </w:rPr>
        <w:t xml:space="preserve"> if such prepayment would have resulted from a refinancing of all of the Facilities, which refinancing shall not be consummated or shall otherwise be delayed.</w:t>
      </w:r>
    </w:p>
    <w:p>
      <w:pPr>
        <w:spacing w:after="0" w:line="226" w:lineRule="exact"/>
        <w:rPr>
          <w:rFonts w:ascii="Arial" w:cs="Arial" w:eastAsia="Arial" w:hAnsi="Arial"/>
          <w:sz w:val="20"/>
          <w:szCs w:val="20"/>
          <w:color w:val="auto"/>
        </w:rPr>
      </w:pPr>
    </w:p>
    <w:p>
      <w:pPr>
        <w:jc w:val="both"/>
        <w:ind w:left="140" w:firstLine="1327"/>
        <w:spacing w:after="0" w:line="276" w:lineRule="auto"/>
        <w:tabs>
          <w:tab w:leader="none" w:pos="194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the event that the Borrower (x) makes any prepayment of any Class of Initial Term Loans in connection with any Repricing Transaction or (y) effects any amendment of this Agreement resulting in a Repricing Transaction with respect to any Class of Initial Term Loans, in each case prior to the six (6) month anniversary of the Amendment No. 1 Effective Date, the Borrower shall pay a premium in an amount equal to 1.00% of (A) in the case of clause (x), the amount of such Initial Term Loans being prepaid or (B) in the case of clause (y), the aggregate amount of the applicable Initial Term Loans outstanding immediately prior to such amendment, in each case to the Administrative Agent, for the ratable account of each of the applicable Initial Term Lenders.</w:t>
      </w:r>
    </w:p>
    <w:p>
      <w:pPr>
        <w:spacing w:after="0" w:line="191" w:lineRule="exact"/>
        <w:rPr>
          <w:rFonts w:ascii="Arial" w:cs="Arial" w:eastAsia="Arial" w:hAnsi="Arial"/>
          <w:sz w:val="18"/>
          <w:szCs w:val="18"/>
          <w:color w:val="auto"/>
        </w:rPr>
      </w:pPr>
    </w:p>
    <w:p>
      <w:pPr>
        <w:ind w:left="2140" w:hanging="630"/>
        <w:spacing w:after="0"/>
        <w:tabs>
          <w:tab w:leader="none" w:pos="214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-202-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2" w:name="page333"/>
    <w:bookmarkEnd w:id="33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firstLine="1426"/>
        <w:spacing w:after="0" w:line="250" w:lineRule="auto"/>
        <w:tabs>
          <w:tab w:leader="none" w:pos="1832"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Within ten (10) Business Days after financial statements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and the related Compliance Certificate has been delivered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 commencing with the fiscal year ending December 31, 2021, the Borrower shall cause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-203-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306" w:lineRule="auto"/>
        <w:rPr>
          <w:sz w:val="20"/>
          <w:szCs w:val="20"/>
          <w:color w:val="auto"/>
        </w:rPr>
      </w:pPr>
      <w:r>
        <w:rPr>
          <w:rFonts w:ascii="Arial" w:cs="Arial" w:eastAsia="Arial" w:hAnsi="Arial"/>
          <w:sz w:val="16"/>
          <w:szCs w:val="16"/>
          <w:color w:val="auto"/>
        </w:rPr>
        <w:t>be prepaid an aggregate principal amount of Term Loans equal to (A) 50% (such percentage as it may be reduced as described below, the “</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of Excess Cash Flow, if any, for the fiscal year covered by such financial statements, if the extent Excess Cash Flow for such period exceeds $5,000,000 and then, only to the extent of the amount in excess of $5,000,000,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at the Borrower’s option,</w:t>
      </w:r>
    </w:p>
    <w:p>
      <w:pPr>
        <w:ind w:left="440" w:hanging="306"/>
        <w:spacing w:after="0"/>
        <w:tabs>
          <w:tab w:leader="none" w:pos="44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the sum of (i)</w:t>
      </w:r>
    </w:p>
    <w:p>
      <w:pPr>
        <w:jc w:val="both"/>
        <w:ind w:left="140" w:hanging="7"/>
        <w:spacing w:after="0" w:line="268" w:lineRule="auto"/>
        <w:tabs>
          <w:tab w:leader="none" w:pos="65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all voluntary prepayments of Term Loans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(y) voluntary prepayments of other Indebtedness permitted hereunder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Secured Obligations (including, in the case of clauses (x) and (y), any debt buyback or prepayments at a discount to par under such facilities, with credit given for the actual amount of the cash payment) and (ii) all voluntary prepayments of Revolving Credit Loans and Swing Line Loans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to the extent the Revolving Credit Commitments are permanently reduced by the amount of such payments or to the extent drawn to account for any additional OID or upfront fees that are implemented pursuant to the “market flex” provisions of the Fee Letter (or, in each case, any Credit Agreement Refinancing Indebtedness in respect thereof), in the case of each of the immediately preceding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to the extent such prepayments are not funded with the proceeds of Indebtedness;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(x) the ECF Percentage shall be 25% if the Consolidated First Lien Secured Leverage Ratio (after giving effect to any prepayment of Loans after such year as contemplated above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as of the last day of the fiscal year covered by such financial statements was less than 2.30:1.00 and greater than or equal to 1.80:1.00 and (y) the ECF Percentage shall be 0% if the Consolidated First Lien Secured Leverage Ratio (after giving effect to any prepayment of Loans after such year as contemplated above in </w:t>
      </w:r>
      <w:r>
        <w:rPr>
          <w:rFonts w:ascii="Arial" w:cs="Arial" w:eastAsia="Arial" w:hAnsi="Arial"/>
          <w:sz w:val="18"/>
          <w:szCs w:val="18"/>
          <w:u w:val="single" w:color="auto"/>
          <w:color w:val="auto"/>
        </w:rPr>
        <w:t>clause (B)</w:t>
      </w:r>
      <w:r>
        <w:rPr>
          <w:rFonts w:ascii="Arial" w:cs="Arial" w:eastAsia="Arial" w:hAnsi="Arial"/>
          <w:sz w:val="18"/>
          <w:szCs w:val="18"/>
          <w:color w:val="auto"/>
        </w:rPr>
        <w:t>) as of the last day of the fiscal year covered by such financial statements was less than 1.80:1.00.</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940" w:hanging="428"/>
        <w:spacing w:after="0"/>
        <w:tabs>
          <w:tab w:leader="none" w:pos="1940" w:val="left"/>
        </w:tabs>
        <w:numPr>
          <w:ilvl w:val="3"/>
          <w:numId w:val="203"/>
        </w:numPr>
        <w:rPr>
          <w:rFonts w:ascii="Arial" w:cs="Arial" w:eastAsia="Arial" w:hAnsi="Arial"/>
          <w:sz w:val="18"/>
          <w:szCs w:val="18"/>
          <w:color w:val="auto"/>
        </w:rPr>
      </w:pPr>
      <w:r>
        <w:rPr>
          <w:rFonts w:ascii="Arial" w:cs="Arial" w:eastAsia="Arial" w:hAnsi="Arial"/>
          <w:sz w:val="18"/>
          <w:szCs w:val="18"/>
          <w:color w:val="auto"/>
        </w:rPr>
        <w:t xml:space="preserve">(A) Subject to </w:t>
      </w:r>
      <w:r>
        <w:rPr>
          <w:rFonts w:ascii="Arial" w:cs="Arial" w:eastAsia="Arial" w:hAnsi="Arial"/>
          <w:sz w:val="18"/>
          <w:szCs w:val="18"/>
          <w:u w:val="single" w:color="auto"/>
          <w:color w:val="auto"/>
        </w:rPr>
        <w:t>Section 2.05(b)(ii)(B)</w:t>
      </w:r>
      <w:r>
        <w:rPr>
          <w:rFonts w:ascii="Arial" w:cs="Arial" w:eastAsia="Arial" w:hAnsi="Arial"/>
          <w:sz w:val="18"/>
          <w:szCs w:val="18"/>
          <w:color w:val="auto"/>
        </w:rPr>
        <w:t>, and any Customary Intercreditor Agreement, if following the Closing Date</w:t>
      </w:r>
    </w:p>
    <w:p>
      <w:pPr>
        <w:spacing w:after="0" w:line="38" w:lineRule="exact"/>
        <w:rPr>
          <w:rFonts w:ascii="Arial" w:cs="Arial" w:eastAsia="Arial" w:hAnsi="Arial"/>
          <w:sz w:val="18"/>
          <w:szCs w:val="18"/>
          <w:color w:val="auto"/>
        </w:rPr>
      </w:pPr>
    </w:p>
    <w:p>
      <w:pPr>
        <w:jc w:val="both"/>
        <w:ind w:left="140" w:hanging="6"/>
        <w:spacing w:after="0" w:line="252" w:lineRule="auto"/>
        <w:tabs>
          <w:tab w:leader="none" w:pos="453"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Holdings, the Borrower or any Restricted Subsidiary consummates any non-ordinary course sale, transfer or other disposition of property or assets permitted by </w:t>
      </w:r>
      <w:r>
        <w:rPr>
          <w:rFonts w:ascii="Arial" w:cs="Arial" w:eastAsia="Arial" w:hAnsi="Arial"/>
          <w:sz w:val="19"/>
          <w:szCs w:val="19"/>
          <w:u w:val="single" w:color="auto"/>
          <w:color w:val="auto"/>
        </w:rPr>
        <w:t>Section 7.05(a)(ii)</w:t>
      </w:r>
      <w:r>
        <w:rPr>
          <w:rFonts w:ascii="Arial" w:cs="Arial" w:eastAsia="Arial" w:hAnsi="Arial"/>
          <w:sz w:val="19"/>
          <w:szCs w:val="19"/>
          <w:color w:val="auto"/>
        </w:rPr>
        <w:t xml:space="preserve"> and clauses (7) though (28) of the definition of Asset Disposition, or (y) any Casualty Event occurs, which in the aggregate results in the realization or receipt by Holdings, the Borrower or such Restricted Subsidiary of Net Available Cash in excess of $5,000,000 (and then, only to the extent of the amount in excess of</w:t>
      </w:r>
    </w:p>
    <w:p>
      <w:pPr>
        <w:jc w:val="both"/>
        <w:ind w:left="140"/>
        <w:spacing w:after="0" w:line="254" w:lineRule="auto"/>
        <w:rPr>
          <w:rFonts w:ascii="Arial" w:cs="Arial" w:eastAsia="Arial" w:hAnsi="Arial"/>
          <w:sz w:val="19"/>
          <w:szCs w:val="19"/>
          <w:color w:val="auto"/>
        </w:rPr>
      </w:pPr>
      <w:r>
        <w:rPr>
          <w:rFonts w:ascii="Arial" w:cs="Arial" w:eastAsia="Arial" w:hAnsi="Arial"/>
          <w:sz w:val="19"/>
          <w:szCs w:val="19"/>
          <w:color w:val="auto"/>
        </w:rPr>
        <w:t xml:space="preserve">$5,000,000) in the case of each of, a single Asset Disposition or Casualty Event or series of related Asset Dispositions or Casualty Events, the Borrower shall make a prepayment, in accordance with </w:t>
      </w:r>
      <w:r>
        <w:rPr>
          <w:rFonts w:ascii="Arial" w:cs="Arial" w:eastAsia="Arial" w:hAnsi="Arial"/>
          <w:sz w:val="19"/>
          <w:szCs w:val="19"/>
          <w:u w:val="single" w:color="auto"/>
          <w:color w:val="auto"/>
        </w:rPr>
        <w:t>Section 2.05(b)(ii)(C)</w:t>
      </w:r>
      <w:r>
        <w:rPr>
          <w:rFonts w:ascii="Arial" w:cs="Arial" w:eastAsia="Arial" w:hAnsi="Arial"/>
          <w:sz w:val="19"/>
          <w:szCs w:val="19"/>
          <w:color w:val="auto"/>
        </w:rPr>
        <w:t>, of an aggregate principal amount of Term Loans equal to such Net Available Cash (the “</w:t>
      </w:r>
      <w:r>
        <w:rPr>
          <w:rFonts w:ascii="Arial" w:cs="Arial" w:eastAsia="Arial" w:hAnsi="Arial"/>
          <w:sz w:val="19"/>
          <w:szCs w:val="19"/>
          <w:u w:val="single" w:color="auto"/>
          <w:color w:val="auto"/>
        </w:rPr>
        <w:t>Applicable Proceeds</w:t>
      </w:r>
      <w:r>
        <w:rPr>
          <w:rFonts w:ascii="Arial" w:cs="Arial" w:eastAsia="Arial" w:hAnsi="Arial"/>
          <w:sz w:val="19"/>
          <w:szCs w:val="19"/>
          <w:color w:val="auto"/>
        </w:rPr>
        <w:t xml:space="preserve">”) realized or received;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prepayment shall be required pursuant to this </w:t>
      </w:r>
      <w:r>
        <w:rPr>
          <w:rFonts w:ascii="Arial" w:cs="Arial" w:eastAsia="Arial" w:hAnsi="Arial"/>
          <w:sz w:val="19"/>
          <w:szCs w:val="19"/>
          <w:u w:val="single" w:color="auto"/>
          <w:color w:val="auto"/>
        </w:rPr>
        <w:t>Section 2.05(b)(ii)(A)</w:t>
      </w:r>
      <w:r>
        <w:rPr>
          <w:rFonts w:ascii="Arial" w:cs="Arial" w:eastAsia="Arial" w:hAnsi="Arial"/>
          <w:sz w:val="19"/>
          <w:szCs w:val="19"/>
          <w:color w:val="auto"/>
        </w:rPr>
        <w:t xml:space="preserve"> (I) with respect to such portion of such Net Available Cash that the Borrower intends to reinvest in accordance with </w:t>
      </w:r>
      <w:r>
        <w:rPr>
          <w:rFonts w:ascii="Arial" w:cs="Arial" w:eastAsia="Arial" w:hAnsi="Arial"/>
          <w:sz w:val="19"/>
          <w:szCs w:val="19"/>
          <w:u w:val="single" w:color="auto"/>
          <w:color w:val="auto"/>
        </w:rPr>
        <w:t>Section 2.05(b)(ii)(B)</w:t>
      </w:r>
      <w:r>
        <w:rPr>
          <w:rFonts w:ascii="Arial" w:cs="Arial" w:eastAsia="Arial" w:hAnsi="Arial"/>
          <w:sz w:val="19"/>
          <w:szCs w:val="19"/>
          <w:color w:val="auto"/>
        </w:rPr>
        <w:t xml:space="preserve">, (II) until the aggregate amount of Net Available Cash is reinvested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2.05(b)(ii)(B)</w:t>
      </w:r>
      <w:r>
        <w:rPr>
          <w:rFonts w:ascii="Arial" w:cs="Arial" w:eastAsia="Arial" w:hAnsi="Arial"/>
          <w:sz w:val="19"/>
          <w:szCs w:val="19"/>
          <w:color w:val="auto"/>
        </w:rPr>
        <w:t xml:space="preserve"> within the time periods set forth therein or (III) with respect to such portion of such Net Available Cash that is used to repay Other Applicable Indebtedness as permitted under </w:t>
      </w:r>
      <w:r>
        <w:rPr>
          <w:rFonts w:ascii="Arial" w:cs="Arial" w:eastAsia="Arial" w:hAnsi="Arial"/>
          <w:sz w:val="19"/>
          <w:szCs w:val="19"/>
          <w:u w:val="single" w:color="auto"/>
          <w:color w:val="auto"/>
        </w:rPr>
        <w:t>Section 2.05(b)(ii)(C)</w:t>
      </w:r>
      <w:r>
        <w:rPr>
          <w:rFonts w:ascii="Arial" w:cs="Arial" w:eastAsia="Arial" w:hAnsi="Arial"/>
          <w:sz w:val="19"/>
          <w:szCs w:val="19"/>
          <w:color w:val="auto"/>
        </w:rPr>
        <w:t>.</w:t>
      </w:r>
    </w:p>
    <w:p>
      <w:pPr>
        <w:spacing w:after="0" w:line="295" w:lineRule="exact"/>
        <w:rPr>
          <w:rFonts w:ascii="Arial" w:cs="Arial" w:eastAsia="Arial" w:hAnsi="Arial"/>
          <w:sz w:val="19"/>
          <w:szCs w:val="19"/>
          <w:color w:val="auto"/>
        </w:rPr>
      </w:pPr>
    </w:p>
    <w:p>
      <w:pPr>
        <w:jc w:val="both"/>
        <w:ind w:left="140" w:firstLine="1289"/>
        <w:spacing w:after="0" w:line="263" w:lineRule="auto"/>
        <w:tabs>
          <w:tab w:leader="none" w:pos="1956" w:val="left"/>
        </w:tabs>
        <w:numPr>
          <w:ilvl w:val="2"/>
          <w:numId w:val="204"/>
        </w:numPr>
        <w:rPr>
          <w:rFonts w:ascii="Arial" w:cs="Arial" w:eastAsia="Arial" w:hAnsi="Arial"/>
          <w:sz w:val="19"/>
          <w:szCs w:val="19"/>
          <w:color w:val="auto"/>
        </w:rPr>
      </w:pPr>
      <w:r>
        <w:rPr>
          <w:rFonts w:ascii="Arial" w:cs="Arial" w:eastAsia="Arial" w:hAnsi="Arial"/>
          <w:sz w:val="19"/>
          <w:szCs w:val="19"/>
          <w:color w:val="auto"/>
        </w:rPr>
        <w:t xml:space="preserve">With respect to any Applicable Proceeds realized or received with respect to any Asset Disposition (other than any Asset Disposition specifically excluded from the application of </w:t>
      </w:r>
      <w:r>
        <w:rPr>
          <w:rFonts w:ascii="Arial" w:cs="Arial" w:eastAsia="Arial" w:hAnsi="Arial"/>
          <w:sz w:val="19"/>
          <w:szCs w:val="19"/>
          <w:u w:val="single" w:color="auto"/>
          <w:color w:val="auto"/>
        </w:rPr>
        <w:t>Section 2.05(b)(ii)(A)</w:t>
      </w:r>
      <w:r>
        <w:rPr>
          <w:rFonts w:ascii="Arial" w:cs="Arial" w:eastAsia="Arial" w:hAnsi="Arial"/>
          <w:sz w:val="19"/>
          <w:szCs w:val="19"/>
          <w:color w:val="auto"/>
        </w:rPr>
        <w:t>) or any Casualty Event, at the option of the Borrower, the Borrower may (x) reinvest (including capital expenditures) an amount equal to all or any portion of such Applicable Proceeds in (i) Additional Assets (including by means of an investment in Additional Assets by a Restricted Subsidiary)</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-204-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4" w:name="page335"/>
    <w:bookmarkEnd w:id="33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or (ii) in any one or more businesses (provided such business will be a Restricted Subsidiary) within twelve</w:t>
      </w:r>
    </w:p>
    <w:p>
      <w:pPr>
        <w:spacing w:after="0" w:line="16" w:lineRule="exact"/>
        <w:rPr>
          <w:sz w:val="20"/>
          <w:szCs w:val="20"/>
          <w:color w:val="auto"/>
        </w:rPr>
      </w:pPr>
    </w:p>
    <w:p>
      <w:pPr>
        <w:jc w:val="both"/>
        <w:ind w:left="140" w:hanging="7"/>
        <w:spacing w:after="0" w:line="241" w:lineRule="auto"/>
        <w:tabs>
          <w:tab w:leader="none" w:pos="54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months (or one hundred eighty (180) days after the twelve (12) month period following receipt of such Applicable Proceeds if a contractual commitment to reinvest is entered into within twelve (12) months) following receipt of such Applicable Proceeds or (y) such Applicable Proceeds shall be deemed to have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-205-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5" w:name="page336"/>
    <w:bookmarkEnd w:id="33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6" w:lineRule="auto"/>
        <w:rPr>
          <w:sz w:val="20"/>
          <w:szCs w:val="20"/>
          <w:color w:val="auto"/>
        </w:rPr>
      </w:pPr>
      <w:r>
        <w:rPr>
          <w:rFonts w:ascii="Arial" w:cs="Arial" w:eastAsia="Arial" w:hAnsi="Arial"/>
          <w:sz w:val="18"/>
          <w:szCs w:val="18"/>
          <w:color w:val="auto"/>
        </w:rPr>
        <w:t xml:space="preserve">been reinvested in assets used or useful in the business of Holdings, the Borrower or any Restricted Subsidiary (including pursuant to a Permitted Acquisition, Investment or capital expenditure) pursuant to any such investment occurring in the 90 days preceding the date of receipt of such Available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Applicable Proceeds are not so reinvested by the deadline specified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above, as applicable, or if any such Applicable Proceeds are no longer intended to be or cannot be so reinvested at any time after delivery of a notice of reinvestment election, an amount equal to such Applicable Proceeds shall be applied,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2.05(b)(ii)(C)</w:t>
      </w:r>
      <w:r>
        <w:rPr>
          <w:rFonts w:ascii="Arial" w:cs="Arial" w:eastAsia="Arial" w:hAnsi="Arial"/>
          <w:sz w:val="18"/>
          <w:szCs w:val="18"/>
          <w:color w:val="auto"/>
        </w:rPr>
        <w:t xml:space="preserve">, to the prepayment of the Term Loans as set forth in this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86" w:lineRule="exact"/>
        <w:rPr>
          <w:sz w:val="20"/>
          <w:szCs w:val="20"/>
          <w:color w:val="auto"/>
        </w:rPr>
      </w:pPr>
    </w:p>
    <w:p>
      <w:pPr>
        <w:jc w:val="both"/>
        <w:ind w:left="140" w:firstLine="1289"/>
        <w:spacing w:after="0" w:line="268" w:lineRule="auto"/>
        <w:tabs>
          <w:tab w:leader="none" w:pos="19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On each occasion that the Borrower must make a prepayment of the Term Loans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Borrower shall, within ten (10) Business Days after the date of realization or receipt of such Applicable Proceeds (or, in the case of prepayments required pursuant to </w:t>
      </w:r>
      <w:r>
        <w:rPr>
          <w:rFonts w:ascii="Arial" w:cs="Arial" w:eastAsia="Arial" w:hAnsi="Arial"/>
          <w:sz w:val="18"/>
          <w:szCs w:val="18"/>
          <w:u w:val="single" w:color="auto"/>
          <w:color w:val="auto"/>
        </w:rPr>
        <w:t>Section 2.05(b)(ii)(B)</w:t>
      </w:r>
      <w:r>
        <w:rPr>
          <w:rFonts w:ascii="Arial" w:cs="Arial" w:eastAsia="Arial" w:hAnsi="Arial"/>
          <w:sz w:val="18"/>
          <w:szCs w:val="18"/>
          <w:color w:val="auto"/>
        </w:rPr>
        <w:t xml:space="preserve">, within ten (10) Business Days of the deadline specified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thereof, as applicable, or of the date the Borrower reasonably determines that such Applicable Proceeds are no longer intended to be or cannot be so reinvested, as the case may be), make a prepayment, in accordance with </w:t>
      </w:r>
      <w:r>
        <w:rPr>
          <w:rFonts w:ascii="Arial" w:cs="Arial" w:eastAsia="Arial" w:hAnsi="Arial"/>
          <w:sz w:val="18"/>
          <w:szCs w:val="18"/>
          <w:u w:val="single" w:color="auto"/>
          <w:color w:val="auto"/>
        </w:rPr>
        <w:t>Section 2.05(b)(v)</w:t>
      </w:r>
      <w:r>
        <w:rPr>
          <w:rFonts w:ascii="Arial" w:cs="Arial" w:eastAsia="Arial" w:hAnsi="Arial"/>
          <w:sz w:val="18"/>
          <w:szCs w:val="18"/>
          <w:color w:val="auto"/>
        </w:rPr>
        <w:t xml:space="preserve"> below, of the principal amount of Term Loans in an amount equal to such Applicable Proceeds realized or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prepayment required by Section 2.05(b)(ii)(A), the Borrower may use a portion of such Applicable Proceeds to prepay or repurchase Indebtedness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securing the Secured Obligations (the “</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to the extent required pursuant to the terms of the documentation governing such Other Applicable Indebtedness, in which case, the amount of prepayment required to be made with respect to such Applicable Proceeds pursuant to this Section 2.05(b)(ii)(C) shall be deemed to be the amount equal to the product of (x) the amount of such Applicable Proceeds required to be repaid by (y) a fraction, the numerator of which is the outstanding principal amount of Term Loans required to be prepaid pursuant to this Section 2.05(b)(ii)(C) and the denominator of which is the sum of the outstanding principal amount of such Other Applicable Indebtedness required to be prepaid pursuant to the terms of the documents governing such Other Applicable Indebtedness and the outstanding principal amount of Term Loans required to be prepaid pursuant to this paragraph (for the avoidance of doubt, amounts described in this clause (y) in the calculation of such fraction shall be deemed to refer to then outstanding principal amount of such Indebtedness subject to such prepayment requirement, prior to giving effect to any reduction in the amount thereof as the result of such prepayment) and to the extent that the holders of Other Applicable Indebtedness do not accept such prepayment or repurchase, the amount that would otherwise be used to prepay or repurchase such Other Applicable Indebtedness shall be applied to prepayment of the Term Loans in accordance with Section </w:t>
      </w:r>
      <w:r>
        <w:rPr>
          <w:rFonts w:ascii="Arial" w:cs="Arial" w:eastAsia="Arial" w:hAnsi="Arial"/>
          <w:sz w:val="18"/>
          <w:szCs w:val="18"/>
          <w:u w:val="single" w:color="auto"/>
          <w:color w:val="auto"/>
        </w:rPr>
        <w:t>2.05(b)(v)</w:t>
      </w:r>
      <w:r>
        <w:rPr>
          <w:rFonts w:ascii="Arial" w:cs="Arial" w:eastAsia="Arial" w:hAnsi="Arial"/>
          <w:sz w:val="18"/>
          <w:szCs w:val="18"/>
          <w:color w:val="auto"/>
        </w:rPr>
        <w:t xml:space="preserve"> below.</w:t>
      </w:r>
    </w:p>
    <w:p>
      <w:pPr>
        <w:spacing w:after="0" w:line="291" w:lineRule="exact"/>
        <w:rPr>
          <w:sz w:val="20"/>
          <w:szCs w:val="20"/>
          <w:color w:val="auto"/>
        </w:rPr>
      </w:pPr>
    </w:p>
    <w:p>
      <w:pPr>
        <w:jc w:val="both"/>
        <w:ind w:left="140" w:firstLine="1316"/>
        <w:spacing w:after="0" w:line="255" w:lineRule="auto"/>
        <w:tabs>
          <w:tab w:leader="none" w:pos="194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If, following the Closing Date, (I) Holdings or any Restricted Subsidiary incurs or issues any (A) Refinancing Term Loans, (B) Refinancing Indebtedness with respect to Indebtedness permitted pursuant to </w:t>
      </w:r>
      <w:r>
        <w:rPr>
          <w:rFonts w:ascii="Arial" w:cs="Arial" w:eastAsia="Arial" w:hAnsi="Arial"/>
          <w:sz w:val="19"/>
          <w:szCs w:val="19"/>
          <w:u w:val="single" w:color="auto"/>
          <w:color w:val="auto"/>
        </w:rPr>
        <w:t>Section 7.03(b)(i)</w:t>
      </w:r>
      <w:r>
        <w:rPr>
          <w:rFonts w:ascii="Arial" w:cs="Arial" w:eastAsia="Arial" w:hAnsi="Arial"/>
          <w:sz w:val="19"/>
          <w:szCs w:val="19"/>
          <w:color w:val="auto"/>
        </w:rPr>
        <w:t xml:space="preserve"> or (C) Indebtedness not expressly permitted to be incurred or issued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the Borrower shall cause to be prepaid an aggregate principal amount of Term Loans equal to 100.0% of all Net Available Cash received therefrom (x) in the case of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concurrently with the receipt of such net Available Cash or (y) in the case of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on or prior to the date which is one (1) Business Day after the receipt of such Net Available Cash or (II) Holdings consummates an IPO, the Borrower shall cause to be prepaid an aggregate principal amount of Term Loans equal to 100.0% of all Net Available Cash received in connection with such IPO (up to $105.0 million) on or prior to the date that is five (5) Business Days following the consummation of such IPO. If the Borrower obtains any Refinancing Revolving Credit Commitments, the Borrower shall, concurrently with the receipt thereof, terminate Revolving Credit Commitments in an equivalent amount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-206-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6" w:name="page337"/>
    <w:bookmarkEnd w:id="33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firstLine="1328"/>
        <w:spacing w:after="0" w:line="250" w:lineRule="auto"/>
        <w:tabs>
          <w:tab w:leader="none" w:pos="194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Each prepayment of Term Loans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on a pro rata basis to each Class of Term Loans and within each Class of Term Loans, as directed by the Borrower or, in the case of no direction, </w:t>
      </w:r>
      <w:r>
        <w:rPr>
          <w:rFonts w:ascii="Arial" w:cs="Arial" w:eastAsia="Arial" w:hAnsi="Arial"/>
          <w:sz w:val="20"/>
          <w:szCs w:val="20"/>
          <w:u w:val="single" w:color="auto"/>
          <w:color w:val="auto"/>
        </w:rPr>
        <w:t>first</w:t>
      </w:r>
      <w:r>
        <w:rPr>
          <w:rFonts w:ascii="Arial" w:cs="Arial" w:eastAsia="Arial" w:hAnsi="Arial"/>
          <w:sz w:val="20"/>
          <w:szCs w:val="20"/>
          <w:color w:val="auto"/>
        </w:rPr>
        <w:t>, to the installments thereof pro rata in direct order of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-207-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7" w:name="page338"/>
    <w:bookmarkEnd w:id="33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6" w:lineRule="auto"/>
        <w:rPr>
          <w:sz w:val="20"/>
          <w:szCs w:val="20"/>
          <w:color w:val="auto"/>
        </w:rPr>
      </w:pPr>
      <w:r>
        <w:rPr>
          <w:rFonts w:ascii="Arial" w:cs="Arial" w:eastAsia="Arial" w:hAnsi="Arial"/>
          <w:sz w:val="18"/>
          <w:szCs w:val="18"/>
          <w:color w:val="auto"/>
        </w:rPr>
        <w:t xml:space="preserve">for the next four scheduled payments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following the applicable prepayment event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remaining installments thereof pro rata;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mandatory prepayment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be applied on a pro rata basis to each Class of Initial Term Loans and, except to the extent a lesser prepayment is required pursuant to the applicable Incremental Facility Amendment or Extension Offer with respect to any applicable Class of Incremental Term Loans or Extended Term Loans, any Incremental Term Loans and Extended Term Loans. Each such prepayment of any Class of Term Loans shall be paid to the Lenders in accordance with their respective Applicable Percentages 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86" w:lineRule="exact"/>
        <w:rPr>
          <w:sz w:val="20"/>
          <w:szCs w:val="20"/>
          <w:color w:val="auto"/>
        </w:rPr>
      </w:pPr>
    </w:p>
    <w:p>
      <w:pPr>
        <w:jc w:val="both"/>
        <w:ind w:left="140" w:firstLine="1383"/>
        <w:spacing w:after="0" w:line="270" w:lineRule="auto"/>
        <w:tabs>
          <w:tab w:leader="none" w:pos="1947" w:val="left"/>
        </w:tabs>
        <w:numPr>
          <w:ilvl w:val="2"/>
          <w:numId w:val="209"/>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in writing of any mandatory prepayment of Term Loans required to be made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prior to 1:00 p.m. at least one (1) Business Day prior to the date of such prepayment.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Applicable Percentage of the prepayment with respect to any Class of Term Loans. Each Appropriate Lender may reject all or a portion of its Applicable Percentage of any mandatory prepayment (such declined amounts, the “</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by providing written notice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to the Administrative Agent and the Borrower no later than 5:00 p.m. three (3) Business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w:t>
      </w:r>
    </w:p>
    <w:p>
      <w:pPr>
        <w:spacing w:after="0" w:line="280" w:lineRule="exact"/>
        <w:rPr>
          <w:rFonts w:ascii="Arial" w:cs="Arial" w:eastAsia="Arial" w:hAnsi="Arial"/>
          <w:sz w:val="18"/>
          <w:szCs w:val="18"/>
          <w:color w:val="auto"/>
        </w:rPr>
      </w:pPr>
    </w:p>
    <w:p>
      <w:pPr>
        <w:jc w:val="both"/>
        <w:ind w:left="140" w:firstLine="1328"/>
        <w:spacing w:after="0" w:line="267" w:lineRule="auto"/>
        <w:tabs>
          <w:tab w:leader="none" w:pos="194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 to the extent that any or all of the Net Available Cash of any Asset Disposition by a Foreign Subsidiary otherwise giving rise to a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Disposition</w:t>
      </w:r>
      <w:r>
        <w:rPr>
          <w:rFonts w:ascii="Arial" w:cs="Arial" w:eastAsia="Arial" w:hAnsi="Arial"/>
          <w:sz w:val="18"/>
          <w:szCs w:val="18"/>
          <w:color w:val="auto"/>
        </w:rPr>
        <w:t>”), the Net Available Cash of any Casualty Event of a Foreign Subsidiary (a “</w:t>
      </w:r>
      <w:r>
        <w:rPr>
          <w:rFonts w:ascii="Arial" w:cs="Arial" w:eastAsia="Arial" w:hAnsi="Arial"/>
          <w:sz w:val="18"/>
          <w:szCs w:val="18"/>
          <w:u w:val="single" w:color="auto"/>
          <w:color w:val="auto"/>
        </w:rPr>
        <w:t>Restricted Casualty Event</w:t>
      </w:r>
      <w:r>
        <w:rPr>
          <w:rFonts w:ascii="Arial" w:cs="Arial" w:eastAsia="Arial" w:hAnsi="Arial"/>
          <w:sz w:val="18"/>
          <w:szCs w:val="18"/>
          <w:color w:val="auto"/>
        </w:rPr>
        <w:t xml:space="preserve">”) or Excess Cash Flow attributable to Foreign Subsidiaries would be prohibited or delayed by applicable local law from being distributed or otherwise transferred to the Borrower, the realization or receipt of the portion of such Net Available Cash or Excess Cash Flow so affected will not be taken into account in measuring the Borrower’s obligation to repay Term Loans at the times provided in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or the Borrower shall not be required to make a prepayment at the time provided in </w:t>
      </w:r>
      <w:r>
        <w:rPr>
          <w:rFonts w:ascii="Arial" w:cs="Arial" w:eastAsia="Arial" w:hAnsi="Arial"/>
          <w:sz w:val="18"/>
          <w:szCs w:val="18"/>
          <w:u w:val="single" w:color="auto"/>
          <w:color w:val="auto"/>
        </w:rPr>
        <w:t>Section 2.05(b)(ii)</w:t>
      </w:r>
      <w:r>
        <w:rPr>
          <w:rFonts w:ascii="Arial" w:cs="Arial" w:eastAsia="Arial" w:hAnsi="Arial"/>
          <w:sz w:val="18"/>
          <w:szCs w:val="18"/>
          <w:color w:val="auto"/>
        </w:rPr>
        <w:t>, as the case may be, for so long, but only so long, as the applicable local law will not permit such distribution or transfer (the Borrower hereby agreeing to cause the applicable Foreign Subsidiary to promptly take all commercially reasonable actions available under the applicable local law to permit such repatriation), and once distribution or transfer of any of such affected Net Available Cash or Excess Cash Flow is permitted under the applicable local law, the amount of such Net Available Cash or Excess Cash Flow permitted to be distributed or transferred (net of additional taxes payable or reserved against as a result thereof) will be promptly (and in any event not later than three</w:t>
      </w:r>
    </w:p>
    <w:p>
      <w:pPr>
        <w:spacing w:after="0" w:line="6" w:lineRule="exact"/>
        <w:rPr>
          <w:rFonts w:ascii="Arial" w:cs="Arial" w:eastAsia="Arial" w:hAnsi="Arial"/>
          <w:sz w:val="18"/>
          <w:szCs w:val="18"/>
          <w:color w:val="auto"/>
        </w:rPr>
      </w:pPr>
    </w:p>
    <w:p>
      <w:pPr>
        <w:jc w:val="both"/>
        <w:ind w:left="140" w:hanging="7"/>
        <w:spacing w:after="0" w:line="256" w:lineRule="auto"/>
        <w:tabs>
          <w:tab w:leader="none" w:pos="42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Business Days after such distribution or transfer is permitted) taken into account in measuring the Borrower’s obligation to repay the Term Loans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to the extent provided herein, and (ii) to the extent that the Borrower has determined in good faith that repatriation of any or all of the Net Available Cash of any Restricted Disposition or any Restricted Casualty Event or Excess Cash Flow, in each case attributable to Foreign Subsidiaries, would have (x) an adverse tax consequence that is not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(including any withholding tax and taking into account any foreign tax credit or benefit</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-208-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8" w:name="page339"/>
    <w:bookmarkEnd w:id="33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received in connection with such repatriation) or (y) would be material constituent document restrictions (as a result of minority ownership by third parties) and other material agreements (so long as any prohibition is not created in contemplation of such prepayment), the amount of the Net Available Cash or Excess Cash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-209-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39" w:name="page340"/>
    <w:bookmarkEnd w:id="33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43" w:lineRule="auto"/>
        <w:rPr>
          <w:sz w:val="20"/>
          <w:szCs w:val="20"/>
          <w:color w:val="auto"/>
        </w:rPr>
      </w:pPr>
      <w:r>
        <w:rPr>
          <w:rFonts w:ascii="Arial" w:cs="Arial" w:eastAsia="Arial" w:hAnsi="Arial"/>
          <w:sz w:val="20"/>
          <w:szCs w:val="20"/>
          <w:color w:val="auto"/>
        </w:rPr>
        <w:t xml:space="preserve">Flow so affected shall not be taken into account in measuring the Borrower’s obligation to repay Term Loans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2.05(b)</w:t>
      </w:r>
      <w:r>
        <w:rPr>
          <w:rFonts w:ascii="Arial" w:cs="Arial" w:eastAsia="Arial" w:hAnsi="Arial"/>
          <w:sz w:val="20"/>
          <w:szCs w:val="20"/>
          <w:color w:val="auto"/>
        </w:rPr>
        <w:t>. Notwithstanding the foregoing, (x) Holdings and its Foreign Subsidiaries will undertake to use commercially reasonable efforts for one year to overcome or eliminate any such restrictions (subject to the considerations above and as determined in the Borrower’s reasonable business judgment) to make the relevant prepayment and (y) any prepayments required after application of the above provision shall be net of any costs, expenses or Taxes (other than any Taxes already taken into account in the definition of Net Available Cash or Excess Cash Flow, as applicable) incurred by the Borrower or any of its Affiliates and arising as a result of compliance with immediately preceding clause (x).</w:t>
      </w:r>
    </w:p>
    <w:p>
      <w:pPr>
        <w:spacing w:after="0" w:line="233" w:lineRule="exact"/>
        <w:rPr>
          <w:sz w:val="20"/>
          <w:szCs w:val="20"/>
          <w:color w:val="auto"/>
        </w:rPr>
      </w:pPr>
    </w:p>
    <w:p>
      <w:pPr>
        <w:jc w:val="both"/>
        <w:ind w:left="140" w:firstLine="1271"/>
        <w:spacing w:after="0" w:line="243" w:lineRule="auto"/>
        <w:tabs>
          <w:tab w:leader="none" w:pos="1958"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If for any reason the aggregate Revolving Credit Exposures of all Lenders at any time exceeds the aggregate Revolving Credit Commitments then in effect (including, for the avoidance of doubt, as a result of currency fluctuations or the termination of such Revolving Credit Commitments on the Maturity Date with respect thereto), the Borrower shall promptly prepay or cause to be promptly prepaid Revolving Credit Loans and/or Cash Collateralize the L/C Obligations in an aggregate amount equal to such excess;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Borrower shall not be required to Cash Collateralize the L/C Obligations pursuant to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2.05(b)(vii)</w:t>
      </w:r>
      <w:r>
        <w:rPr>
          <w:rFonts w:ascii="Arial" w:cs="Arial" w:eastAsia="Arial" w:hAnsi="Arial"/>
          <w:sz w:val="20"/>
          <w:szCs w:val="20"/>
          <w:i w:val="1"/>
          <w:iCs w:val="1"/>
          <w:color w:val="auto"/>
        </w:rPr>
        <w:t xml:space="preserve"> </w:t>
      </w:r>
      <w:r>
        <w:rPr>
          <w:rFonts w:ascii="Arial" w:cs="Arial" w:eastAsia="Arial" w:hAnsi="Arial"/>
          <w:sz w:val="20"/>
          <w:szCs w:val="20"/>
          <w:color w:val="auto"/>
        </w:rPr>
        <w:t>unless after</w:t>
      </w:r>
      <w:r>
        <w:rPr>
          <w:rFonts w:ascii="Arial" w:cs="Arial" w:eastAsia="Arial" w:hAnsi="Arial"/>
          <w:sz w:val="20"/>
          <w:szCs w:val="20"/>
          <w:i w:val="1"/>
          <w:iCs w:val="1"/>
          <w:color w:val="auto"/>
        </w:rPr>
        <w:t xml:space="preserve"> </w:t>
      </w:r>
      <w:r>
        <w:rPr>
          <w:rFonts w:ascii="Arial" w:cs="Arial" w:eastAsia="Arial" w:hAnsi="Arial"/>
          <w:sz w:val="20"/>
          <w:szCs w:val="20"/>
          <w:color w:val="auto"/>
        </w:rPr>
        <w:t>the prepayment in full of the Revolving Credit Loans, the aggregate Revolving Credit Exposures exceed the aggregate Revolving Credit Commitments.</w:t>
      </w:r>
    </w:p>
    <w:p>
      <w:pPr>
        <w:spacing w:after="0" w:line="219" w:lineRule="exact"/>
        <w:rPr>
          <w:rFonts w:ascii="Arial" w:cs="Arial" w:eastAsia="Arial" w:hAnsi="Arial"/>
          <w:sz w:val="20"/>
          <w:szCs w:val="20"/>
          <w:color w:val="auto"/>
        </w:rPr>
      </w:pPr>
    </w:p>
    <w:p>
      <w:pPr>
        <w:jc w:val="both"/>
        <w:ind w:left="220" w:firstLine="1291"/>
        <w:spacing w:after="0" w:line="246" w:lineRule="auto"/>
        <w:tabs>
          <w:tab w:leader="none" w:pos="1950" w:val="left"/>
        </w:tabs>
        <w:numPr>
          <w:ilvl w:val="1"/>
          <w:numId w:val="212"/>
        </w:numPr>
        <w:rPr>
          <w:rFonts w:ascii="Arial" w:cs="Arial" w:eastAsia="Arial" w:hAnsi="Arial"/>
          <w:sz w:val="20"/>
          <w:szCs w:val="20"/>
          <w:color w:val="auto"/>
        </w:rPr>
      </w:pPr>
      <w:r>
        <w:rPr>
          <w:rFonts w:ascii="Arial" w:cs="Arial" w:eastAsia="Arial" w:hAnsi="Arial"/>
          <w:sz w:val="20"/>
          <w:szCs w:val="20"/>
          <w:u w:val="single" w:color="auto"/>
          <w:color w:val="auto"/>
        </w:rPr>
        <w:t>Interest, Funding Losses, Etc</w:t>
      </w:r>
      <w:r>
        <w:rPr>
          <w:rFonts w:ascii="Arial" w:cs="Arial" w:eastAsia="Arial" w:hAnsi="Arial"/>
          <w:sz w:val="20"/>
          <w:szCs w:val="20"/>
          <w:color w:val="auto"/>
        </w:rPr>
        <w:t xml:space="preserve">. All prepayments under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shall be accompanied by all accrued interest thereon in the currency in which such Loan is denominated, together with, in the case of any such prepayment of a Eurocurrency Rate Loan on a date other than the last day of an Interest Period therefor, any amounts owing in respect of such Eurocurrency Rate Loan pursuant to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299" w:lineRule="exact"/>
        <w:rPr>
          <w:sz w:val="20"/>
          <w:szCs w:val="20"/>
          <w:color w:val="auto"/>
        </w:rPr>
      </w:pPr>
    </w:p>
    <w:p>
      <w:pPr>
        <w:jc w:val="both"/>
        <w:ind w:left="140" w:firstLine="1296"/>
        <w:spacing w:after="0" w:line="272" w:lineRule="auto"/>
        <w:rPr>
          <w:sz w:val="20"/>
          <w:szCs w:val="20"/>
          <w:color w:val="auto"/>
        </w:rPr>
      </w:pPr>
      <w:r>
        <w:rPr>
          <w:rFonts w:ascii="Arial" w:cs="Arial" w:eastAsia="Arial" w:hAnsi="Arial"/>
          <w:sz w:val="18"/>
          <w:szCs w:val="18"/>
          <w:color w:val="auto"/>
        </w:rPr>
        <w:t xml:space="preserve">Notwithstanding any of the other provisions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so long as no Event of Default shall have occurred and be continuing, if any prepayment of Eurocurrency Rate Loans is required to be made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prior to the last day of the Interest Period therefor, in lieu of making any payment pursuant to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in respect of any such Eurocurrency Rate Loan prior to the last day of the Interest Period therefor, the Borrower may, in its sole discretion, deposit with the Administrative Agent in the currency in which such Loan is denominated the amount of any such prepayment otherwise required to be made hereunder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Such deposit shall constitute cash collateral for the Eurocurrency Rate Loans to be so prepaid,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may at any time direct that such deposit be applied to make the applicable payment required pursuant to this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78" w:lineRule="exact"/>
        <w:rPr>
          <w:sz w:val="20"/>
          <w:szCs w:val="20"/>
          <w:color w:val="auto"/>
        </w:rPr>
      </w:pPr>
    </w:p>
    <w:p>
      <w:pPr>
        <w:ind w:left="2160" w:hanging="650"/>
        <w:spacing w:after="0"/>
        <w:tabs>
          <w:tab w:leader="none" w:pos="21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Discounted Voluntary Prepayments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jc w:val="both"/>
        <w:ind w:left="140" w:firstLine="1427"/>
        <w:spacing w:after="0" w:line="243" w:lineRule="auto"/>
        <w:tabs>
          <w:tab w:leader="none" w:pos="1948" w:val="left"/>
        </w:tabs>
        <w:numPr>
          <w:ilvl w:val="1"/>
          <w:numId w:val="21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set forth in this Agreement (including </w:t>
      </w:r>
      <w:r>
        <w:rPr>
          <w:rFonts w:ascii="Arial" w:cs="Arial" w:eastAsia="Arial" w:hAnsi="Arial"/>
          <w:sz w:val="20"/>
          <w:szCs w:val="20"/>
          <w:u w:val="single" w:color="auto"/>
          <w:color w:val="auto"/>
        </w:rPr>
        <w:t>Section 2.13</w:t>
      </w:r>
      <w:r>
        <w:rPr>
          <w:rFonts w:ascii="Arial" w:cs="Arial" w:eastAsia="Arial" w:hAnsi="Arial"/>
          <w:sz w:val="20"/>
          <w:szCs w:val="20"/>
          <w:color w:val="auto"/>
        </w:rPr>
        <w:t>) or any other Loan Document, the Borrower shall have the right at any time and from time to time to prepay one or more Classes of Term Loans to the Lenders at a discount to the par value of such Loans and on a non pro rata basis (each, a “</w:t>
      </w:r>
      <w:r>
        <w:rPr>
          <w:rFonts w:ascii="Arial" w:cs="Arial" w:eastAsia="Arial" w:hAnsi="Arial"/>
          <w:sz w:val="20"/>
          <w:szCs w:val="20"/>
          <w:u w:val="single" w:color="auto"/>
          <w:color w:val="auto"/>
        </w:rPr>
        <w:t>Discounted Voluntary Prepayment</w:t>
      </w:r>
      <w:r>
        <w:rPr>
          <w:rFonts w:ascii="Arial" w:cs="Arial" w:eastAsia="Arial" w:hAnsi="Arial"/>
          <w:sz w:val="20"/>
          <w:szCs w:val="20"/>
          <w:color w:val="auto"/>
        </w:rPr>
        <w:t xml:space="preserve">”) pursuant to the procedures described in this </w:t>
      </w:r>
      <w:r>
        <w:rPr>
          <w:rFonts w:ascii="Arial" w:cs="Arial" w:eastAsia="Arial" w:hAnsi="Arial"/>
          <w:sz w:val="20"/>
          <w:szCs w:val="20"/>
          <w:u w:val="single" w:color="auto"/>
          <w:color w:val="auto"/>
        </w:rPr>
        <w:t>Section 2.05(d)</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no proceeds from Revolving Credit Loans shall be used to consummate any such Discounted Voluntary Prepayment, (B) any Discounted Voluntary Prepayment shall be offered to all Term Lenders of such Class on a pro rata basis, (C) [reserved] and (D) the Borrower shall deliver to the Administrative Agent, together with each Discounted Prepayment</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-210-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0" w:name="page341"/>
    <w:bookmarkEnd w:id="34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 xml:space="preserve">Option Notice, a certificate of a Responsible Officer of the Borrower (1) stating that no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under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(in each case, with respect to the Borrower) has occurred and is continuing or would result from the Discounted Voluntary Prepayment, (2) stating that each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-211-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41" w:name="page342"/>
    <w:bookmarkEnd w:id="34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0"/>
        <w:spacing w:after="0" w:line="287" w:lineRule="auto"/>
        <w:rPr>
          <w:sz w:val="20"/>
          <w:szCs w:val="20"/>
          <w:color w:val="auto"/>
        </w:rPr>
      </w:pPr>
      <w:r>
        <w:rPr>
          <w:rFonts w:ascii="Arial" w:cs="Arial" w:eastAsia="Arial" w:hAnsi="Arial"/>
          <w:sz w:val="19"/>
          <w:szCs w:val="19"/>
          <w:color w:val="auto"/>
        </w:rPr>
        <w:t xml:space="preserve">conditions to such Discounted Voluntary Prepayment contained in this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has been satisfied and (3) specifying the aggregate principal amount of Term Loans of any Class offered to be prepaid pursuant to such Discounted Voluntary Prepayment.</w:t>
      </w:r>
    </w:p>
    <w:p>
      <w:pPr>
        <w:spacing w:after="0" w:line="193" w:lineRule="exact"/>
        <w:rPr>
          <w:sz w:val="20"/>
          <w:szCs w:val="20"/>
          <w:color w:val="auto"/>
        </w:rPr>
      </w:pPr>
    </w:p>
    <w:p>
      <w:pPr>
        <w:jc w:val="both"/>
        <w:ind w:left="140" w:firstLine="1371"/>
        <w:spacing w:after="0" w:line="255" w:lineRule="auto"/>
        <w:tabs>
          <w:tab w:leader="none" w:pos="194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To the extent the Borrower seeks to make a Discounted Voluntary Prepayment, the Borrower will provide written notice to the Administrative Agent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hereto (each, a “</w:t>
      </w:r>
      <w:r>
        <w:rPr>
          <w:rFonts w:ascii="Arial" w:cs="Arial" w:eastAsia="Arial" w:hAnsi="Arial"/>
          <w:sz w:val="19"/>
          <w:szCs w:val="19"/>
          <w:u w:val="single" w:color="auto"/>
          <w:color w:val="auto"/>
        </w:rPr>
        <w:t>Discounted Prepayment Option Notice</w:t>
      </w:r>
      <w:r>
        <w:rPr>
          <w:rFonts w:ascii="Arial" w:cs="Arial" w:eastAsia="Arial" w:hAnsi="Arial"/>
          <w:sz w:val="19"/>
          <w:szCs w:val="19"/>
          <w:color w:val="auto"/>
        </w:rPr>
        <w:t>”) that the Borrower desires to prepay Term Loans of one or more specified Classes in an aggregate principal amount specified therein by the Borrower (each, a “</w:t>
      </w:r>
      <w:r>
        <w:rPr>
          <w:rFonts w:ascii="Arial" w:cs="Arial" w:eastAsia="Arial" w:hAnsi="Arial"/>
          <w:sz w:val="19"/>
          <w:szCs w:val="19"/>
          <w:u w:val="single" w:color="auto"/>
          <w:color w:val="auto"/>
        </w:rPr>
        <w:t>Proposed Discounted Prepayment Amount</w:t>
      </w:r>
      <w:r>
        <w:rPr>
          <w:rFonts w:ascii="Arial" w:cs="Arial" w:eastAsia="Arial" w:hAnsi="Arial"/>
          <w:sz w:val="19"/>
          <w:szCs w:val="19"/>
          <w:color w:val="auto"/>
        </w:rPr>
        <w:t>”), in each case at a discount to the par value of such Loans as specified below. The Proposed Discounted Prepayment Amount of any Loans shall not be less than $5.0 million. The Discounted Prepayment Option Notice shall further specify with respect to the proposed Discounted Voluntary Prepayment (A) the Proposed Discounted Prepayment Amount for Loans to be prepaid, (B) a discount range (which may be a single percentage) selected by the Borrower with respect to such proposed Discounted Voluntary Prepayment equal to a percentage of par of the principal amount of the Loans to be prepaid (the “</w:t>
      </w:r>
      <w:r>
        <w:rPr>
          <w:rFonts w:ascii="Arial" w:cs="Arial" w:eastAsia="Arial" w:hAnsi="Arial"/>
          <w:sz w:val="19"/>
          <w:szCs w:val="19"/>
          <w:u w:val="single" w:color="auto"/>
          <w:color w:val="auto"/>
        </w:rPr>
        <w:t>Discount Range</w:t>
      </w:r>
      <w:r>
        <w:rPr>
          <w:rFonts w:ascii="Arial" w:cs="Arial" w:eastAsia="Arial" w:hAnsi="Arial"/>
          <w:sz w:val="19"/>
          <w:szCs w:val="19"/>
          <w:color w:val="auto"/>
        </w:rPr>
        <w:t>”), and (C) the date by which Lenders are required to indicate their election to participate in such proposed Discounted Voluntary Prepayment, which shall be at least five Business Days from and including the date of the Discounted Prepayment Option Notice (the “</w:t>
      </w:r>
      <w:r>
        <w:rPr>
          <w:rFonts w:ascii="Arial" w:cs="Arial" w:eastAsia="Arial" w:hAnsi="Arial"/>
          <w:sz w:val="19"/>
          <w:szCs w:val="19"/>
          <w:u w:val="single" w:color="auto"/>
          <w:color w:val="auto"/>
        </w:rPr>
        <w:t>Acceptance Date</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jc w:val="both"/>
        <w:ind w:left="140" w:firstLine="1316"/>
        <w:spacing w:after="0" w:line="254" w:lineRule="auto"/>
        <w:tabs>
          <w:tab w:leader="none" w:pos="194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Upon receipt of a Discounted Prepayment Option Notice, the Administrative Agent shall promptly notify each applicable Lender thereof. On or prior to the Acceptance Date, each such Lender may specify by written notice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(each, a “</w:t>
      </w:r>
      <w:r>
        <w:rPr>
          <w:rFonts w:ascii="Arial" w:cs="Arial" w:eastAsia="Arial" w:hAnsi="Arial"/>
          <w:sz w:val="19"/>
          <w:szCs w:val="19"/>
          <w:u w:val="single" w:color="auto"/>
          <w:color w:val="auto"/>
        </w:rPr>
        <w:t>Lender Participation Notice</w:t>
      </w:r>
      <w:r>
        <w:rPr>
          <w:rFonts w:ascii="Arial" w:cs="Arial" w:eastAsia="Arial" w:hAnsi="Arial"/>
          <w:sz w:val="19"/>
          <w:szCs w:val="19"/>
          <w:color w:val="auto"/>
        </w:rPr>
        <w:t>”) to the Administrative Agent (A) a maximum discount to par (the “</w:t>
      </w:r>
      <w:r>
        <w:rPr>
          <w:rFonts w:ascii="Arial" w:cs="Arial" w:eastAsia="Arial" w:hAnsi="Arial"/>
          <w:sz w:val="19"/>
          <w:szCs w:val="19"/>
          <w:u w:val="single" w:color="auto"/>
          <w:color w:val="auto"/>
        </w:rPr>
        <w:t>Acceptable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Discount</w:t>
      </w:r>
      <w:r>
        <w:rPr>
          <w:rFonts w:ascii="Arial" w:cs="Arial" w:eastAsia="Arial" w:hAnsi="Arial"/>
          <w:sz w:val="19"/>
          <w:szCs w:val="19"/>
          <w:color w:val="auto"/>
        </w:rPr>
        <w:t>”) within the Discount Range (for example, a Lender specifying a discount to par of 20.0% would accept a purchase price of 80.0% of the par value of the Loans to be prepaid) and (B) a maximum principal amount (subject to rounding requirements specified by the Administrative Agent) of the Term Loans to be prepaid held by such Lender with respect to which such Lender is willing to permit a Discounted Voluntary Prepayment at the Acceptable Discount (“</w:t>
      </w:r>
      <w:r>
        <w:rPr>
          <w:rFonts w:ascii="Arial" w:cs="Arial" w:eastAsia="Arial" w:hAnsi="Arial"/>
          <w:sz w:val="19"/>
          <w:szCs w:val="19"/>
          <w:u w:val="single" w:color="auto"/>
          <w:color w:val="auto"/>
        </w:rPr>
        <w:t>Offered Loans</w:t>
      </w:r>
      <w:r>
        <w:rPr>
          <w:rFonts w:ascii="Arial" w:cs="Arial" w:eastAsia="Arial" w:hAnsi="Arial"/>
          <w:sz w:val="19"/>
          <w:szCs w:val="19"/>
          <w:color w:val="auto"/>
        </w:rPr>
        <w:t>”). Based on the Acceptable Discounts and principal amounts of the Term Loans to be prepaid specified by the Lenders in the applicable Lender Participation Notice, the Administrative Agent, in consultation with the Borrower, shall determine the applicable discount for such Term Loans to be prepaid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Discount</w:t>
      </w:r>
      <w:r>
        <w:rPr>
          <w:rFonts w:ascii="Arial" w:cs="Arial" w:eastAsia="Arial" w:hAnsi="Arial"/>
          <w:sz w:val="19"/>
          <w:szCs w:val="19"/>
          <w:color w:val="auto"/>
        </w:rPr>
        <w:t xml:space="preserve">”), which Applicable Discount shall be (A) the percentage specified by the Borrower if the Borrower has selected a single percentage pursuant to </w:t>
      </w:r>
      <w:r>
        <w:rPr>
          <w:rFonts w:ascii="Arial" w:cs="Arial" w:eastAsia="Arial" w:hAnsi="Arial"/>
          <w:sz w:val="19"/>
          <w:szCs w:val="19"/>
          <w:u w:val="single" w:color="auto"/>
          <w:color w:val="auto"/>
        </w:rPr>
        <w:t>Section 2.05(d)(ii)</w:t>
      </w:r>
      <w:r>
        <w:rPr>
          <w:rFonts w:ascii="Arial" w:cs="Arial" w:eastAsia="Arial" w:hAnsi="Arial"/>
          <w:sz w:val="19"/>
          <w:szCs w:val="19"/>
          <w:color w:val="auto"/>
        </w:rPr>
        <w:t xml:space="preserve"> for the Discounted Voluntary Prepayment or (B) otherwise, the highest Acceptable Discount at which the Borrower can pay the Proposed Discounted Prepayment Amount in full (determined by adding the Outstanding Amount of Offered Loans commencing with the Offered Loans with the highest Acceptable Discount);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Administrative Agent by the Acceptance Date shall be deemed to have declined to accept a Discounted Voluntary Prepayment of any of its Loans at any discount to their par value within the Applicable Discount.</w:t>
      </w:r>
    </w:p>
    <w:p>
      <w:pPr>
        <w:spacing w:after="0" w:line="210" w:lineRule="exact"/>
        <w:rPr>
          <w:rFonts w:ascii="Arial" w:cs="Arial" w:eastAsia="Arial" w:hAnsi="Arial"/>
          <w:sz w:val="19"/>
          <w:szCs w:val="19"/>
          <w:color w:val="auto"/>
        </w:rPr>
      </w:pPr>
    </w:p>
    <w:p>
      <w:pPr>
        <w:jc w:val="both"/>
        <w:ind w:left="140" w:firstLine="1327"/>
        <w:spacing w:after="0" w:line="263" w:lineRule="auto"/>
        <w:tabs>
          <w:tab w:leader="none" w:pos="1958"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Borrower shall make a Discounted Voluntary Prepayment by prepaying those Term Loans to be prepaid (or the respective portions thereof) offered by the Lenders (“</w:t>
      </w:r>
      <w:r>
        <w:rPr>
          <w:rFonts w:ascii="Arial" w:cs="Arial" w:eastAsia="Arial" w:hAnsi="Arial"/>
          <w:sz w:val="19"/>
          <w:szCs w:val="19"/>
          <w:u w:val="single" w:color="auto"/>
          <w:color w:val="auto"/>
        </w:rPr>
        <w:t>Qualifying Lenders</w:t>
      </w:r>
      <w:r>
        <w:rPr>
          <w:rFonts w:ascii="Arial" w:cs="Arial" w:eastAsia="Arial" w:hAnsi="Arial"/>
          <w:sz w:val="19"/>
          <w:szCs w:val="19"/>
          <w:color w:val="auto"/>
        </w:rPr>
        <w:t>”) that specify an Acceptable Discount that is equal to or greater than the Applicable Discount (“</w:t>
      </w:r>
      <w:r>
        <w:rPr>
          <w:rFonts w:ascii="Arial" w:cs="Arial" w:eastAsia="Arial" w:hAnsi="Arial"/>
          <w:sz w:val="19"/>
          <w:szCs w:val="19"/>
          <w:u w:val="single" w:color="auto"/>
          <w:color w:val="auto"/>
        </w:rPr>
        <w:t>Qualifying Loans</w:t>
      </w:r>
      <w:r>
        <w:rPr>
          <w:rFonts w:ascii="Arial" w:cs="Arial" w:eastAsia="Arial" w:hAnsi="Arial"/>
          <w:sz w:val="19"/>
          <w:szCs w:val="19"/>
          <w:color w:val="auto"/>
        </w:rPr>
        <w:t xml:space="preserve">”) at the Applicable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proceeds required to prepay all Qualifying Loans (disregarding any interest payable at such time) would exceed the amount of</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-212-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2" w:name="page343"/>
    <w:bookmarkEnd w:id="34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aggregate proceeds required to prepay the Proposed Discounted Prepayment Amount, such amounts in each case calculated by applying the Applicable Discount, the Borrower shall prepay such Qualifying Loans ratably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-213-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43" w:name="page344"/>
    <w:bookmarkEnd w:id="34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82" w:lineRule="auto"/>
        <w:rPr>
          <w:sz w:val="20"/>
          <w:szCs w:val="20"/>
          <w:color w:val="auto"/>
        </w:rPr>
      </w:pPr>
      <w:r>
        <w:rPr>
          <w:rFonts w:ascii="Arial" w:cs="Arial" w:eastAsia="Arial" w:hAnsi="Arial"/>
          <w:sz w:val="18"/>
          <w:szCs w:val="18"/>
          <w:color w:val="auto"/>
        </w:rPr>
        <w:t>among the Qualifying Lenders based on their respective principal amounts of such Qualifying Loans (subject to rounding requirements specified by the Administrative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the Borrower shall prepay all Qualifying Loans.</w:t>
      </w:r>
    </w:p>
    <w:p>
      <w:pPr>
        <w:spacing w:after="0" w:line="202" w:lineRule="exact"/>
        <w:rPr>
          <w:sz w:val="20"/>
          <w:szCs w:val="20"/>
          <w:color w:val="auto"/>
        </w:rPr>
      </w:pPr>
    </w:p>
    <w:p>
      <w:pPr>
        <w:jc w:val="both"/>
        <w:ind w:left="140" w:firstLine="1383"/>
        <w:spacing w:after="0" w:line="255" w:lineRule="auto"/>
        <w:tabs>
          <w:tab w:leader="none" w:pos="1957" w:val="left"/>
        </w:tabs>
        <w:numPr>
          <w:ilvl w:val="1"/>
          <w:numId w:val="215"/>
        </w:numPr>
        <w:rPr>
          <w:rFonts w:ascii="Arial" w:cs="Arial" w:eastAsia="Arial" w:hAnsi="Arial"/>
          <w:sz w:val="19"/>
          <w:szCs w:val="19"/>
          <w:color w:val="auto"/>
        </w:rPr>
      </w:pPr>
      <w:r>
        <w:rPr>
          <w:rFonts w:ascii="Arial" w:cs="Arial" w:eastAsia="Arial" w:hAnsi="Arial"/>
          <w:sz w:val="19"/>
          <w:szCs w:val="19"/>
          <w:color w:val="auto"/>
        </w:rPr>
        <w:t xml:space="preserve">Each Discounted Voluntary Prepayment shall be made within five (5) Business Days of the Acceptance Date (or such later date as the Administrative Agent shall reasonably agree, given the time required to calculate the Applicable Discount and determine the amount and holders of Qualifying Loans), without premium or penalty (but subject to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upon irrevocable notice substantially in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hereto (each a “</w:t>
      </w:r>
      <w:r>
        <w:rPr>
          <w:rFonts w:ascii="Arial" w:cs="Arial" w:eastAsia="Arial" w:hAnsi="Arial"/>
          <w:sz w:val="19"/>
          <w:szCs w:val="19"/>
          <w:u w:val="single" w:color="auto"/>
          <w:color w:val="auto"/>
        </w:rPr>
        <w:t>Discounted Voluntary Prepayment Notice</w:t>
      </w:r>
      <w:r>
        <w:rPr>
          <w:rFonts w:ascii="Arial" w:cs="Arial" w:eastAsia="Arial" w:hAnsi="Arial"/>
          <w:sz w:val="19"/>
          <w:szCs w:val="19"/>
          <w:color w:val="auto"/>
        </w:rPr>
        <w:t>”), delivered to the Administrative Agent no later than 1:00 p.m., New York City time, three (3) Business Days prior to the date of such Discounted Voluntary Prepayment, which notice shall specify the date and amount of the Discounted Voluntary Prepayment and the Applicable Discount determined by the Administrative Agent. Upon receipt of any Discounted Voluntary Prepayment Notice, the Administrative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w:t>
      </w:r>
    </w:p>
    <w:p>
      <w:pPr>
        <w:spacing w:after="0" w:line="211" w:lineRule="exact"/>
        <w:rPr>
          <w:rFonts w:ascii="Arial" w:cs="Arial" w:eastAsia="Arial" w:hAnsi="Arial"/>
          <w:sz w:val="19"/>
          <w:szCs w:val="19"/>
          <w:color w:val="auto"/>
        </w:rPr>
      </w:pPr>
    </w:p>
    <w:p>
      <w:pPr>
        <w:jc w:val="both"/>
        <w:ind w:left="140" w:firstLine="1328"/>
        <w:spacing w:after="0" w:line="291" w:lineRule="auto"/>
        <w:tabs>
          <w:tab w:leader="none" w:pos="195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To the extent not expressly provided for herein, each Discounted Voluntary Prepayment shall be consummated pursuant to procedures (including as to timing, rounding, minimum amounts, Type and Interest Periods and calculation of Applicable Discount in accordance with </w:t>
      </w:r>
      <w:r>
        <w:rPr>
          <w:rFonts w:ascii="Arial" w:cs="Arial" w:eastAsia="Arial" w:hAnsi="Arial"/>
          <w:sz w:val="18"/>
          <w:szCs w:val="18"/>
          <w:u w:val="single" w:color="auto"/>
          <w:color w:val="auto"/>
        </w:rPr>
        <w:t>Section 2.05(d)(ii)</w:t>
      </w:r>
      <w:r>
        <w:rPr>
          <w:rFonts w:ascii="Arial" w:cs="Arial" w:eastAsia="Arial" w:hAnsi="Arial"/>
          <w:sz w:val="18"/>
          <w:szCs w:val="18"/>
          <w:color w:val="auto"/>
        </w:rPr>
        <w:t xml:space="preserve"> above) established by the Administrative Agent and the Borrower, each acting reasonably.</w:t>
      </w:r>
    </w:p>
    <w:p>
      <w:pPr>
        <w:spacing w:after="0" w:line="259" w:lineRule="exact"/>
        <w:rPr>
          <w:rFonts w:ascii="Arial" w:cs="Arial" w:eastAsia="Arial" w:hAnsi="Arial"/>
          <w:sz w:val="18"/>
          <w:szCs w:val="18"/>
          <w:color w:val="auto"/>
        </w:rPr>
      </w:pPr>
    </w:p>
    <w:p>
      <w:pPr>
        <w:jc w:val="both"/>
        <w:ind w:left="140" w:firstLine="1271"/>
        <w:spacing w:after="0" w:line="244" w:lineRule="auto"/>
        <w:tabs>
          <w:tab w:leader="none" w:pos="1956" w:val="left"/>
        </w:tabs>
        <w:numPr>
          <w:ilvl w:val="1"/>
          <w:numId w:val="215"/>
        </w:numPr>
        <w:rPr>
          <w:rFonts w:ascii="Arial" w:cs="Arial" w:eastAsia="Arial" w:hAnsi="Arial"/>
          <w:sz w:val="20"/>
          <w:szCs w:val="20"/>
          <w:color w:val="auto"/>
        </w:rPr>
      </w:pPr>
      <w:r>
        <w:rPr>
          <w:rFonts w:ascii="Arial" w:cs="Arial" w:eastAsia="Arial" w:hAnsi="Arial"/>
          <w:sz w:val="20"/>
          <w:szCs w:val="20"/>
          <w:color w:val="auto"/>
        </w:rPr>
        <w:t>Prior to the delivery of a Discounted Voluntary Prepayment Notice, (A) upon written notice to the Administrative Agent, the Borrower may withdraw or modify its offer to make a Discounted Voluntary Prepayment pursuant to any Discounted Prepayment Option Notice and (B) no Lender may withdraw its offer to participate in a Discounted Voluntary Prepayment pursuant to any Lender Participation Notice unless the terms of such proposed Discounted Voluntary Prepayment have been modified by the Borrower after the date of such Lender Participation Notice.</w:t>
      </w:r>
    </w:p>
    <w:p>
      <w:pPr>
        <w:spacing w:after="0" w:line="234" w:lineRule="exact"/>
        <w:rPr>
          <w:rFonts w:ascii="Arial" w:cs="Arial" w:eastAsia="Arial" w:hAnsi="Arial"/>
          <w:sz w:val="20"/>
          <w:szCs w:val="20"/>
          <w:color w:val="auto"/>
        </w:rPr>
      </w:pPr>
    </w:p>
    <w:p>
      <w:pPr>
        <w:ind w:left="1440" w:right="400" w:hanging="83"/>
        <w:spacing w:after="0" w:line="528" w:lineRule="auto"/>
        <w:tabs>
          <w:tab w:leader="none" w:pos="1949"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2.05(d)</w:t>
      </w:r>
      <w:r>
        <w:rPr>
          <w:rFonts w:ascii="Arial" w:cs="Arial" w:eastAsia="Arial" w:hAnsi="Arial"/>
          <w:sz w:val="20"/>
          <w:szCs w:val="20"/>
          <w:color w:val="auto"/>
        </w:rPr>
        <w:t xml:space="preserve"> shall require the Borrower to undertake any Discounted Voluntary Prepayment. Section 2.06 </w:t>
      </w:r>
      <w:r>
        <w:rPr>
          <w:rFonts w:ascii="Arial" w:cs="Arial" w:eastAsia="Arial" w:hAnsi="Arial"/>
          <w:sz w:val="20"/>
          <w:szCs w:val="20"/>
          <w:u w:val="single" w:color="auto"/>
          <w:color w:val="auto"/>
        </w:rPr>
        <w:t>Termination or Reduction of Commitments</w:t>
      </w:r>
      <w:r>
        <w:rPr>
          <w:rFonts w:ascii="Arial" w:cs="Arial" w:eastAsia="Arial" w:hAnsi="Arial"/>
          <w:sz w:val="20"/>
          <w:szCs w:val="20"/>
          <w:color w:val="auto"/>
        </w:rPr>
        <w:t>.</w:t>
      </w:r>
    </w:p>
    <w:p>
      <w:pPr>
        <w:spacing w:after="0" w:line="27" w:lineRule="exact"/>
        <w:rPr>
          <w:rFonts w:ascii="Arial" w:cs="Arial" w:eastAsia="Arial" w:hAnsi="Arial"/>
          <w:sz w:val="20"/>
          <w:szCs w:val="20"/>
          <w:color w:val="auto"/>
        </w:rPr>
      </w:pPr>
    </w:p>
    <w:p>
      <w:pPr>
        <w:jc w:val="both"/>
        <w:ind w:left="220" w:firstLine="1291"/>
        <w:spacing w:after="0" w:line="270" w:lineRule="auto"/>
        <w:tabs>
          <w:tab w:leader="none" w:pos="1948"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at any time, without premium or penalty, upon written notice to the Administrative Agent, terminate the unused Commitments of any Class, or from time to time permanently reduce the unused Commitments of any Class;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(i) any such notice shall be received by the Administrative Agent three (3) Business Days prior to the date of termination or reduction, (ii) any such partial reduction shall be in an aggregate amount that is an integral multiple of</w:t>
      </w:r>
    </w:p>
    <w:p>
      <w:pPr>
        <w:spacing w:after="0" w:line="2" w:lineRule="exact"/>
        <w:rPr>
          <w:rFonts w:ascii="Arial" w:cs="Arial" w:eastAsia="Arial" w:hAnsi="Arial"/>
          <w:sz w:val="18"/>
          <w:szCs w:val="18"/>
          <w:color w:val="auto"/>
        </w:rPr>
      </w:pPr>
    </w:p>
    <w:p>
      <w:pPr>
        <w:jc w:val="both"/>
        <w:ind w:left="220"/>
        <w:spacing w:after="0" w:line="241" w:lineRule="auto"/>
        <w:rPr>
          <w:rFonts w:ascii="Arial" w:cs="Arial" w:eastAsia="Arial" w:hAnsi="Arial"/>
          <w:sz w:val="18"/>
          <w:szCs w:val="18"/>
          <w:color w:val="auto"/>
        </w:rPr>
      </w:pPr>
      <w:r>
        <w:rPr>
          <w:rFonts w:ascii="Arial" w:cs="Arial" w:eastAsia="Arial" w:hAnsi="Arial"/>
          <w:sz w:val="20"/>
          <w:szCs w:val="20"/>
          <w:color w:val="auto"/>
        </w:rPr>
        <w:t>$1.0 million and not less than $1.0 million and (iii) the Borrower shall not terminate or reduce any Class of Revolving Credit Commitments if, after giving effect to any concurrent repayment of the Revolving Credit Loans of such Class, the aggregate Revolving Credit Exposure of all Lenders in respect of the Revolving Credit Facility (excluding the portion of such Class of Revolving Credit Exposures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-214-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4" w:name="page345"/>
    <w:bookmarkEnd w:id="34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attributable to outstanding Letters of Credit if and to the extent that the Borrower has made arrangements satisfactory to the Administrative Agent and the applicable L/C Issuer with respect to such Letters of Credit and such</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-215-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45" w:name="page346"/>
    <w:bookmarkEnd w:id="34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76" w:lineRule="auto"/>
        <w:rPr>
          <w:sz w:val="20"/>
          <w:szCs w:val="20"/>
          <w:color w:val="auto"/>
        </w:rPr>
      </w:pPr>
      <w:r>
        <w:rPr>
          <w:rFonts w:ascii="Arial" w:cs="Arial" w:eastAsia="Arial" w:hAnsi="Arial"/>
          <w:sz w:val="18"/>
          <w:szCs w:val="18"/>
          <w:color w:val="auto"/>
        </w:rPr>
        <w:t>L/C Issuer has released the Revolving Credit Lenders from their participation obligations with respect to such Letters of Credit) would exceed the aggregate Revolving Credit Commitments. The amount of any such Commitment reduction shall not be applied to the Letter of Credit Sublimit unless, after giving effect to any reduction of the Commitments, the Letter of Credit Sublimit exceeds the amount of the Revolving Credit Facility, in which case such sublimit shall be automatically reduced by the amount of such excess. Notwithstanding the foregoing, the Borrower may rescind or postpone any notice of termination of the Commitments if such termination would have resulted from a refinancing, which refinancing shall not be consummated or otherwise shall be delayed.</w:t>
      </w:r>
    </w:p>
    <w:p>
      <w:pPr>
        <w:spacing w:after="0" w:line="205" w:lineRule="exact"/>
        <w:rPr>
          <w:sz w:val="20"/>
          <w:szCs w:val="20"/>
          <w:color w:val="auto"/>
        </w:rPr>
      </w:pPr>
    </w:p>
    <w:p>
      <w:pPr>
        <w:jc w:val="both"/>
        <w:ind w:left="220" w:firstLine="1291"/>
        <w:spacing w:after="0" w:line="246" w:lineRule="auto"/>
        <w:tabs>
          <w:tab w:leader="none" w:pos="1948"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xml:space="preserve">. The Initial Term Commitment of each Term Lender shall be automatically and permanently reduced to $0 upon the making of such Initial Term Lender’s Term Loans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The Revolving Credit Commitments shall terminate on the Maturity Date therefor. The Extended Revolving Credit Commitments shall terminate on the respective maturity dates applicable thereto.</w:t>
      </w:r>
    </w:p>
    <w:p>
      <w:pPr>
        <w:spacing w:after="0" w:line="218" w:lineRule="exact"/>
        <w:rPr>
          <w:rFonts w:ascii="Arial" w:cs="Arial" w:eastAsia="Arial" w:hAnsi="Arial"/>
          <w:sz w:val="20"/>
          <w:szCs w:val="20"/>
          <w:color w:val="auto"/>
        </w:rPr>
      </w:pPr>
    </w:p>
    <w:p>
      <w:pPr>
        <w:jc w:val="both"/>
        <w:ind w:left="220" w:firstLine="1291"/>
        <w:spacing w:after="0" w:line="243" w:lineRule="auto"/>
        <w:tabs>
          <w:tab w:leader="none" w:pos="1948"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Application of Commitment Reductions; Payment of Fees</w:t>
      </w:r>
      <w:r>
        <w:rPr>
          <w:rFonts w:ascii="Arial" w:cs="Arial" w:eastAsia="Arial" w:hAnsi="Arial"/>
          <w:sz w:val="20"/>
          <w:szCs w:val="20"/>
          <w:color w:val="auto"/>
        </w:rPr>
        <w:t xml:space="preserve">. The Administrative Agent will promptly notify the Lenders of any termination or reduction of unused Commitments of any Class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Upon any reduction of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Arial" w:cs="Arial" w:eastAsia="Arial" w:hAnsi="Arial"/>
          <w:sz w:val="20"/>
          <w:szCs w:val="20"/>
          <w:u w:val="single" w:color="auto"/>
          <w:color w:val="auto"/>
        </w:rPr>
        <w:t>Section 3.06</w:t>
      </w:r>
      <w:r>
        <w:rPr>
          <w:rFonts w:ascii="Arial" w:cs="Arial" w:eastAsia="Arial" w:hAnsi="Arial"/>
          <w:sz w:val="20"/>
          <w:szCs w:val="20"/>
          <w:color w:val="auto"/>
        </w:rPr>
        <w:t>). All Commitment Fees accrued until the Closing Date of any termination of the Revolving Credit Commitments shall be paid on the Closing Date of such termination.</w:t>
      </w:r>
    </w:p>
    <w:p>
      <w:pPr>
        <w:spacing w:after="0" w:line="236"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324" w:lineRule="exact"/>
        <w:rPr>
          <w:sz w:val="20"/>
          <w:szCs w:val="20"/>
          <w:color w:val="auto"/>
        </w:rPr>
      </w:pPr>
    </w:p>
    <w:p>
      <w:pPr>
        <w:ind w:left="220" w:right="180" w:firstLine="1291"/>
        <w:spacing w:after="0" w:line="270" w:lineRule="auto"/>
        <w:tabs>
          <w:tab w:leader="none" w:pos="1952"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Commencing on June 30, 2021, the Borrower shall repay to the Administrative Agent for the ratable account of the Term Lenders holding Initial Term Loans (i) on the last Business Day of each March, June, September and December that occurs prior to the Amendment No. 1 Effective Date, commencing with the first such date to occur after the Closing Date, an aggregate principal amount equal to 0.25% of the aggregate principal amount of the Initial Term Loans funded on the Closing Date, (ii) on the last Business Day of each March, June, September and December that occurs prior to the Initial Term Loan Maturity Date, commencing with the first such date to occur after the Amendment No. 1 Effective Date, an aggregate principal amount equal to 0.25% of the aggregate principal amount of all Initial Term Loans on the Amendment No. 1 Effective Date and (iii) on the Maturity Date for the Initial Term Loans, the aggregate principal amount of all Initial Term Loans outstanding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payments required by </w:t>
      </w:r>
      <w:r>
        <w:rPr>
          <w:rFonts w:ascii="Arial" w:cs="Arial" w:eastAsia="Arial" w:hAnsi="Arial"/>
          <w:sz w:val="18"/>
          <w:szCs w:val="18"/>
          <w:u w:val="single" w:color="auto"/>
          <w:color w:val="auto"/>
        </w:rPr>
        <w:t>Section 2.07(a)(i)</w:t>
      </w:r>
      <w:r>
        <w:rPr>
          <w:rFonts w:ascii="Arial" w:cs="Arial" w:eastAsia="Arial" w:hAnsi="Arial"/>
          <w:sz w:val="18"/>
          <w:szCs w:val="18"/>
          <w:color w:val="auto"/>
        </w:rPr>
        <w:t xml:space="preserve"> above shall be reduced as a result of the application of prepayments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In the event any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w:t>
      </w:r>
    </w:p>
    <w:p>
      <w:pPr>
        <w:spacing w:after="0" w:line="216" w:lineRule="exact"/>
        <w:rPr>
          <w:rFonts w:ascii="Arial" w:cs="Arial" w:eastAsia="Arial" w:hAnsi="Arial"/>
          <w:sz w:val="18"/>
          <w:szCs w:val="18"/>
          <w:color w:val="auto"/>
        </w:rPr>
      </w:pPr>
    </w:p>
    <w:p>
      <w:pPr>
        <w:jc w:val="both"/>
        <w:ind w:left="220" w:firstLine="1291"/>
        <w:spacing w:after="0" w:line="246" w:lineRule="auto"/>
        <w:tabs>
          <w:tab w:leader="none" w:pos="1949"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The Borrower shall repay to the Administrative Agent for the ratable account of the Appropriate Lenders on the Maturity Date for the Revolving Credit Facility the principal amount of each of its Revolving Credit Loans outstanding on such date in the currency in which such Revolving Credit Loan is denominated (which for the avoidance of doubt shall be Dollars).</w:t>
      </w:r>
    </w:p>
    <w:p>
      <w:pPr>
        <w:spacing w:after="0" w:line="218" w:lineRule="exact"/>
        <w:rPr>
          <w:rFonts w:ascii="Arial" w:cs="Arial" w:eastAsia="Arial" w:hAnsi="Arial"/>
          <w:sz w:val="20"/>
          <w:szCs w:val="20"/>
          <w:color w:val="auto"/>
        </w:rPr>
      </w:pPr>
    </w:p>
    <w:p>
      <w:pPr>
        <w:ind w:left="2140" w:hanging="630"/>
        <w:spacing w:after="0"/>
        <w:tabs>
          <w:tab w:leader="none" w:pos="214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-216-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6" w:name="page347"/>
    <w:bookmarkEnd w:id="34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1"/>
        <w:spacing w:after="0" w:line="246" w:lineRule="auto"/>
        <w:tabs>
          <w:tab w:leader="none" w:pos="195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2.08(b)</w:t>
      </w:r>
      <w:r>
        <w:rPr>
          <w:rFonts w:ascii="Arial" w:cs="Arial" w:eastAsia="Arial" w:hAnsi="Arial"/>
          <w:sz w:val="20"/>
          <w:szCs w:val="20"/>
          <w:color w:val="auto"/>
        </w:rPr>
        <w:t>, (i) each Eurocurrency Rate Loan shall bear interest on the outstanding principal amount thereof for each Interest Period at a rate per annum equal to the Eurocurrency Rate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231" w:lineRule="exact"/>
        <w:rPr>
          <w:rFonts w:ascii="Arial" w:cs="Arial" w:eastAsia="Arial" w:hAnsi="Arial"/>
          <w:sz w:val="20"/>
          <w:szCs w:val="20"/>
          <w:color w:val="auto"/>
        </w:rPr>
      </w:pPr>
    </w:p>
    <w:p>
      <w:pPr>
        <w:jc w:val="both"/>
        <w:ind w:left="220" w:firstLine="1290"/>
        <w:spacing w:after="0" w:line="246" w:lineRule="auto"/>
        <w:tabs>
          <w:tab w:leader="none" w:pos="1948"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Borrower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218" w:lineRule="exact"/>
        <w:rPr>
          <w:rFonts w:ascii="Arial" w:cs="Arial" w:eastAsia="Arial" w:hAnsi="Arial"/>
          <w:sz w:val="20"/>
          <w:szCs w:val="20"/>
          <w:color w:val="auto"/>
        </w:rPr>
      </w:pPr>
    </w:p>
    <w:p>
      <w:pPr>
        <w:jc w:val="both"/>
        <w:ind w:left="220" w:firstLine="1291"/>
        <w:spacing w:after="0" w:line="246" w:lineRule="auto"/>
        <w:tabs>
          <w:tab w:leader="none" w:pos="195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the currency in which such Loan is denominated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32"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u w:val="single" w:color="auto"/>
          <w:color w:val="auto"/>
        </w:rPr>
        <w:t xml:space="preserve"> Sections 2.03(g)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(h)</w:t>
      </w:r>
      <w:r>
        <w:rPr>
          <w:rFonts w:ascii="Arial" w:cs="Arial" w:eastAsia="Arial" w:hAnsi="Arial"/>
          <w:sz w:val="16"/>
          <w:szCs w:val="16"/>
          <w:color w:val="auto"/>
        </w:rPr>
        <w:t>:</w:t>
      </w:r>
    </w:p>
    <w:p>
      <w:pPr>
        <w:spacing w:after="0" w:line="324" w:lineRule="exact"/>
        <w:rPr>
          <w:sz w:val="20"/>
          <w:szCs w:val="20"/>
          <w:color w:val="auto"/>
        </w:rPr>
      </w:pPr>
    </w:p>
    <w:p>
      <w:pPr>
        <w:jc w:val="both"/>
        <w:ind w:left="780" w:firstLine="650"/>
        <w:spacing w:after="0" w:line="257" w:lineRule="auto"/>
        <w:tabs>
          <w:tab w:leader="none" w:pos="1945"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The Borrower shall pay to the Administrative Agent for the account of each Revolving Credit Lender under the Revolving Credit Facility a commitment fee in Dollars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at a per annum rate equal to the Applicable Rate on the actual daily amount by which the Revolving Credit Commitment of such Revolving Credit Lender exceeds the Revolving Credit Exposure of such Lender. The Commitment Fee for the Revolving Credit Facility shall accrue at all times from the Closing Date until the Maturity Date for the Revolving Credit Facility,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second such date to occur after the Closing Date, and on the Maturity Date for the Revolving Credit Facility.</w:t>
      </w:r>
    </w:p>
    <w:p>
      <w:pPr>
        <w:spacing w:after="0" w:line="220" w:lineRule="exact"/>
        <w:rPr>
          <w:rFonts w:ascii="Arial" w:cs="Arial" w:eastAsia="Arial" w:hAnsi="Arial"/>
          <w:sz w:val="19"/>
          <w:szCs w:val="19"/>
          <w:color w:val="auto"/>
        </w:rPr>
      </w:pPr>
    </w:p>
    <w:p>
      <w:pPr>
        <w:jc w:val="both"/>
        <w:ind w:left="780" w:firstLine="650"/>
        <w:spacing w:after="0" w:line="269" w:lineRule="auto"/>
        <w:tabs>
          <w:tab w:leader="none" w:pos="1942"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 and the applicable Agent).</w:t>
      </w:r>
    </w:p>
    <w:p>
      <w:pPr>
        <w:spacing w:after="0" w:line="19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103"/>
        <w:spacing w:after="0" w:line="257" w:lineRule="auto"/>
        <w:tabs>
          <w:tab w:leader="none" w:pos="194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All computations of interest for Base Rate Loans when the Base Rate is determined by the Prime Rate shall be made on the basis of a year of 365 or 366 days, as the case may be, and actual days elapsed. All other computations of fees and interest shall be made on the basis of a three hundred sixty (360) day year and actual days elapsed. Interest shall accrue on each Loan for the day on which such Loan is made, and shall not accrue on such Loan, or any portion thereof, for the day on which such Loan or such portion is 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Loan that is repaid on the same day on which it is made shall, subject to Section 2.12(a), bear interest for one (1) day. Each determination by the Administrative Agent of an interest rate or fee hereunder shall be conclusive and binding for all purposes, absent manifest error.</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-217-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-218-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48" w:name="page349"/>
    <w:bookmarkEnd w:id="34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186"/>
        <w:spacing w:after="0" w:line="282" w:lineRule="auto"/>
        <w:tabs>
          <w:tab w:leader="none" w:pos="194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For the purposes of this Agreement, whenever interest is to be calculated on the basis of a period of time other than a calendar year, the annual rate of interest to which each rate of interest determined pursuant to such calculation is equivalent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is such rate as so determined multiplied by the actual number of days in the calendar year in which the same is to be ascertained and divided by the number of days used in the basis of such determination.</w:t>
      </w:r>
    </w:p>
    <w:p>
      <w:pPr>
        <w:spacing w:after="0" w:line="201" w:lineRule="exact"/>
        <w:rPr>
          <w:rFonts w:ascii="Arial" w:cs="Arial" w:eastAsia="Arial" w:hAnsi="Arial"/>
          <w:sz w:val="18"/>
          <w:szCs w:val="18"/>
          <w:color w:val="auto"/>
        </w:rPr>
      </w:pPr>
    </w:p>
    <w:p>
      <w:pPr>
        <w:jc w:val="both"/>
        <w:ind w:left="220" w:firstLine="1131"/>
        <w:spacing w:after="0" w:line="244" w:lineRule="auto"/>
        <w:tabs>
          <w:tab w:leader="none" w:pos="1948"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parties acknowledge and agree that all calculations of interest under the Loan Documents are to be made on the basis of the nominal interest rate described 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w:t>
      </w:r>
    </w:p>
    <w:p>
      <w:pPr>
        <w:spacing w:after="0" w:line="221"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73" w:lineRule="auto"/>
        <w:tabs>
          <w:tab w:leader="none" w:pos="19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 hereunder to pay any amount owing with respect to the Secured Obligations. In the event of any conflict between the accounts and records maintained by any Lender and the Register, the Register shall be conclusive in the absence of demonstrable error. Upon the request of any Lender made through the Administrative Agent, the Borrower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8" w:lineRule="exact"/>
        <w:rPr>
          <w:rFonts w:ascii="Arial" w:cs="Arial" w:eastAsia="Arial" w:hAnsi="Arial"/>
          <w:sz w:val="18"/>
          <w:szCs w:val="18"/>
          <w:color w:val="auto"/>
        </w:rPr>
      </w:pPr>
    </w:p>
    <w:p>
      <w:pPr>
        <w:jc w:val="both"/>
        <w:ind w:left="220" w:firstLine="1291"/>
        <w:spacing w:after="0" w:line="244" w:lineRule="auto"/>
        <w:tabs>
          <w:tab w:leader="none" w:pos="1949"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Register and the accounts and records of any Lender in respect of such matters, the Register shall be conclusive in the absence of demonstrable error.</w:t>
      </w:r>
    </w:p>
    <w:p>
      <w:pPr>
        <w:spacing w:after="0" w:line="235"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310" w:lineRule="auto"/>
        <w:tabs>
          <w:tab w:leader="none" w:pos="195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and in immediately available funds not later than 2:00 p.m., Local Time, on the date specified herein.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2:00 p.m., Local Time, shall (in the sole discretion of the Administrative Agent) be deemed received on the next succeeding Business Day and any applicable interest or fee shall continue to accrue. All payments under each Loan Document of principal or interest in respect of any Loan (or of any breakage indemnity in respect of any Loan) shall be made in the currency of such Loan, and, except as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-219-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49" w:name="page350"/>
    <w:bookmarkEnd w:id="34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otherwise expressly set forth in any Loan Document, all other payments under each Loan Document shall be made in Dollars.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-220-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80"/>
          </w:cols>
          <w:pgMar w:left="320" w:top="121" w:right="1399" w:bottom="1440" w:gutter="0" w:footer="0" w:header="0"/>
        </w:sectPr>
      </w:pPr>
    </w:p>
    <w:bookmarkStart w:id="350" w:name="page351"/>
    <w:bookmarkEnd w:id="35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0"/>
        <w:spacing w:after="0" w:line="263" w:lineRule="auto"/>
        <w:tabs>
          <w:tab w:leader="none" w:pos="195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such extension would cause payment of interest on or principal of Eurocurrency Rate Loans to be made in the next</w:t>
      </w:r>
      <w:r>
        <w:rPr>
          <w:rFonts w:ascii="Arial" w:cs="Arial" w:eastAsia="Arial" w:hAnsi="Arial"/>
          <w:sz w:val="19"/>
          <w:szCs w:val="19"/>
          <w:i w:val="1"/>
          <w:iCs w:val="1"/>
          <w:color w:val="auto"/>
        </w:rPr>
        <w:t xml:space="preserve"> </w:t>
      </w:r>
      <w:r>
        <w:rPr>
          <w:rFonts w:ascii="Arial" w:cs="Arial" w:eastAsia="Arial" w:hAnsi="Arial"/>
          <w:sz w:val="19"/>
          <w:szCs w:val="19"/>
          <w:color w:val="auto"/>
        </w:rPr>
        <w:t>succeeding calendar month, such payment shall be made on the immediately preceding Business Day.</w:t>
      </w:r>
    </w:p>
    <w:p>
      <w:pPr>
        <w:spacing w:after="0" w:line="216" w:lineRule="exact"/>
        <w:rPr>
          <w:rFonts w:ascii="Arial" w:cs="Arial" w:eastAsia="Arial" w:hAnsi="Arial"/>
          <w:sz w:val="19"/>
          <w:szCs w:val="19"/>
          <w:color w:val="auto"/>
        </w:rPr>
      </w:pPr>
    </w:p>
    <w:p>
      <w:pPr>
        <w:jc w:val="both"/>
        <w:ind w:left="220" w:firstLine="1290"/>
        <w:spacing w:after="0" w:line="278" w:lineRule="auto"/>
        <w:tabs>
          <w:tab w:leader="none" w:pos="194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91" w:lineRule="exact"/>
        <w:rPr>
          <w:rFonts w:ascii="Arial" w:cs="Arial" w:eastAsia="Arial" w:hAnsi="Arial"/>
          <w:sz w:val="18"/>
          <w:szCs w:val="18"/>
          <w:color w:val="auto"/>
        </w:rPr>
      </w:pPr>
    </w:p>
    <w:p>
      <w:pPr>
        <w:jc w:val="both"/>
        <w:ind w:left="780" w:firstLine="721"/>
        <w:spacing w:after="0" w:line="257" w:lineRule="auto"/>
        <w:tabs>
          <w:tab w:leader="none" w:pos="194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if the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greater of the Federal Funds Rate and a rate determined by the Administrative Agent in accordance with banking industry rules on interbank compensation, it being understood that nothing herein shall be deemed to relieve any Lender from its obligation to fulfill its Commitment or to prejudice any rights which the Administrative Agent or the Borrower may have against any Lender as a result of any default by such Lender hereunder; and</w:t>
      </w:r>
    </w:p>
    <w:p>
      <w:pPr>
        <w:spacing w:after="0" w:line="220" w:lineRule="exact"/>
        <w:rPr>
          <w:rFonts w:ascii="Arial" w:cs="Arial" w:eastAsia="Arial" w:hAnsi="Arial"/>
          <w:sz w:val="19"/>
          <w:szCs w:val="19"/>
          <w:color w:val="auto"/>
        </w:rPr>
      </w:pPr>
    </w:p>
    <w:p>
      <w:pPr>
        <w:jc w:val="both"/>
        <w:ind w:left="780" w:firstLine="667"/>
        <w:spacing w:after="0" w:line="255" w:lineRule="auto"/>
        <w:tabs>
          <w:tab w:leader="none" w:pos="194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19"/>
          <w:szCs w:val="19"/>
          <w:u w:val="single" w:color="auto"/>
          <w:color w:val="auto"/>
        </w:rPr>
        <w:t>Compensation Period</w:t>
      </w:r>
      <w:r>
        <w:rPr>
          <w:rFonts w:ascii="Arial" w:cs="Arial" w:eastAsia="Arial" w:hAnsi="Arial"/>
          <w:sz w:val="19"/>
          <w:szCs w:val="19"/>
          <w:color w:val="auto"/>
        </w:rPr>
        <w:t>”) at the greater of the Federal Funds Rate and a rate determined by the Administrative Agent in accordance with banking industry rules on interbank compensation.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222" w:lineRule="exact"/>
        <w:rPr>
          <w:sz w:val="20"/>
          <w:szCs w:val="20"/>
          <w:color w:val="auto"/>
        </w:rPr>
      </w:pPr>
    </w:p>
    <w:p>
      <w:pPr>
        <w:ind w:left="140" w:right="60" w:firstLine="1295"/>
        <w:spacing w:after="0" w:line="260"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2.12(c)</w:t>
      </w:r>
      <w:r>
        <w:rPr>
          <w:rFonts w:ascii="Arial" w:cs="Arial" w:eastAsia="Arial" w:hAnsi="Arial"/>
          <w:sz w:val="20"/>
          <w:szCs w:val="20"/>
          <w:color w:val="auto"/>
        </w:rPr>
        <w:t xml:space="preserve"> shall be conclusive, absent demonstrable error.</w:t>
      </w:r>
    </w:p>
    <w:p>
      <w:pPr>
        <w:spacing w:after="0" w:line="285" w:lineRule="exact"/>
        <w:rPr>
          <w:sz w:val="20"/>
          <w:szCs w:val="20"/>
          <w:color w:val="auto"/>
        </w:rPr>
      </w:pPr>
    </w:p>
    <w:p>
      <w:pPr>
        <w:jc w:val="both"/>
        <w:ind w:left="220" w:firstLine="1291"/>
        <w:spacing w:after="0" w:line="246" w:lineRule="auto"/>
        <w:tabs>
          <w:tab w:leader="none" w:pos="195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-221-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1" w:name="page352"/>
    <w:bookmarkEnd w:id="35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Administrative Agent shall return such funds (in like funds as received from such Lender) to such Lender, without interest.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-222-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240"/>
          </w:cols>
          <w:pgMar w:left="320" w:top="121" w:right="1339" w:bottom="1440" w:gutter="0" w:footer="0" w:header="0"/>
        </w:sectPr>
      </w:pPr>
    </w:p>
    <w:bookmarkStart w:id="352" w:name="page353"/>
    <w:bookmarkEnd w:id="35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0"/>
        <w:spacing w:after="0" w:line="246" w:lineRule="auto"/>
        <w:tabs>
          <w:tab w:leader="none" w:pos="195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231" w:lineRule="exact"/>
        <w:rPr>
          <w:rFonts w:ascii="Arial" w:cs="Arial" w:eastAsia="Arial" w:hAnsi="Arial"/>
          <w:sz w:val="20"/>
          <w:szCs w:val="20"/>
          <w:color w:val="auto"/>
        </w:rPr>
      </w:pPr>
    </w:p>
    <w:p>
      <w:pPr>
        <w:jc w:val="both"/>
        <w:ind w:left="220" w:firstLine="1289"/>
        <w:spacing w:after="0" w:line="250" w:lineRule="auto"/>
        <w:tabs>
          <w:tab w:leader="none" w:pos="1947" w:val="left"/>
        </w:tabs>
        <w:numPr>
          <w:ilvl w:val="1"/>
          <w:numId w:val="228"/>
        </w:numPr>
        <w:rPr>
          <w:rFonts w:ascii="Arial" w:cs="Arial" w:eastAsia="Arial" w:hAnsi="Arial"/>
          <w:sz w:val="20"/>
          <w:szCs w:val="20"/>
          <w:color w:val="auto"/>
        </w:rPr>
      </w:pPr>
      <w:r>
        <w:rPr>
          <w:rFonts w:ascii="Arial" w:cs="Arial" w:eastAsia="Arial" w:hAnsi="Arial"/>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12" w:lineRule="exact"/>
        <w:rPr>
          <w:rFonts w:ascii="Arial" w:cs="Arial" w:eastAsia="Arial" w:hAnsi="Arial"/>
          <w:sz w:val="20"/>
          <w:szCs w:val="20"/>
          <w:color w:val="auto"/>
        </w:rPr>
      </w:pPr>
    </w:p>
    <w:p>
      <w:pPr>
        <w:jc w:val="both"/>
        <w:ind w:left="220" w:firstLine="1291"/>
        <w:spacing w:after="0" w:line="268" w:lineRule="auto"/>
        <w:tabs>
          <w:tab w:leader="none" w:pos="195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 If the Administrative Agent receives funds for application to the Secured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w:t>
      </w:r>
    </w:p>
    <w:p>
      <w:pPr>
        <w:spacing w:after="0" w:line="4" w:lineRule="exact"/>
        <w:rPr>
          <w:rFonts w:ascii="Arial" w:cs="Arial" w:eastAsia="Arial" w:hAnsi="Arial"/>
          <w:sz w:val="18"/>
          <w:szCs w:val="18"/>
          <w:color w:val="auto"/>
        </w:rPr>
      </w:pPr>
    </w:p>
    <w:p>
      <w:pPr>
        <w:ind w:left="220" w:hanging="5"/>
        <w:spacing w:after="0" w:line="297" w:lineRule="auto"/>
        <w:tabs>
          <w:tab w:leader="none" w:pos="4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Outstanding Amount of all Loans outstanding at such time and (b) the Outstanding Amount of all L/C Obligations outstanding at such time, in repayment or prepayment of such of the outstanding Loans or other Secured Obligations then owing to such Lender.</w:t>
      </w:r>
    </w:p>
    <w:p>
      <w:pPr>
        <w:spacing w:after="0" w:line="187"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Sharing of Payments</w:t>
      </w:r>
      <w:r>
        <w:rPr>
          <w:rFonts w:ascii="Arial" w:cs="Arial" w:eastAsia="Arial" w:hAnsi="Arial"/>
          <w:sz w:val="20"/>
          <w:szCs w:val="20"/>
          <w:color w:val="auto"/>
        </w:rPr>
        <w:t>. If, other than as expressly provided elsewhere herein, any Lender shall obtain on account of the Loans made by it, or its participations in L/C Obligations, any payment (whether voluntary, involuntary, through the exercise of any right of setoff, or otherwise) in excess of its ratable share (or other share contemplated hereunder) thereof, such Lender shall immediately</w:t>
      </w:r>
    </w:p>
    <w:p>
      <w:pPr>
        <w:spacing w:after="0" w:line="3" w:lineRule="exact"/>
        <w:rPr>
          <w:sz w:val="20"/>
          <w:szCs w:val="20"/>
          <w:color w:val="auto"/>
        </w:rPr>
      </w:pPr>
    </w:p>
    <w:p>
      <w:pPr>
        <w:jc w:val="both"/>
        <w:ind w:left="140" w:hanging="6"/>
        <w:spacing w:after="0" w:line="268" w:lineRule="auto"/>
        <w:tabs>
          <w:tab w:leader="none" w:pos="65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if all or any portion of such excess payment is thereafter recovered from the purchasing Lender under any of the circumstances described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and (y) the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The Borrower agrees that any Lender so purchasing a participation from another Lender may, to the fullest extent permitted by applicable Law, exercise all its rights of payment (including the right of setoff, but subject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will in each case notify the Lenders following any such purchases or repayments. Each Lender that purchases a participation pursuant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-223-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3" w:name="page354"/>
    <w:bookmarkEnd w:id="35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 xml:space="preserve">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from and after such purchase have the right to give all notices, requests, demands, directions and other communications under this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-224-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4" w:name="page355"/>
    <w:bookmarkEnd w:id="35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380"/>
        <w:spacing w:after="0" w:line="260" w:lineRule="auto"/>
        <w:rPr>
          <w:sz w:val="20"/>
          <w:szCs w:val="20"/>
          <w:color w:val="auto"/>
        </w:rPr>
      </w:pPr>
      <w:r>
        <w:rPr>
          <w:rFonts w:ascii="Arial" w:cs="Arial" w:eastAsia="Arial" w:hAnsi="Arial"/>
          <w:sz w:val="20"/>
          <w:szCs w:val="20"/>
          <w:color w:val="auto"/>
        </w:rPr>
        <w:t>with respect to the portion of the Secured Obligations purchased to the same extent as though the purchasing Lender were the original owner of the Secured Obligations purchased.</w:t>
      </w:r>
    </w:p>
    <w:p>
      <w:pPr>
        <w:spacing w:after="0" w:line="21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Incremental Credit Extensions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186"/>
        <w:spacing w:after="0" w:line="267" w:lineRule="auto"/>
        <w:tabs>
          <w:tab w:leader="none" w:pos="19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At any time and from time to time, subject to the terms and conditions set forth herein, the Borrower or any Subsidiary Guarantor may, by notice to the Administrative Agent (whereupon the Administrative Agent shall promptly deliver a copy to each of the Lenders), request to increase the amount of any Class of Initial Term Loans or add one or more additional tranches of term loans (any such Initial Term Loans or additional tranche of term loans, the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and/or one or more increases in the Revolving Credit Commitments (a “</w:t>
      </w:r>
      <w:r>
        <w:rPr>
          <w:rFonts w:ascii="Arial" w:cs="Arial" w:eastAsia="Arial" w:hAnsi="Arial"/>
          <w:sz w:val="18"/>
          <w:szCs w:val="18"/>
          <w:u w:val="single" w:color="auto"/>
          <w:color w:val="auto"/>
        </w:rPr>
        <w:t>Revolving Credit Commitment Increase</w:t>
      </w:r>
      <w:r>
        <w:rPr>
          <w:rFonts w:ascii="Arial" w:cs="Arial" w:eastAsia="Arial" w:hAnsi="Arial"/>
          <w:sz w:val="18"/>
          <w:szCs w:val="18"/>
          <w:color w:val="auto"/>
        </w:rPr>
        <w:t>”) and/or the establishment of one or more new revolving credit commitments (an “</w:t>
      </w:r>
      <w:r>
        <w:rPr>
          <w:rFonts w:ascii="Arial" w:cs="Arial" w:eastAsia="Arial" w:hAnsi="Arial"/>
          <w:sz w:val="18"/>
          <w:szCs w:val="18"/>
          <w:u w:val="single" w:color="auto"/>
          <w:color w:val="auto"/>
        </w:rPr>
        <w:t>Additional Revolving Credit Commitment</w:t>
      </w:r>
      <w:r>
        <w:rPr>
          <w:rFonts w:ascii="Arial" w:cs="Arial" w:eastAsia="Arial" w:hAnsi="Arial"/>
          <w:sz w:val="18"/>
          <w:szCs w:val="18"/>
          <w:color w:val="auto"/>
        </w:rPr>
        <w:t>” and, together any Revolving Credit Commitment Increases, the “</w:t>
      </w:r>
      <w:r>
        <w:rPr>
          <w:rFonts w:ascii="Arial" w:cs="Arial" w:eastAsia="Arial" w:hAnsi="Arial"/>
          <w:sz w:val="18"/>
          <w:szCs w:val="18"/>
          <w:u w:val="single" w:color="auto"/>
          <w:color w:val="auto"/>
        </w:rPr>
        <w:t>Incremental Revolving Credit Commitments</w:t>
      </w:r>
      <w:r>
        <w:rPr>
          <w:rFonts w:ascii="Arial" w:cs="Arial" w:eastAsia="Arial" w:hAnsi="Arial"/>
          <w:sz w:val="18"/>
          <w:szCs w:val="18"/>
          <w:color w:val="auto"/>
        </w:rPr>
        <w:t>”; together with the Incremental Term Loans, the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Notwithstanding anything to contrary herein, the aggregate Dollar Equivalent amount of all Incremental Facilities (other than Refinancing Term Loans and Refinancing Revolving Credit Commitments) (determined at the time of incurrence), together with the aggregate principal amount of all Permitted Alternative Incremental Facilities Debt, shall not exceed the sum of (i) the greater of (x) $160.0 million and (y) 75.0% of LTM EBITDA (such amount, the “</w:t>
      </w:r>
      <w:r>
        <w:rPr>
          <w:rFonts w:ascii="Arial" w:cs="Arial" w:eastAsia="Arial" w:hAnsi="Arial"/>
          <w:sz w:val="18"/>
          <w:szCs w:val="18"/>
          <w:u w:val="single" w:color="auto"/>
          <w:color w:val="auto"/>
        </w:rPr>
        <w:t>Incremental Starter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(I) the aggregate amount of any voluntary prepayments, repurchases, redemptions or other retirements of the Term Loans and any other Indebtedness (in the case of such other Indebtedness, to the extent such Indebtedness is (x)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respect to security with the Obligations,</w:t>
      </w:r>
    </w:p>
    <w:p>
      <w:pPr>
        <w:spacing w:after="0" w:line="5" w:lineRule="exact"/>
        <w:rPr>
          <w:rFonts w:ascii="Arial" w:cs="Arial" w:eastAsia="Arial" w:hAnsi="Arial"/>
          <w:sz w:val="18"/>
          <w:szCs w:val="18"/>
          <w:color w:val="auto"/>
        </w:rPr>
      </w:pPr>
    </w:p>
    <w:p>
      <w:pPr>
        <w:jc w:val="both"/>
        <w:ind w:left="220" w:hanging="6"/>
        <w:spacing w:after="0" w:line="266" w:lineRule="auto"/>
        <w:tabs>
          <w:tab w:leader="none" w:pos="51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secured on a junior lien basis with the Obligations or (z) unsecured, and solely to the extent it was, in the case of clause (y) or (z), originally incurred pursuant to the Unrestricted Incremental Amount), payments made pursuant to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(to the extent such Indebtedness is retired rather than assigned) and voluntary permanent reductions of the Revolving Credit Commitments effected after the Closing Date (in each case, including pursuant to debt buy-backs made by Holdings or any Restricted Subsidiary pursuant to “Dutch Auction” procedures and open market purchases permitted hereunder, in an amount equal to the principal amount thereof, but excluding</w:t>
      </w:r>
    </w:p>
    <w:p>
      <w:pPr>
        <w:jc w:val="both"/>
        <w:ind w:left="2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 term Indebtedness (other than borrowings under the Revolving Credit Facility and other revolving Indebtedness, in each case without a substantially concurrent permanent commitment reduction)) and (II) in the case of an Incremental Facility (that is being incurred using the Unrestricted Incremental Amount) that serves to effectively extend the maturity of the Initial Term Loans, the Revolving Credit Facility and/or any other Incremental Facility, an amount equal to the portion of the Initial Term Loans, the Revolving Credit Facility and/or any other Incremental Facilities to be replaced with such Incremental Facility (such amount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the “</w:t>
      </w:r>
      <w:r>
        <w:rPr>
          <w:rFonts w:ascii="Arial" w:cs="Arial" w:eastAsia="Arial" w:hAnsi="Arial"/>
          <w:sz w:val="18"/>
          <w:szCs w:val="18"/>
          <w:u w:val="single" w:color="auto"/>
          <w:color w:val="auto"/>
        </w:rPr>
        <w:t>Voluntary Prepayment Amount</w:t>
      </w:r>
      <w:r>
        <w:rPr>
          <w:rFonts w:ascii="Arial" w:cs="Arial" w:eastAsia="Arial" w:hAnsi="Arial"/>
          <w:sz w:val="18"/>
          <w:szCs w:val="18"/>
          <w:color w:val="auto"/>
        </w:rPr>
        <w:t>” and, together with the Incremental Starter Amount, the “</w:t>
      </w:r>
      <w:r>
        <w:rPr>
          <w:rFonts w:ascii="Arial" w:cs="Arial" w:eastAsia="Arial" w:hAnsi="Arial"/>
          <w:sz w:val="18"/>
          <w:szCs w:val="18"/>
          <w:u w:val="single" w:color="auto"/>
          <w:color w:val="auto"/>
        </w:rPr>
        <w:t>Incremental Starter Basket</w:t>
      </w:r>
      <w:r>
        <w:rPr>
          <w:rFonts w:ascii="Arial" w:cs="Arial" w:eastAsia="Arial" w:hAnsi="Arial"/>
          <w:sz w:val="18"/>
          <w:szCs w:val="18"/>
          <w:color w:val="auto"/>
        </w:rPr>
        <w:t>,” the “</w:t>
      </w:r>
      <w:r>
        <w:rPr>
          <w:rFonts w:ascii="Arial" w:cs="Arial" w:eastAsia="Arial" w:hAnsi="Arial"/>
          <w:sz w:val="18"/>
          <w:szCs w:val="18"/>
          <w:u w:val="single" w:color="auto"/>
          <w:color w:val="auto"/>
        </w:rPr>
        <w:t>Unrestricted Incremental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unlimited additional Incremental Facilities and Permitted Alternative Incremental Facilities Debt so long as, after giving pro forma effect thereto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Incremental Facilities and Permitted Alternative Incremental Facilities Debt and without giving effect to any amount incurred simultaneously under (x) the Unrestricted Incremental Amount, (y) any other fixed dollar incurrence basket or (z) the Revolving Credit Facility) (and, in each case, for the avoidance of doubt, for purposes of calculating the Interest Coverage Ratio, without giving effect to any interest expense attributable to any such Indebtedness in connection therewith), (A) if such Incremental Facility</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-225-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5" w:name="page356"/>
    <w:bookmarkEnd w:id="35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 xml:space="preserve">is secured by a Lien on the Collateral that is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Liens securing the Initial Term Loans, the Consolidated First Lien Secured Leverage Ratio for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-226-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56" w:name="page357"/>
    <w:bookmarkEnd w:id="35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68" w:lineRule="auto"/>
        <w:rPr>
          <w:sz w:val="20"/>
          <w:szCs w:val="20"/>
          <w:color w:val="auto"/>
        </w:rPr>
      </w:pPr>
      <w:r>
        <w:rPr>
          <w:rFonts w:ascii="Arial" w:cs="Arial" w:eastAsia="Arial" w:hAnsi="Arial"/>
          <w:sz w:val="18"/>
          <w:szCs w:val="18"/>
          <w:color w:val="auto"/>
        </w:rPr>
        <w:t xml:space="preserve">most recently ended Test Period does not exceed 2.55:1.00 (or, to the extent such Incremental Facility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 (B) if such Incremental Facility is secured by a Lien on the Collateral that is junior to the Liens securing the Initial Term Loans, the Consolidated Total Senior Secured Leverage Ratio for the most recently ended Test Period does not exceed 3.05:1.00 (or, to the extent such Incremental Facility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Incremental Facility is unsecured, the Consolidated Total Leverage Ratio for the most recently ended Test Period does not exceed 3.05:1.00 (or, to the extent such Incremental Facility is incurred in connection with any Permitted Investment, the Consolidated Total Leverage Ratio for the most recently ended Test Period does not exceed the greater of 3.05:1.00 and the Consolidated Total Leverage Ratio immediately prior to such Permitted Investment) (this </w:t>
      </w:r>
      <w:r>
        <w:rPr>
          <w:rFonts w:ascii="Arial" w:cs="Arial" w:eastAsia="Arial" w:hAnsi="Arial"/>
          <w:sz w:val="18"/>
          <w:szCs w:val="18"/>
          <w:u w:val="single" w:color="auto"/>
          <w:color w:val="auto"/>
        </w:rPr>
        <w:t>clause (iii)</w:t>
      </w:r>
      <w:r>
        <w:rPr>
          <w:rFonts w:ascii="Arial" w:cs="Arial" w:eastAsia="Arial" w:hAnsi="Arial"/>
          <w:sz w:val="18"/>
          <w:szCs w:val="18"/>
          <w:color w:val="auto"/>
        </w:rPr>
        <w:t>, the “</w:t>
      </w:r>
      <w:r>
        <w:rPr>
          <w:rFonts w:ascii="Arial" w:cs="Arial" w:eastAsia="Arial" w:hAnsi="Arial"/>
          <w:sz w:val="18"/>
          <w:szCs w:val="18"/>
          <w:u w:val="single" w:color="auto"/>
          <w:color w:val="auto"/>
        </w:rPr>
        <w:t>Incremental Incurrence Test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Incremental Facilities may be incurred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prior to utilization of the Unrestricted Incremental Amount, (y) assuming for purposes of such calculation that the full committed amount of any new Incremental Revolving Credit Commitments and/or any Permitted Alternative Incremental Facilities Debt constituting a revolving credit commitment then being incurred shall be treated as outstanding Indebtedness and (z) any Indebtedness originally incurred under the Unrestricted Incremental Amount shall be automatically and immediately reclassified (unless the Borrower otherwise elects from time to time) as having been incurred under this clause (iii), at any time the Borrower would be permitted to incur under this clause (iii) the aggregate principal amount of the Indebtedness being so reclassified (for purposes of clarity, with any such reclassification having the effect of increasing the Borrower’s ability to incur Indebtedness under the Unrestricted Incremental Amount on and after the date of such reclassification by the amount of Indebtedness so re-designated). Each Incremental Facility shall be in an integral multiple of $1.0 million and be in an aggregate principal amount that is not less than $5.0 million in case of Incremental Term Loans or $5.0 million in case of Incremental Revolving Credit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 the applicable minimum amount if such amount represents all the remaining availability hereunder as set forth above.</w:t>
      </w:r>
    </w:p>
    <w:p>
      <w:pPr>
        <w:spacing w:after="0" w:line="219" w:lineRule="exact"/>
        <w:rPr>
          <w:sz w:val="20"/>
          <w:szCs w:val="20"/>
          <w:color w:val="auto"/>
        </w:rPr>
      </w:pPr>
    </w:p>
    <w:p>
      <w:pPr>
        <w:jc w:val="both"/>
        <w:ind w:left="220" w:firstLine="1186"/>
        <w:spacing w:after="0" w:line="269" w:lineRule="auto"/>
        <w:tabs>
          <w:tab w:leader="none" w:pos="194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Any Incremental Term Loans (other than Refinancing Term Loans) (i) for purposes of mandatory prepayments, shall be treated substantially the same as (and in any event no more favorably than) the Term Loans, (ii) shall have interest rate margins (including “MFN” protection), (subject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amortization schedule and other terms as determined by the Borrower and the Lenders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Effective Yield of any Incremental Term Loans that are MFN Qualifying Term Loans exceeds the Effective Yield of the Initial Term Loans immediately prior to the effectiveness of the applicable Incremental Facility Amendment by more than 0.50% per annum, the Applicable Rate and/or, as set forth below, the interest rate floor relating to such Initial Term Loans shall be adjusted such that the Effective Yield of such Initial Term Loans is equal to the Effective Yield of such Incremental Term Loans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0.50% per annum, it being understood and agreed that the relative rate differentials in any pricing grid specified in the Applicable Rate shall continue to be maintained (the foregoing, including all qualifications and exceptions thereto, collectively, the “</w:t>
      </w:r>
      <w:r>
        <w:rPr>
          <w:rFonts w:ascii="Arial" w:cs="Arial" w:eastAsia="Arial" w:hAnsi="Arial"/>
          <w:sz w:val="18"/>
          <w:szCs w:val="18"/>
          <w:u w:val="single" w:color="auto"/>
          <w:color w:val="auto"/>
        </w:rPr>
        <w:t>MFN Adjustment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increase in Effective Yield with respect to the Initial Term Loans due to the application of an interest rate floor to any Incremental Term Loan greater than the interest rate floor applicable to the applicable Initial Term Loans shall be effected solely through an increase in the interest rate floor applicable to such Initial Term Loans), (iii) any Incremental Term Loan shall not have a final maturity date earlier than the Maturity Date applicable to the Initial Term Loans, (iv) any Incremental Term Loan shall not have a Weighted Average Life to Maturity that is shorter than the Weighted Average Life to Maturity of the Initial Term Loans (without giving effect to any prepayments), (v) shall</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-227-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7" w:name="page358"/>
    <w:bookmarkEnd w:id="35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be guaranteed by any person other than the Loan Parties and, to the extent secured, shall not be secured by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-228-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58" w:name="page359"/>
    <w:bookmarkEnd w:id="35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71" w:lineRule="auto"/>
        <w:rPr>
          <w:sz w:val="20"/>
          <w:szCs w:val="20"/>
          <w:color w:val="auto"/>
        </w:rPr>
      </w:pPr>
      <w:r>
        <w:rPr>
          <w:rFonts w:ascii="Arial" w:cs="Arial" w:eastAsia="Arial" w:hAnsi="Arial"/>
          <w:sz w:val="18"/>
          <w:szCs w:val="18"/>
          <w:color w:val="auto"/>
        </w:rPr>
        <w:t>any assets other than the Collateral, (vi) for purposes of voluntary and mandatory prepayments, shall, unless less favorable treatment is otherwise agreed by the Lenders providing such Incremental Term Loans, share ratably in (or, if junior in right of payment or as to security, on a junior basis with respect to the Initial Term Loans) any voluntary and mandatory prepayments of the Initial Term Loans and</w:t>
      </w:r>
    </w:p>
    <w:p>
      <w:pPr>
        <w:spacing w:after="0" w:line="1" w:lineRule="exact"/>
        <w:rPr>
          <w:sz w:val="20"/>
          <w:szCs w:val="20"/>
          <w:color w:val="auto"/>
        </w:rPr>
      </w:pPr>
    </w:p>
    <w:p>
      <w:pPr>
        <w:jc w:val="both"/>
        <w:ind w:left="220" w:hanging="6"/>
        <w:spacing w:after="0" w:line="300" w:lineRule="auto"/>
        <w:tabs>
          <w:tab w:leader="none" w:pos="61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shall be on terms and conditions and pursuant to documentation to be determined between the Borrower and the Lenders providing such Incremental Term Loans (</w:t>
      </w:r>
      <w:r>
        <w:rPr>
          <w:rFonts w:ascii="Arial" w:cs="Arial" w:eastAsia="Arial" w:hAnsi="Arial"/>
          <w:sz w:val="16"/>
          <w:szCs w:val="16"/>
          <w:i w:val="1"/>
          <w:iCs w:val="1"/>
          <w:color w:val="auto"/>
        </w:rPr>
        <w:t>provided</w:t>
      </w:r>
      <w:r>
        <w:rPr>
          <w:rFonts w:ascii="Arial" w:cs="Arial" w:eastAsia="Arial" w:hAnsi="Arial"/>
          <w:sz w:val="16"/>
          <w:szCs w:val="16"/>
          <w:color w:val="auto"/>
        </w:rPr>
        <w:t>, that, to the extent such terms and documentation are not consistent with the existing Term Loans (but excluding any terms applicable only after the applicable Term Loan Maturity Date), they shall either, at the option of the Borrower,</w:t>
      </w:r>
    </w:p>
    <w:p>
      <w:pPr>
        <w:spacing w:after="0" w:line="1" w:lineRule="exact"/>
        <w:rPr>
          <w:rFonts w:ascii="Arial" w:cs="Arial" w:eastAsia="Arial" w:hAnsi="Arial"/>
          <w:sz w:val="16"/>
          <w:szCs w:val="16"/>
          <w:color w:val="auto"/>
        </w:rPr>
      </w:pPr>
    </w:p>
    <w:p>
      <w:pPr>
        <w:jc w:val="both"/>
        <w:ind w:left="220"/>
        <w:spacing w:after="0"/>
        <w:rPr>
          <w:rFonts w:ascii="Arial" w:cs="Arial" w:eastAsia="Arial" w:hAnsi="Arial"/>
          <w:sz w:val="16"/>
          <w:szCs w:val="16"/>
          <w:color w:val="auto"/>
        </w:rPr>
      </w:pPr>
      <w:r>
        <w:rPr>
          <w:rFonts w:ascii="Arial" w:cs="Arial" w:eastAsia="Arial" w:hAnsi="Arial"/>
          <w:sz w:val="20"/>
          <w:szCs w:val="20"/>
          <w:color w:val="auto"/>
        </w:rPr>
        <w:t xml:space="preserve">(A) reflect market terms and conditions (taken as a whole) at the time of (subject to </w:t>
      </w:r>
      <w:r>
        <w:rPr>
          <w:rFonts w:ascii="Arial" w:cs="Arial" w:eastAsia="Arial" w:hAnsi="Arial"/>
          <w:sz w:val="20"/>
          <w:szCs w:val="20"/>
          <w:u w:val="single" w:color="auto"/>
          <w:color w:val="auto"/>
        </w:rPr>
        <w:t>Section 1.09(a)</w:t>
      </w:r>
      <w:r>
        <w:rPr>
          <w:rFonts w:ascii="Arial" w:cs="Arial" w:eastAsia="Arial" w:hAnsi="Arial"/>
          <w:sz w:val="20"/>
          <w:szCs w:val="20"/>
          <w:color w:val="auto"/>
        </w:rPr>
        <w:t>) incurrence or effectiveness (as determined by the Borrower in good faith) or (B) be reasonably satisfactory to the Administrative Agent (it being understood that no consent shall be required from the Administrative Agent for any terms or conditions that are not market terms if the Lenders under the Term Loans existing on the date of incurrence of such Incremental Term Loans receive the benefit of such terms or conditions through their addition to the Loan Documents)).</w:t>
      </w:r>
    </w:p>
    <w:p>
      <w:pPr>
        <w:spacing w:after="0" w:line="238" w:lineRule="exact"/>
        <w:rPr>
          <w:rFonts w:ascii="Arial" w:cs="Arial" w:eastAsia="Arial" w:hAnsi="Arial"/>
          <w:sz w:val="16"/>
          <w:szCs w:val="16"/>
          <w:color w:val="auto"/>
        </w:rPr>
      </w:pPr>
    </w:p>
    <w:p>
      <w:pPr>
        <w:jc w:val="both"/>
        <w:ind w:left="220" w:firstLine="1186"/>
        <w:spacing w:after="0" w:line="253" w:lineRule="auto"/>
        <w:tabs>
          <w:tab w:leader="none" w:pos="1948"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Any Incremental Revolving Credit Commitments (other than Refinancing Revolving Credit Commitments) (i) for purposes of mandatory prepayments, shall be treated substantially the same as (and in any event no more favorably than) the Revolving Credit Commitments, (ii) shall have interest rate margins and (subject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amortization schedule as determined by the Borrower and the lenders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a Revolving 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and such Additional Revolving Credit Commitment shall require no scheduled amortization or mandatory commitment reduction prior to the final Maturity Date of the Revolving Credit Commitments), (iii) any Incremental Revolving Credit Commitments shall not have a final maturity date earlier than the Maturity Date applicable to the Revolving Credit Commitments,</w:t>
      </w:r>
    </w:p>
    <w:p>
      <w:pPr>
        <w:spacing w:after="0" w:line="5" w:lineRule="exact"/>
        <w:rPr>
          <w:rFonts w:ascii="Arial" w:cs="Arial" w:eastAsia="Arial" w:hAnsi="Arial"/>
          <w:sz w:val="19"/>
          <w:szCs w:val="19"/>
          <w:color w:val="auto"/>
        </w:rPr>
      </w:pPr>
    </w:p>
    <w:p>
      <w:pPr>
        <w:jc w:val="both"/>
        <w:ind w:left="220" w:hanging="6"/>
        <w:spacing w:after="0" w:line="281" w:lineRule="auto"/>
        <w:tabs>
          <w:tab w:leader="none" w:pos="59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Incremental Revolving Credit Commitments shall not have a Weighted Average Life to Maturity that is shorter than the Weighted Average Life to Maturity of the Revolving Credit Commitments, and (v) shall be on terms and conditions and pursuant to documentation to be determined between the Borrower and the Lenders providing such Incremental Revolving Credit Commitments.</w:t>
      </w:r>
    </w:p>
    <w:p>
      <w:pPr>
        <w:spacing w:after="0" w:line="188" w:lineRule="exact"/>
        <w:rPr>
          <w:rFonts w:ascii="Arial" w:cs="Arial" w:eastAsia="Arial" w:hAnsi="Arial"/>
          <w:sz w:val="18"/>
          <w:szCs w:val="18"/>
          <w:color w:val="auto"/>
        </w:rPr>
      </w:pPr>
    </w:p>
    <w:p>
      <w:pPr>
        <w:jc w:val="both"/>
        <w:ind w:left="220" w:firstLine="1131"/>
        <w:spacing w:after="0" w:line="272" w:lineRule="auto"/>
        <w:tabs>
          <w:tab w:leader="none" w:pos="194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Each notice from the Borrower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set forth the requested amount and proposed terms of the relevant Incremental Term Loans and/or Incremental Revolving Credit Commitments. Any additional bank, financial institution, existing Lender or other Person that elects to extend Incremental Term Loans or Incremental Revolving Credit Commitments shall be reasonably satisfactory to the Borrower and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Administrative Agent’s consent shall only be required if such consent would be required pursuant to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and such consent shall not be unreasonably withheld or delayed) (any such bank, financial institution, existing Lender or other Person being called an “</w:t>
      </w:r>
      <w:r>
        <w:rPr>
          <w:rFonts w:ascii="Arial" w:cs="Arial" w:eastAsia="Arial" w:hAnsi="Arial"/>
          <w:sz w:val="18"/>
          <w:szCs w:val="18"/>
          <w:u w:val="single" w:color="auto"/>
          <w:color w:val="auto"/>
        </w:rPr>
        <w:t>Additional Lender</w:t>
      </w:r>
      <w:r>
        <w:rPr>
          <w:rFonts w:ascii="Arial" w:cs="Arial" w:eastAsia="Arial" w:hAnsi="Arial"/>
          <w:sz w:val="18"/>
          <w:szCs w:val="18"/>
          <w:color w:val="auto"/>
        </w:rPr>
        <w:t>”) and, if not already a Lender, shall become a Lender under this Agreement pursuant to an amendment (an “</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to this Agreement and, as appropriate, the other Loan Documents, executed by Holdings, the Borrower, such Additional Lender, the Administrative Agent and, in the case of any Incremental Revolving Credit Commitments and each L/C Issuer; </w:t>
      </w:r>
      <w:r>
        <w:rPr>
          <w:rFonts w:ascii="Arial" w:cs="Arial" w:eastAsia="Arial" w:hAnsi="Arial"/>
          <w:sz w:val="18"/>
          <w:szCs w:val="18"/>
          <w:i w:val="1"/>
          <w:iCs w:val="1"/>
          <w:color w:val="auto"/>
        </w:rPr>
        <w:t>provided</w:t>
      </w:r>
      <w:r>
        <w:rPr>
          <w:rFonts w:ascii="Arial" w:cs="Arial" w:eastAsia="Arial" w:hAnsi="Arial"/>
          <w:sz w:val="18"/>
          <w:szCs w:val="18"/>
          <w:color w:val="auto"/>
        </w:rPr>
        <w:t>, the Administrative Agent’s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-229-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59" w:name="page360"/>
    <w:bookmarkEnd w:id="35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spacing w:after="0" w:line="250" w:lineRule="auto"/>
        <w:rPr>
          <w:sz w:val="20"/>
          <w:szCs w:val="20"/>
          <w:color w:val="auto"/>
        </w:rPr>
      </w:pPr>
      <w:r>
        <w:rPr>
          <w:rFonts w:ascii="Arial" w:cs="Arial" w:eastAsia="Arial" w:hAnsi="Arial"/>
          <w:sz w:val="20"/>
          <w:szCs w:val="20"/>
          <w:color w:val="auto"/>
        </w:rPr>
        <w:t xml:space="preserve">and/or L/C Issuer’s consent shall only be required if such consent would be required pursuant to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and such consent shall not be unreasonably withheld or delayed or otherwise pursuant to </w:t>
      </w:r>
      <w:r>
        <w:rPr>
          <w:rFonts w:ascii="Arial" w:cs="Arial" w:eastAsia="Arial" w:hAnsi="Arial"/>
          <w:sz w:val="20"/>
          <w:szCs w:val="20"/>
          <w:u w:val="single" w:color="auto"/>
          <w:color w:val="auto"/>
        </w:rPr>
        <w:t>Section 10.01</w:t>
      </w:r>
      <w:r>
        <w:rPr>
          <w:rFonts w:ascii="Arial" w:cs="Arial" w:eastAsia="Arial" w:hAnsi="Arial"/>
          <w:sz w:val="20"/>
          <w:szCs w:val="20"/>
          <w:color w:val="auto"/>
        </w:rPr>
        <w:t>. For the avoidance of doubt, no L/C Issuer is required to act as such for any Additional Revolving Credit Commitments unless they so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-230-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0" w:name="page361"/>
    <w:bookmarkEnd w:id="36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67" w:lineRule="auto"/>
        <w:rPr>
          <w:sz w:val="20"/>
          <w:szCs w:val="20"/>
          <w:color w:val="auto"/>
        </w:rPr>
      </w:pPr>
      <w:r>
        <w:rPr>
          <w:rFonts w:ascii="Arial" w:cs="Arial" w:eastAsia="Arial" w:hAnsi="Arial"/>
          <w:sz w:val="18"/>
          <w:szCs w:val="18"/>
          <w:color w:val="auto"/>
        </w:rPr>
        <w:t xml:space="preserve">consent. No Incremental Facility Amendment shall require the consent of any Lenders other than the Additional Lenders with respect to such Incremental Facility Amendment. No Lender shall be obligated to provide any Incremental Term Loans or Incremental Revolving Credit Commitments, unless it so agrees. Commitments in respect of any Incremental Term Loans or Incremental Revolving Credit Commitments may become Commitments under this Agreement. An Incremental Facility Amendment may, without the consent of any other Lenders, effect such amendments to any Loan Documents as may be necessary or appropriate, in the opinion of the Administrative Agent, to effect the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The effectiveness of any Incremental Facility Amendment shall, unless otherwise agreed by the Additional Lenders, be subject to the satisfaction on the date thereof (each, an “</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of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(it being understood that (x) all references to “the date of such Credit Extension”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shall be deemed to refer to the Incremental Facility Closing Date and (y) if the proceeds of such Incremental Facility are to be used, in whole or in part, (1) to finance a Permitted Investment, (A) the only representations and warranties that will be required to be true and correct in all material respects as of the applicable Incremental Facility Closing Date shall be the Specified Representations and (B) no Specified Default shall have occurred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shall not apply or (2) to finance a Limited Condition Transaction, (A) the only representations and warranties that will be required to be true and correct in all material respects as of the applicable Incremental Facility Closing Date shall be the Specified Representations and (B) no Specified Default shall have occurred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shall not apply). The proceeds of any Incremental Term Loans will be used only for working capital needs and other general corporate purposes (including, without limitation, capital expenditures, acquisitions and investments, working capital and/or purchase price adjustments, restricted payments, prepayments of Subordinated Indebtedness and related fees and expenses) and for any other purposes not prohibited by this Agreement. Upon each increase in the Revolving Credit Commitments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each Revolving Credit Lender immediately prior to such increase will automatically and without further act be deemed to have assigned to each Lender providing a portion of the Incremental Revolving Credit Commitment (each, an “</w:t>
      </w:r>
      <w:r>
        <w:rPr>
          <w:rFonts w:ascii="Arial" w:cs="Arial" w:eastAsia="Arial" w:hAnsi="Arial"/>
          <w:sz w:val="18"/>
          <w:szCs w:val="18"/>
          <w:u w:val="single" w:color="auto"/>
          <w:color w:val="auto"/>
        </w:rPr>
        <w:t>Incremental Revolving Lender</w:t>
      </w:r>
      <w:r>
        <w:rPr>
          <w:rFonts w:ascii="Arial" w:cs="Arial" w:eastAsia="Arial" w:hAnsi="Arial"/>
          <w:sz w:val="18"/>
          <w:szCs w:val="18"/>
          <w:color w:val="auto"/>
        </w:rPr>
        <w:t>”)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held by each Revolving Credit Lender (including each such Incremental Revolving Lender) will equal the percentage of the aggregate Revolving Credit Commitments of all Revolving Credit Lenders represented by such Revolving Credit Lender’s Revolving Credit Commitment. Additionally, if any Revolving Credit Loans are outstanding at the time any Incremental Revolving Credit Commitments are established, the Revolving Credit Lenders immediately after effectiveness of such Incremental Revolving Credit Commitments shall purchase and assign at par such amounts of the Revolving Credit Loans outstanding at such time as the Administrative Agent may require such that each Revolving Credit Lender holds its Applicable Percentage of all Revolving Credit Loans outstanding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232" w:lineRule="exact"/>
        <w:rPr>
          <w:sz w:val="20"/>
          <w:szCs w:val="20"/>
          <w:color w:val="auto"/>
        </w:rPr>
      </w:pPr>
    </w:p>
    <w:p>
      <w:pPr>
        <w:jc w:val="both"/>
        <w:ind w:left="220" w:firstLine="1186"/>
        <w:spacing w:after="0" w:line="244" w:lineRule="auto"/>
        <w:tabs>
          <w:tab w:leader="none" w:pos="1948"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Any portion of any Incremental Facility incurred other than under the Incremental Incurrence Test may be reclassified at any time, as the Borrower may elect from time to time, as incurred under the Incremental Incurrence Test if the Borrower meets the applicable ratio under the Incremental Incurrence Test at such time on a pro forma basis for such reclassification at any time subsequent to the incurrence of such Incremental Facility (or would have met such ratio, in which case, such reclassification shall be deemed to have automatically occurred if not elected by the Borrower).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-231-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1" w:name="page362"/>
    <w:bookmarkEnd w:id="36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8"/>
          <w:szCs w:val="18"/>
          <w:u w:val="single" w:color="auto"/>
          <w:color w:val="auto"/>
        </w:rPr>
        <w:t>Extensions of Term Loans and Revolving Credit Commitments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67" w:lineRule="auto"/>
        <w:tabs>
          <w:tab w:leader="none" w:pos="19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w:t>
      </w:r>
      <w:r>
        <w:rPr>
          <w:rFonts w:ascii="Arial" w:cs="Arial" w:eastAsia="Arial" w:hAnsi="Arial"/>
          <w:sz w:val="18"/>
          <w:szCs w:val="18"/>
          <w:color w:val="auto"/>
        </w:rPr>
        <w:t>”) made from time to time by the Borrower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Borrower is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without limitation, by increasing the interest rate or fees payable in respect of such Term Loans and/or Revolving Credit Commitments (and related outstandings) and/or modifying the amortization schedule in respect of such Lender’s Term Loans) (each, an “</w:t>
      </w:r>
      <w:r>
        <w:rPr>
          <w:rFonts w:ascii="Arial" w:cs="Arial" w:eastAsia="Arial" w:hAnsi="Arial"/>
          <w:sz w:val="18"/>
          <w:szCs w:val="18"/>
          <w:u w:val="single" w:color="auto"/>
          <w:color w:val="auto"/>
        </w:rPr>
        <w:t>Extension</w:t>
      </w:r>
      <w:r>
        <w:rPr>
          <w:rFonts w:ascii="Arial" w:cs="Arial" w:eastAsia="Arial" w:hAnsi="Arial"/>
          <w:sz w:val="18"/>
          <w:szCs w:val="18"/>
          <w:color w:val="auto"/>
        </w:rPr>
        <w:t>,” and each group of Term Loans or Revolving Credit Commitments, as applicable, in each case as so extended, as well as the original Term Loans and the original Revolving Credit Commitments (in each case not so extended), being a separate Class of Term Loans from the Class of Term Loans from which they were converted, and any Extended Revolving Credit Commitments (as defined below) shall constitute a separate Class of Revolving Credit Commitments from the Class of Revolving Credit Commitments from which they were converted, it being understood that an Extension may be in the form of an increase in the amount of any other then outstanding Class of Term Loans or Revolving Credit Commitments otherwise satisfying the criteria set forth below), so long as the following terms are satisfied: (i) except as to interest rates, fees and final maturity (which shall be determined by the Borrower and set forth in the relevant Extension Offer), the Revolving Credit Commitment of any Revolving Credit Lender that agrees to an extension with respect to such Revolving Credit Commitment extended pursuant to an Extension (an “</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and the related outstandings, shall be a Revolving Credit Commitment (or related outstandings, as the case may be) with the same terms as the original Class of Revolving Credit Commitments (and related outstandings);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no time shall there be Revolving Credit Commitments hereunder (including Extended Revolving Credit Commitments and any original Revolving Credit Commitments) which have more than three different maturity dates, (ii) except as to interest rates, fees, amortization, final maturity date, premium, required prepayment dates and participation in prepayments (which shall, subject to immediately succeeding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be determined between the Borrower and set forth in the relevant Extension Offer), the Term Loans of any Term Lender that agrees to an extension with respect to such Term Loans extended pursuant to any Extension (“</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shall have the same terms as the Class of Term Loans subject to such Extension Offer, (iii) the final maturity date of any Extended Term Loans shall be no earlier than the then latest maturity date hereunder and the amortization schedule applicable to Term Loans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for periods prior to the Maturity Date for Initial Term Loans may not be increased, (iv) the Weighted Average Life to Maturity of any Extended Term Loans shall be no shorter than the remaining Weighted Average Life to Maturity of the Term Loans extended thereby,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the Class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of such Class, as the case may be, offered to be extended by the Borrower pursuant to such Extension Offer, then the Term Loans or Revolving Credit Commitments of such Class, as the case may be, of such Term Lenders or Revolving Credit Lenders, as the case may be, shall be extended ratably up to such maximum amount based on the respective principal amounts (but</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-232-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not to exceed actual holdings of record) with respect to which such Term Lenders or Revolving Credit Lenders, as the case may be, have accepted such Extension Offer, (vii) all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-233-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3" w:name="page364"/>
    <w:bookmarkEnd w:id="36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91" w:lineRule="auto"/>
        <w:rPr>
          <w:sz w:val="20"/>
          <w:szCs w:val="20"/>
          <w:color w:val="auto"/>
        </w:rPr>
      </w:pPr>
      <w:r>
        <w:rPr>
          <w:rFonts w:ascii="Arial" w:cs="Arial" w:eastAsia="Arial" w:hAnsi="Arial"/>
          <w:sz w:val="18"/>
          <w:szCs w:val="18"/>
          <w:color w:val="auto"/>
        </w:rPr>
        <w:t>documentation in respect of such Extension shall be consistent with the foregoing, (viii) any applicable Minimum Extension Condition shall be satisfied unless waived by the Borrower and (ix) the Minimum Tranche Amount shall be satisfied unless waived by the Administrative Agent. No Lender shall be obligated to extend its Term Loans or Revolving Credit Commitments unless it so agrees.</w:t>
      </w:r>
    </w:p>
    <w:p>
      <w:pPr>
        <w:spacing w:after="0" w:line="192" w:lineRule="exact"/>
        <w:rPr>
          <w:sz w:val="20"/>
          <w:szCs w:val="20"/>
          <w:color w:val="auto"/>
        </w:rPr>
      </w:pPr>
    </w:p>
    <w:p>
      <w:pPr>
        <w:jc w:val="both"/>
        <w:ind w:left="220" w:firstLine="1291"/>
        <w:spacing w:after="0" w:line="253" w:lineRule="auto"/>
        <w:tabs>
          <w:tab w:leader="none" w:pos="195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 such Extensions shall not constitute voluntary or mandatory payments or prepayments for purposes of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(ii) no Extension Offer is required to be in any minimum amount or any minimum increment,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Borrower may at its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xml:space="preserve">”) to consummating any such Extension that a minimum amount (to be determined and specified in the relevant Extension Offer in the Borrower’s sole discretion and may be waived by the Borrower) of Term Loans or Revolving Credit Commitments (as applicable) of any or all applicable Classes be tendered, (y) no Class of Extended Term Loans shall be in a Dollar Equivalent amount of less than $15.0 million and (z) no Class of Extended Revolving Credit Commitments shall be in a Dollar Equivalent amount of less than $5.0 million (each amount in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xml:space="preserve"> above, the “</w:t>
      </w:r>
      <w:r>
        <w:rPr>
          <w:rFonts w:ascii="Arial" w:cs="Arial" w:eastAsia="Arial" w:hAnsi="Arial"/>
          <w:sz w:val="19"/>
          <w:szCs w:val="19"/>
          <w:u w:val="single" w:color="auto"/>
          <w:color w:val="auto"/>
        </w:rPr>
        <w:t>Minimum Tranche Amount</w:t>
      </w:r>
      <w:r>
        <w:rPr>
          <w:rFonts w:ascii="Arial" w:cs="Arial" w:eastAsia="Arial" w:hAnsi="Arial"/>
          <w:sz w:val="19"/>
          <w:szCs w:val="19"/>
          <w:color w:val="auto"/>
        </w:rPr>
        <w:t xml:space="preserve">”), unless such Minimum Tranche Amount is waived by the Administrative Agent. The Administrative Agent and the Lenders hereby consent to the transactions contemplated by this </w:t>
      </w:r>
      <w:r>
        <w:rPr>
          <w:rFonts w:ascii="Arial" w:cs="Arial" w:eastAsia="Arial" w:hAnsi="Arial"/>
          <w:sz w:val="19"/>
          <w:szCs w:val="19"/>
          <w:u w:val="single" w:color="auto"/>
          <w:color w:val="auto"/>
        </w:rPr>
        <w:t>Section</w:t>
      </w:r>
    </w:p>
    <w:p>
      <w:pPr>
        <w:spacing w:after="0" w:line="7" w:lineRule="exact"/>
        <w:rPr>
          <w:rFonts w:ascii="Arial" w:cs="Arial" w:eastAsia="Arial" w:hAnsi="Arial"/>
          <w:sz w:val="19"/>
          <w:szCs w:val="19"/>
          <w:color w:val="auto"/>
        </w:rPr>
      </w:pPr>
    </w:p>
    <w:p>
      <w:pPr>
        <w:jc w:val="both"/>
        <w:ind w:left="220"/>
        <w:spacing w:after="0" w:line="276" w:lineRule="auto"/>
        <w:rPr>
          <w:rFonts w:ascii="Arial" w:cs="Arial" w:eastAsia="Arial" w:hAnsi="Arial"/>
          <w:sz w:val="19"/>
          <w:szCs w:val="19"/>
          <w:color w:val="auto"/>
        </w:rPr>
      </w:pPr>
      <w:r>
        <w:rPr>
          <w:rFonts w:ascii="Arial" w:cs="Arial" w:eastAsia="Arial" w:hAnsi="Arial"/>
          <w:sz w:val="18"/>
          <w:szCs w:val="18"/>
          <w:u w:val="single" w:color="auto"/>
          <w:color w:val="auto"/>
        </w:rPr>
        <w:t>2.15</w:t>
      </w:r>
      <w:r>
        <w:rPr>
          <w:rFonts w:ascii="Arial" w:cs="Arial" w:eastAsia="Arial" w:hAnsi="Arial"/>
          <w:sz w:val="18"/>
          <w:szCs w:val="18"/>
          <w:color w:val="auto"/>
        </w:rPr>
        <w:t xml:space="preserve"> (including, for the avoidance of doubt, payment of any interest, fees or premium in respect of any Extended Term Loans and/or Extended Revolving Credit Commitments on the such terms as may be set forth in the relevant Extension Offer) and hereby waive the requirements of any provision of this Agreement (including, without limitation,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any other Loan Document that may otherwise prohibit any such Extension or any other transaction contemplated by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73" w:lineRule="exact"/>
        <w:rPr>
          <w:rFonts w:ascii="Arial" w:cs="Arial" w:eastAsia="Arial" w:hAnsi="Arial"/>
          <w:sz w:val="19"/>
          <w:szCs w:val="19"/>
          <w:color w:val="auto"/>
        </w:rPr>
      </w:pPr>
    </w:p>
    <w:p>
      <w:pPr>
        <w:jc w:val="both"/>
        <w:ind w:left="220" w:firstLine="1290"/>
        <w:spacing w:after="0" w:line="245" w:lineRule="auto"/>
        <w:tabs>
          <w:tab w:leader="none" w:pos="1948" w:val="left"/>
        </w:tabs>
        <w:numPr>
          <w:ilvl w:val="1"/>
          <w:numId w:val="238"/>
        </w:numPr>
        <w:rPr>
          <w:rFonts w:ascii="Arial" w:cs="Arial" w:eastAsia="Arial" w:hAnsi="Arial"/>
          <w:sz w:val="20"/>
          <w:szCs w:val="20"/>
          <w:color w:val="auto"/>
        </w:rPr>
      </w:pPr>
      <w:r>
        <w:rPr>
          <w:rFonts w:ascii="Arial" w:cs="Arial" w:eastAsia="Arial" w:hAnsi="Arial"/>
          <w:sz w:val="20"/>
          <w:szCs w:val="20"/>
          <w:color w:val="auto"/>
        </w:rPr>
        <w:t>No consent of any Lender or the Administrative Agent shall be required to effectuate any Extension, other than (A) the consent of each Lender agreeing to such Extension with respect to one or more of its Term Loans and/or Revolving Credit Commitments (or a portion thereof) and</w:t>
      </w:r>
    </w:p>
    <w:p>
      <w:pPr>
        <w:jc w:val="both"/>
        <w:ind w:left="220" w:hanging="6"/>
        <w:spacing w:after="0" w:line="252" w:lineRule="auto"/>
        <w:tabs>
          <w:tab w:leader="none" w:pos="54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with respect to any Extension of any Class of Revolving Credit Commitments, the consent of the relevant L/C Issuer (if such L/C Issuer is being requested to issue letters of credit with respect to the Class of Extended Revolving Credit Commitments). All Extended Term Loans, Extended Revolving Credit Commitments and all obligations in respect thereof shall be Secured Obligations under this Agreement and the other Loan Documents that are secured by the Collateral on a pari passu basis with all other applicable Secured Obligations under this Agreement and the other Loan Documents. The Lenders hereby irrevocably authorize the Administrative Agent to enter into amendments to this Agreement and the other Loan Documents with the Borrower as may be necessary in order to establish new Classes in respect of Revolving Credit Commitments or Term Loans so extended and such technical amendments as may be necessary or appropriate in the reasonable opinion of the Administrative Agent and the Borrower in connection with the establishment of such new Classes, in each case on terms consistent with this </w:t>
      </w:r>
      <w:r>
        <w:rPr>
          <w:rFonts w:ascii="Arial" w:cs="Arial" w:eastAsia="Arial" w:hAnsi="Arial"/>
          <w:sz w:val="19"/>
          <w:szCs w:val="19"/>
          <w:u w:val="single" w:color="auto"/>
          <w:color w:val="auto"/>
        </w:rPr>
        <w:t>Section</w:t>
      </w:r>
    </w:p>
    <w:p>
      <w:pPr>
        <w:jc w:val="both"/>
        <w:ind w:left="220"/>
        <w:spacing w:after="0" w:line="241" w:lineRule="auto"/>
        <w:rPr>
          <w:rFonts w:ascii="Arial" w:cs="Arial" w:eastAsia="Arial" w:hAnsi="Arial"/>
          <w:sz w:val="19"/>
          <w:szCs w:val="19"/>
          <w:color w:val="auto"/>
        </w:rPr>
      </w:pPr>
      <w:r>
        <w:rPr>
          <w:rFonts w:ascii="Arial" w:cs="Arial" w:eastAsia="Arial" w:hAnsi="Arial"/>
          <w:sz w:val="20"/>
          <w:szCs w:val="20"/>
          <w:u w:val="single" w:color="auto"/>
          <w:color w:val="auto"/>
        </w:rPr>
        <w:t>2.15</w:t>
      </w:r>
      <w:r>
        <w:rPr>
          <w:rFonts w:ascii="Arial" w:cs="Arial" w:eastAsia="Arial" w:hAnsi="Arial"/>
          <w:sz w:val="20"/>
          <w:szCs w:val="20"/>
          <w:color w:val="auto"/>
        </w:rPr>
        <w:t>.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p>
    <w:p>
      <w:pPr>
        <w:spacing w:after="0" w:line="221" w:lineRule="exact"/>
        <w:rPr>
          <w:rFonts w:ascii="Arial" w:cs="Arial" w:eastAsia="Arial" w:hAnsi="Arial"/>
          <w:sz w:val="19"/>
          <w:szCs w:val="19"/>
          <w:color w:val="auto"/>
        </w:rPr>
      </w:pPr>
    </w:p>
    <w:p>
      <w:pPr>
        <w:jc w:val="both"/>
        <w:ind w:left="220" w:firstLine="1290"/>
        <w:spacing w:after="0" w:line="250" w:lineRule="auto"/>
        <w:tabs>
          <w:tab w:leader="none" w:pos="1949" w:val="left"/>
        </w:tabs>
        <w:numPr>
          <w:ilvl w:val="1"/>
          <w:numId w:val="239"/>
        </w:numPr>
        <w:rPr>
          <w:rFonts w:ascii="Arial" w:cs="Arial" w:eastAsia="Arial" w:hAnsi="Arial"/>
          <w:sz w:val="20"/>
          <w:szCs w:val="20"/>
          <w:color w:val="auto"/>
        </w:rPr>
      </w:pPr>
      <w:r>
        <w:rPr>
          <w:rFonts w:ascii="Arial" w:cs="Arial" w:eastAsia="Arial" w:hAnsi="Arial"/>
          <w:sz w:val="20"/>
          <w:szCs w:val="20"/>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-234-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4" w:name="page365"/>
    <w:bookmarkEnd w:id="36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spacing w:after="0" w:line="250" w:lineRule="auto"/>
        <w:rPr>
          <w:sz w:val="20"/>
          <w:szCs w:val="20"/>
          <w:color w:val="auto"/>
        </w:rPr>
      </w:pPr>
      <w:r>
        <w:rPr>
          <w:rFonts w:ascii="Arial" w:cs="Arial" w:eastAsia="Arial" w:hAnsi="Arial"/>
          <w:sz w:val="20"/>
          <w:szCs w:val="20"/>
          <w:color w:val="auto"/>
        </w:rPr>
        <w:t xml:space="preserve">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-235-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5" w:name="page366"/>
    <w:bookmarkEnd w:id="36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firstLine="1296"/>
        <w:spacing w:after="0" w:line="287"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93" w:lineRule="exact"/>
        <w:rPr>
          <w:sz w:val="20"/>
          <w:szCs w:val="20"/>
          <w:color w:val="auto"/>
        </w:rPr>
      </w:pPr>
    </w:p>
    <w:p>
      <w:pPr>
        <w:ind w:left="780" w:right="560" w:firstLine="649"/>
        <w:spacing w:after="0" w:line="260" w:lineRule="auto"/>
        <w:tabs>
          <w:tab w:leader="none" w:pos="1945"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The Commitment Fee shall cease to accrue on any of the Revolving Credit Commitments of such Defaulting Lender pursuant to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84" w:lineRule="exact"/>
        <w:rPr>
          <w:rFonts w:ascii="Arial" w:cs="Arial" w:eastAsia="Arial" w:hAnsi="Arial"/>
          <w:sz w:val="20"/>
          <w:szCs w:val="20"/>
          <w:color w:val="auto"/>
        </w:rPr>
      </w:pPr>
    </w:p>
    <w:p>
      <w:pPr>
        <w:jc w:val="both"/>
        <w:ind w:left="780" w:firstLine="650"/>
        <w:spacing w:after="0" w:line="274" w:lineRule="auto"/>
        <w:tabs>
          <w:tab w:leader="none" w:pos="194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waiver, amendment or modification of a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first proviso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would apply to the Commitments or Secured Obligations owing to such Defaulting Lender shall require the consent of such Defaulting Lender with respect to the effectiveness of such waiver, amendment or modification with respect to the Commitments or Secured Obligations owing to such Defaulting Lender;</w:t>
      </w:r>
    </w:p>
    <w:p>
      <w:pPr>
        <w:spacing w:after="0" w:line="195" w:lineRule="exact"/>
        <w:rPr>
          <w:rFonts w:ascii="Arial" w:cs="Arial" w:eastAsia="Arial" w:hAnsi="Arial"/>
          <w:sz w:val="18"/>
          <w:szCs w:val="18"/>
          <w:color w:val="auto"/>
        </w:rPr>
      </w:pPr>
    </w:p>
    <w:p>
      <w:pPr>
        <w:ind w:left="1940" w:hanging="511"/>
        <w:spacing w:after="0"/>
        <w:tabs>
          <w:tab w:leader="none" w:pos="19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any L/C Exposure exists at the time a Lender under the Revolving Credit Facility becomes a Defaulting Lender</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then:</w:t>
      </w:r>
    </w:p>
    <w:p>
      <w:pPr>
        <w:spacing w:after="0" w:line="240" w:lineRule="exact"/>
        <w:rPr>
          <w:rFonts w:ascii="Arial" w:cs="Arial" w:eastAsia="Arial" w:hAnsi="Arial"/>
          <w:sz w:val="18"/>
          <w:szCs w:val="18"/>
          <w:color w:val="auto"/>
        </w:rPr>
      </w:pPr>
    </w:p>
    <w:p>
      <w:pPr>
        <w:jc w:val="both"/>
        <w:ind w:left="1440" w:right="20" w:firstLine="653"/>
        <w:spacing w:after="0" w:line="246" w:lineRule="auto"/>
        <w:tabs>
          <w:tab w:leader="none" w:pos="2600" w:val="left"/>
        </w:tabs>
        <w:numPr>
          <w:ilvl w:val="5"/>
          <w:numId w:val="240"/>
        </w:numPr>
        <w:rPr>
          <w:rFonts w:ascii="Arial" w:cs="Arial" w:eastAsia="Arial" w:hAnsi="Arial"/>
          <w:sz w:val="20"/>
          <w:szCs w:val="20"/>
          <w:color w:val="auto"/>
        </w:rPr>
      </w:pPr>
      <w:r>
        <w:rPr>
          <w:rFonts w:ascii="Arial" w:cs="Arial" w:eastAsia="Arial" w:hAnsi="Arial"/>
          <w:sz w:val="20"/>
          <w:szCs w:val="20"/>
          <w:color w:val="auto"/>
        </w:rPr>
        <w:t>all or any part of the L/C Exposure of such Defaulting Lender shall be reallocated among the non-Defaulting Lenders in accordance with their respective Applicable Percentages but only to the extent the sum of all non-Defaulting Lenders’ Revolving Credit Exposures plus such Defaulting Lender’s L/C Exposure does not exceed the total of all non-Defaulting Lenders’ Commitments;</w:t>
      </w:r>
    </w:p>
    <w:p>
      <w:pPr>
        <w:spacing w:after="0" w:line="231" w:lineRule="exact"/>
        <w:rPr>
          <w:rFonts w:ascii="Arial" w:cs="Arial" w:eastAsia="Arial" w:hAnsi="Arial"/>
          <w:sz w:val="20"/>
          <w:szCs w:val="20"/>
          <w:color w:val="auto"/>
        </w:rPr>
      </w:pPr>
    </w:p>
    <w:p>
      <w:pPr>
        <w:jc w:val="both"/>
        <w:ind w:left="1440" w:firstLine="543"/>
        <w:spacing w:after="0" w:line="244" w:lineRule="auto"/>
        <w:tabs>
          <w:tab w:leader="none" w:pos="2599" w:val="left"/>
        </w:tabs>
        <w:numPr>
          <w:ilvl w:val="3"/>
          <w:numId w:val="240"/>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cannot, or can only partially, be effected, the Borrower shall within three (3) Business Days following notice by the Administrative Agent Cash Collateralize for the benefit of the L/C Issuer only the Borrower’s obligations corresponding to such Defaulting Lender’s L/C Exposure (after giving effect to any partial reallocation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in accordance with the procedures set forth in </w:t>
      </w:r>
      <w:r>
        <w:rPr>
          <w:rFonts w:ascii="Arial" w:cs="Arial" w:eastAsia="Arial" w:hAnsi="Arial"/>
          <w:sz w:val="20"/>
          <w:szCs w:val="20"/>
          <w:u w:val="single" w:color="auto"/>
          <w:color w:val="auto"/>
        </w:rPr>
        <w:t>Section 2.03(f)</w:t>
      </w:r>
      <w:r>
        <w:rPr>
          <w:rFonts w:ascii="Arial" w:cs="Arial" w:eastAsia="Arial" w:hAnsi="Arial"/>
          <w:sz w:val="20"/>
          <w:szCs w:val="20"/>
          <w:color w:val="auto"/>
        </w:rPr>
        <w:t xml:space="preserve"> for so long as such L/C Exposure is outstanding;</w:t>
      </w:r>
    </w:p>
    <w:p>
      <w:pPr>
        <w:spacing w:after="0" w:line="302" w:lineRule="exact"/>
        <w:rPr>
          <w:rFonts w:ascii="Arial" w:cs="Arial" w:eastAsia="Arial" w:hAnsi="Arial"/>
          <w:sz w:val="20"/>
          <w:szCs w:val="20"/>
          <w:color w:val="auto"/>
        </w:rPr>
      </w:pPr>
    </w:p>
    <w:p>
      <w:pPr>
        <w:jc w:val="both"/>
        <w:ind w:left="1440" w:firstLine="432"/>
        <w:spacing w:after="0" w:line="246" w:lineRule="auto"/>
        <w:tabs>
          <w:tab w:leader="none" w:pos="2597" w:val="left"/>
        </w:tabs>
        <w:numPr>
          <w:ilvl w:val="1"/>
          <w:numId w:val="240"/>
        </w:numPr>
        <w:rPr>
          <w:rFonts w:ascii="Arial" w:cs="Arial" w:eastAsia="Arial" w:hAnsi="Arial"/>
          <w:sz w:val="20"/>
          <w:szCs w:val="20"/>
          <w:color w:val="auto"/>
        </w:rPr>
      </w:pPr>
      <w:r>
        <w:rPr>
          <w:rFonts w:ascii="Arial" w:cs="Arial" w:eastAsia="Arial" w:hAnsi="Arial"/>
          <w:sz w:val="20"/>
          <w:szCs w:val="20"/>
          <w:color w:val="auto"/>
        </w:rPr>
        <w:t xml:space="preserve">if the Borrower Cash Collateralizes any portion of such Defaulting Lender’s L/C Exposure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 the Borrower shall not be required to pay any fees to such Defaulting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2.03(h)</w:t>
      </w:r>
      <w:r>
        <w:rPr>
          <w:rFonts w:ascii="Arial" w:cs="Arial" w:eastAsia="Arial" w:hAnsi="Arial"/>
          <w:sz w:val="20"/>
          <w:szCs w:val="20"/>
          <w:color w:val="auto"/>
        </w:rPr>
        <w:t xml:space="preserve"> with respect to such Defaulting Lender’s L/C Exposure during the period such Defaulting Lender’s L/C Exposure is Cash Collateralized;</w:t>
      </w:r>
    </w:p>
    <w:p>
      <w:pPr>
        <w:spacing w:after="0" w:line="218" w:lineRule="exact"/>
        <w:rPr>
          <w:rFonts w:ascii="Arial" w:cs="Arial" w:eastAsia="Arial" w:hAnsi="Arial"/>
          <w:sz w:val="20"/>
          <w:szCs w:val="20"/>
          <w:color w:val="auto"/>
        </w:rPr>
      </w:pPr>
    </w:p>
    <w:p>
      <w:pPr>
        <w:jc w:val="both"/>
        <w:ind w:left="1440" w:firstLine="455"/>
        <w:spacing w:after="0" w:line="250" w:lineRule="auto"/>
        <w:tabs>
          <w:tab w:leader="none" w:pos="2609" w:val="left"/>
        </w:tabs>
        <w:numPr>
          <w:ilvl w:val="2"/>
          <w:numId w:val="240"/>
        </w:numPr>
        <w:rPr>
          <w:rFonts w:ascii="Arial" w:cs="Arial" w:eastAsia="Arial" w:hAnsi="Arial"/>
          <w:sz w:val="20"/>
          <w:szCs w:val="20"/>
          <w:color w:val="auto"/>
        </w:rPr>
      </w:pPr>
      <w:r>
        <w:rPr>
          <w:rFonts w:ascii="Arial" w:cs="Arial" w:eastAsia="Arial" w:hAnsi="Arial"/>
          <w:sz w:val="20"/>
          <w:szCs w:val="20"/>
          <w:color w:val="auto"/>
        </w:rPr>
        <w:t xml:space="preserve">if the L/C Exposures of the non-Defaulting Lenders are increased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then the fees payable to the Lenders pursuant to </w:t>
      </w:r>
      <w:r>
        <w:rPr>
          <w:rFonts w:ascii="Arial" w:cs="Arial" w:eastAsia="Arial" w:hAnsi="Arial"/>
          <w:sz w:val="20"/>
          <w:szCs w:val="20"/>
          <w:u w:val="single" w:color="auto"/>
          <w:color w:val="auto"/>
        </w:rPr>
        <w:t>Sections 2.09(a)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2.03(h)</w:t>
      </w:r>
      <w:r>
        <w:rPr>
          <w:rFonts w:ascii="Arial" w:cs="Arial" w:eastAsia="Arial" w:hAnsi="Arial"/>
          <w:sz w:val="20"/>
          <w:szCs w:val="20"/>
          <w:color w:val="auto"/>
        </w:rPr>
        <w:t xml:space="preserve"> shall be adjusted in accordance with such non-Defaulting Lenders’ Applicable Percentages; and</w:t>
      </w:r>
    </w:p>
    <w:p>
      <w:pPr>
        <w:spacing w:after="0" w:line="226" w:lineRule="exact"/>
        <w:rPr>
          <w:rFonts w:ascii="Arial" w:cs="Arial" w:eastAsia="Arial" w:hAnsi="Arial"/>
          <w:sz w:val="20"/>
          <w:szCs w:val="20"/>
          <w:color w:val="auto"/>
        </w:rPr>
      </w:pPr>
    </w:p>
    <w:p>
      <w:pPr>
        <w:jc w:val="both"/>
        <w:ind w:left="1440" w:firstLine="565"/>
        <w:spacing w:after="0" w:line="291" w:lineRule="auto"/>
        <w:tabs>
          <w:tab w:leader="none" w:pos="2610" w:val="left"/>
        </w:tabs>
        <w:numPr>
          <w:ilvl w:val="4"/>
          <w:numId w:val="240"/>
        </w:numPr>
        <w:rPr>
          <w:rFonts w:ascii="Arial" w:cs="Arial" w:eastAsia="Arial" w:hAnsi="Arial"/>
          <w:sz w:val="18"/>
          <w:szCs w:val="18"/>
          <w:color w:val="auto"/>
        </w:rPr>
      </w:pPr>
      <w:r>
        <w:rPr>
          <w:rFonts w:ascii="Arial" w:cs="Arial" w:eastAsia="Arial" w:hAnsi="Arial"/>
          <w:sz w:val="18"/>
          <w:szCs w:val="18"/>
          <w:color w:val="auto"/>
        </w:rPr>
        <w:t xml:space="preserve">if all or any portion of such Defaulting Lender’s L/C Exposure is neither reallocated nor Cash Collateralized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then, without prejudice to any rights or remedies of the L/C Issuer or any other Lender hereunder, all letter of credit fees payable under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with respect to such portion of such</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-236-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6" w:name="page367"/>
    <w:bookmarkEnd w:id="36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40"/>
        <w:spacing w:after="0" w:line="260" w:lineRule="auto"/>
        <w:rPr>
          <w:sz w:val="20"/>
          <w:szCs w:val="20"/>
          <w:color w:val="auto"/>
        </w:rPr>
      </w:pPr>
      <w:r>
        <w:rPr>
          <w:rFonts w:ascii="Arial" w:cs="Arial" w:eastAsia="Arial" w:hAnsi="Arial"/>
          <w:sz w:val="20"/>
          <w:szCs w:val="20"/>
          <w:color w:val="auto"/>
        </w:rPr>
        <w:t>Defaulting Lender’s L/C Exposure shall be payable to the L/C Issuer until and to the extent that such L/C Exposure is reallocated and/or Cash Collateralized; and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-237-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7" w:name="page368"/>
    <w:bookmarkEnd w:id="36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50"/>
        <w:spacing w:after="0" w:line="278" w:lineRule="auto"/>
        <w:tabs>
          <w:tab w:leader="none" w:pos="194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so long as such Lender is a Defaulting Lender under the Revolving Credit Facility, the L/C Issuer shall not be required to issue, amend or increase any Letter of Credit, unless it has received assurances satisfactory to it that non-Defaulting Lenders will cover the related exposure and/or cash collateral will be provided by the Borrower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2.16(c)</w:t>
      </w:r>
      <w:r>
        <w:rPr>
          <w:rFonts w:ascii="Arial" w:cs="Arial" w:eastAsia="Arial" w:hAnsi="Arial"/>
          <w:sz w:val="18"/>
          <w:szCs w:val="18"/>
          <w:color w:val="auto"/>
        </w:rPr>
        <w:t xml:space="preserve">, and participating interests in any newly issued or increased Letter of Credit shall be allocated among non-Defaulting Lenders in a manner consistent with </w:t>
      </w:r>
      <w:r>
        <w:rPr>
          <w:rFonts w:ascii="Arial" w:cs="Arial" w:eastAsia="Arial" w:hAnsi="Arial"/>
          <w:sz w:val="18"/>
          <w:szCs w:val="18"/>
          <w:u w:val="single" w:color="auto"/>
          <w:color w:val="auto"/>
        </w:rPr>
        <w:t>Section 2.16(c)(i)</w:t>
      </w:r>
      <w:r>
        <w:rPr>
          <w:rFonts w:ascii="Arial" w:cs="Arial" w:eastAsia="Arial" w:hAnsi="Arial"/>
          <w:sz w:val="18"/>
          <w:szCs w:val="18"/>
          <w:color w:val="auto"/>
        </w:rPr>
        <w:t xml:space="preserve"> (and such Defaulting Lender shall not participate therein).</w:t>
      </w:r>
    </w:p>
    <w:p>
      <w:pPr>
        <w:spacing w:after="0" w:line="205" w:lineRule="exact"/>
        <w:rPr>
          <w:sz w:val="20"/>
          <w:szCs w:val="20"/>
          <w:color w:val="auto"/>
        </w:rPr>
      </w:pPr>
    </w:p>
    <w:p>
      <w:pPr>
        <w:jc w:val="both"/>
        <w:ind w:left="140" w:firstLine="1295"/>
        <w:spacing w:after="0" w:line="278" w:lineRule="auto"/>
        <w:rPr>
          <w:sz w:val="20"/>
          <w:szCs w:val="20"/>
          <w:color w:val="auto"/>
        </w:rPr>
      </w:pPr>
      <w:r>
        <w:rPr>
          <w:rFonts w:ascii="Arial" w:cs="Arial" w:eastAsia="Arial" w:hAnsi="Arial"/>
          <w:sz w:val="18"/>
          <w:szCs w:val="18"/>
          <w:color w:val="auto"/>
        </w:rPr>
        <w:t>In the event that the Administrative Agent, the Borrower and the L/C Issuer each agrees that a Defaulting Lender has adequately remedied all matters that caused such Lender to be a Defaulting Lender, then the L/C Exposures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w:t>
      </w:r>
    </w:p>
    <w:p>
      <w:pPr>
        <w:spacing w:after="0" w:line="192"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Permitted Debt Exchanges</w:t>
      </w:r>
      <w:r>
        <w:rPr>
          <w:rFonts w:ascii="Arial" w:cs="Arial" w:eastAsia="Arial" w:hAnsi="Arial"/>
          <w:sz w:val="16"/>
          <w:szCs w:val="16"/>
          <w:color w:val="auto"/>
        </w:rPr>
        <w:t>.</w:t>
      </w:r>
    </w:p>
    <w:p>
      <w:pPr>
        <w:spacing w:after="0" w:line="324" w:lineRule="exact"/>
        <w:rPr>
          <w:sz w:val="20"/>
          <w:szCs w:val="20"/>
          <w:color w:val="auto"/>
        </w:rPr>
      </w:pPr>
    </w:p>
    <w:p>
      <w:pPr>
        <w:jc w:val="both"/>
        <w:ind w:left="140" w:firstLine="1289"/>
        <w:spacing w:after="0" w:line="272" w:lineRule="auto"/>
        <w:tabs>
          <w:tab w:leader="none" w:pos="1953" w:val="left"/>
        </w:tabs>
        <w:numPr>
          <w:ilvl w:val="3"/>
          <w:numId w:val="2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pursuant to one or more offers (each, a “</w:t>
      </w:r>
      <w:r>
        <w:rPr>
          <w:rFonts w:ascii="Arial" w:cs="Arial" w:eastAsia="Arial" w:hAnsi="Arial"/>
          <w:sz w:val="18"/>
          <w:szCs w:val="18"/>
          <w:u w:val="single" w:color="auto"/>
          <w:color w:val="auto"/>
        </w:rPr>
        <w:t>Permitted Debt Exchange Offer</w:t>
      </w:r>
      <w:r>
        <w:rPr>
          <w:rFonts w:ascii="Arial" w:cs="Arial" w:eastAsia="Arial" w:hAnsi="Arial"/>
          <w:sz w:val="18"/>
          <w:szCs w:val="18"/>
          <w:color w:val="auto"/>
        </w:rPr>
        <w:t>”) made from time to time by the Borrower to all Term Lenders (other than, with respect to any Permitted Debt Exchange Offer that constitutes an offering of securities, any Lender that, if requested by the Borrower, is unable to certify that it is</w:t>
      </w:r>
    </w:p>
    <w:p>
      <w:pPr>
        <w:jc w:val="both"/>
        <w:ind w:left="140" w:hanging="7"/>
        <w:spacing w:after="0"/>
        <w:tabs>
          <w:tab w:leader="none" w:pos="408"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 “qualified institutional buyer” (as defined in Rule 144A under the Securities Act), (ii) an institutional “accredited investor” (as defined in Rule 501 under the Securities Act) or (iii) not a “U.S. person” (as defined in Rule 902 under the Securities Act)) with outstanding Term Loans of a particular Class, the Borrower may from time to time consummate one or more exchanges of such Term Loans for Indebtedness (in the form of senior secured, senior unsecured, senior subordinated, or subordinated notes or loans) (such Indebtedness, “</w:t>
      </w:r>
      <w:r>
        <w:rPr>
          <w:rFonts w:ascii="Arial" w:cs="Arial" w:eastAsia="Arial" w:hAnsi="Arial"/>
          <w:sz w:val="20"/>
          <w:szCs w:val="20"/>
          <w:u w:val="single" w:color="auto"/>
          <w:color w:val="auto"/>
        </w:rPr>
        <w:t>Permitted Debt Exchange Notes</w:t>
      </w:r>
      <w:r>
        <w:rPr>
          <w:rFonts w:ascii="Arial" w:cs="Arial" w:eastAsia="Arial" w:hAnsi="Arial"/>
          <w:sz w:val="20"/>
          <w:szCs w:val="20"/>
          <w:color w:val="auto"/>
        </w:rPr>
        <w:t>” and each such exchange, a “</w:t>
      </w:r>
      <w:r>
        <w:rPr>
          <w:rFonts w:ascii="Arial" w:cs="Arial" w:eastAsia="Arial" w:hAnsi="Arial"/>
          <w:sz w:val="20"/>
          <w:szCs w:val="20"/>
          <w:u w:val="single" w:color="auto"/>
          <w:color w:val="auto"/>
        </w:rPr>
        <w:t>Permitted Debt Exchange</w:t>
      </w:r>
      <w:r>
        <w:rPr>
          <w:rFonts w:ascii="Arial" w:cs="Arial" w:eastAsia="Arial" w:hAnsi="Arial"/>
          <w:sz w:val="20"/>
          <w:szCs w:val="20"/>
          <w:color w:val="auto"/>
        </w:rPr>
        <w:t>”), so long as the following conditions are satisfied:</w:t>
      </w:r>
    </w:p>
    <w:p>
      <w:pPr>
        <w:spacing w:after="0" w:line="237" w:lineRule="exact"/>
        <w:rPr>
          <w:rFonts w:ascii="Arial" w:cs="Arial" w:eastAsia="Arial" w:hAnsi="Arial"/>
          <w:sz w:val="20"/>
          <w:szCs w:val="20"/>
          <w:color w:val="auto"/>
        </w:rPr>
      </w:pPr>
    </w:p>
    <w:p>
      <w:pPr>
        <w:jc w:val="both"/>
        <w:ind w:left="780" w:firstLine="535"/>
        <w:spacing w:after="0" w:line="245" w:lineRule="auto"/>
        <w:tabs>
          <w:tab w:leader="none" w:pos="1945" w:val="left"/>
        </w:tabs>
        <w:numPr>
          <w:ilvl w:val="2"/>
          <w:numId w:val="243"/>
        </w:numPr>
        <w:rPr>
          <w:rFonts w:ascii="Arial" w:cs="Arial" w:eastAsia="Arial" w:hAnsi="Arial"/>
          <w:sz w:val="20"/>
          <w:szCs w:val="20"/>
          <w:color w:val="auto"/>
        </w:rPr>
      </w:pPr>
      <w:r>
        <w:rPr>
          <w:rFonts w:ascii="Arial" w:cs="Arial" w:eastAsia="Arial" w:hAnsi="Arial"/>
          <w:sz w:val="20"/>
          <w:szCs w:val="20"/>
          <w:color w:val="auto"/>
        </w:rPr>
        <w:t>each such Permitted Debt Exchange Offer shall be made on a pro rata basis to the Term Lenders (other than, with respect to any Permitted Debt Exchange Offer that constitutes an offering of securities, any Lender that, if requested by the Borrower, is unable to certify that it is</w:t>
      </w:r>
    </w:p>
    <w:p>
      <w:pPr>
        <w:jc w:val="both"/>
        <w:ind w:left="780" w:firstLine="2"/>
        <w:spacing w:after="0" w:line="241" w:lineRule="auto"/>
        <w:tabs>
          <w:tab w:leader="none" w:pos="1291" w:val="left"/>
        </w:tabs>
        <w:numPr>
          <w:ilvl w:val="1"/>
          <w:numId w:val="243"/>
        </w:numPr>
        <w:rPr>
          <w:rFonts w:ascii="Arial" w:cs="Arial" w:eastAsia="Arial" w:hAnsi="Arial"/>
          <w:sz w:val="20"/>
          <w:szCs w:val="20"/>
          <w:color w:val="auto"/>
        </w:rPr>
      </w:pPr>
      <w:r>
        <w:rPr>
          <w:rFonts w:ascii="Arial" w:cs="Arial" w:eastAsia="Arial" w:hAnsi="Arial"/>
          <w:sz w:val="20"/>
          <w:szCs w:val="20"/>
          <w:color w:val="auto"/>
        </w:rPr>
        <w:t>a “qualified institutional buyer” (as defined in Rule 144A under the Securities Act), (ii) an institutional “accredited investor” (as defined in Rule 501 under the Securities Act) or (iii) not a “U.S. person” (as defined in Rule 902 under the Securities Act)) of each applicable Class based on their respective aggregate principal amounts of outstanding Term Loans under each such Class;</w:t>
      </w:r>
    </w:p>
    <w:p>
      <w:pPr>
        <w:spacing w:after="0" w:line="234" w:lineRule="exact"/>
        <w:rPr>
          <w:rFonts w:ascii="Arial" w:cs="Arial" w:eastAsia="Arial" w:hAnsi="Arial"/>
          <w:sz w:val="20"/>
          <w:szCs w:val="20"/>
          <w:color w:val="auto"/>
        </w:rPr>
      </w:pPr>
    </w:p>
    <w:p>
      <w:pPr>
        <w:jc w:val="both"/>
        <w:ind w:left="780" w:firstLine="666"/>
        <w:spacing w:after="0" w:line="246" w:lineRule="auto"/>
        <w:tabs>
          <w:tab w:leader="none" w:pos="1943" w:val="left"/>
        </w:tabs>
        <w:numPr>
          <w:ilvl w:val="4"/>
          <w:numId w:val="243"/>
        </w:numPr>
        <w:rPr>
          <w:rFonts w:ascii="Arial" w:cs="Arial" w:eastAsia="Arial" w:hAnsi="Arial"/>
          <w:sz w:val="20"/>
          <w:szCs w:val="20"/>
          <w:color w:val="auto"/>
        </w:rPr>
      </w:pPr>
      <w:r>
        <w:rPr>
          <w:rFonts w:ascii="Arial" w:cs="Arial" w:eastAsia="Arial" w:hAnsi="Arial"/>
          <w:sz w:val="20"/>
          <w:szCs w:val="20"/>
          <w:color w:val="auto"/>
        </w:rPr>
        <w:t>the aggregate principal amount (calculated on the face amount thereof) of such Permitted Debt Exchange Notes shall not exceed the aggregate principal amount (calculated on the face amount thereof) of Term Loans so refinanced, except by an amount equal to any fees, expenses, commissions, underwriting discounts and premiums payable in connection with such Permitted Debt Exchange;</w:t>
      </w:r>
    </w:p>
    <w:p>
      <w:pPr>
        <w:spacing w:after="0" w:line="218" w:lineRule="exact"/>
        <w:rPr>
          <w:rFonts w:ascii="Arial" w:cs="Arial" w:eastAsia="Arial" w:hAnsi="Arial"/>
          <w:sz w:val="20"/>
          <w:szCs w:val="20"/>
          <w:color w:val="auto"/>
        </w:rPr>
      </w:pPr>
    </w:p>
    <w:p>
      <w:pPr>
        <w:jc w:val="both"/>
        <w:ind w:left="780" w:right="20" w:firstLine="610"/>
        <w:spacing w:after="0" w:line="263" w:lineRule="auto"/>
        <w:tabs>
          <w:tab w:leader="none" w:pos="1942" w:val="left"/>
        </w:tabs>
        <w:numPr>
          <w:ilvl w:val="4"/>
          <w:numId w:val="243"/>
        </w:numPr>
        <w:rPr>
          <w:rFonts w:ascii="Arial" w:cs="Arial" w:eastAsia="Arial" w:hAnsi="Arial"/>
          <w:sz w:val="19"/>
          <w:szCs w:val="19"/>
          <w:color w:val="auto"/>
        </w:rPr>
      </w:pPr>
      <w:r>
        <w:rPr>
          <w:rFonts w:ascii="Arial" w:cs="Arial" w:eastAsia="Arial" w:hAnsi="Arial"/>
          <w:sz w:val="19"/>
          <w:szCs w:val="19"/>
          <w:color w:val="auto"/>
        </w:rPr>
        <w:t>the stated final maturity of such Permitted Debt Exchange Notes is not earlier than the Latest Maturity Date for the Class or Classes of Term Loans being exchanged, and such stated final maturity is not subject to any conditions that could result in such stated final maturity occurring on a date that precedes such latest maturity date (it being understood that acceleration or mandatory repayment, prepayment, redemption or repurchase of such Permitted Debt</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-238-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8" w:name="page369"/>
    <w:bookmarkEnd w:id="36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Exchange Notes upon the occurrence of an event of default, a change in control, an event of loss or an asset disposition shall not be deemed to constitute a change in the stated final maturity thereof);</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-239-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69" w:name="page370"/>
    <w:bookmarkEnd w:id="36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22"/>
        <w:spacing w:after="0" w:line="274" w:lineRule="auto"/>
        <w:tabs>
          <w:tab w:leader="none" w:pos="195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such Permitted Debt Exchange Notes are not required to be repaid, prepaid, redeemed, repurchased or defeased, whether on one or more fixed dates, upon the occurrence of one or more events or at the option of any holder thereof (except, in each case, upon the occurrence of an event of default, a change in control, an event of loss or an asset disposition) prior to the Latest Maturity Date for the Class or Classes of Term Loans being exchanged,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scheduled amortization payments (however denominated, including scheduled offers to repurchase) of such Permitted Debt Exchange Notes shall be permitted so long as the Weighted Average Life to Maturity of such Indebtedness shall be longer than the remaining Weighted Average Life to Maturity of the Class or Classes of Term Loans being exchanged;</w:t>
      </w:r>
    </w:p>
    <w:p>
      <w:pPr>
        <w:spacing w:after="0" w:line="208" w:lineRule="exact"/>
        <w:rPr>
          <w:rFonts w:ascii="Arial" w:cs="Arial" w:eastAsia="Arial" w:hAnsi="Arial"/>
          <w:sz w:val="18"/>
          <w:szCs w:val="18"/>
          <w:color w:val="auto"/>
        </w:rPr>
      </w:pPr>
    </w:p>
    <w:p>
      <w:pPr>
        <w:ind w:left="780" w:firstLine="677"/>
        <w:spacing w:after="0" w:line="260" w:lineRule="auto"/>
        <w:tabs>
          <w:tab w:leader="none" w:pos="1939" w:val="left"/>
        </w:tabs>
        <w:numPr>
          <w:ilvl w:val="2"/>
          <w:numId w:val="244"/>
        </w:numPr>
        <w:rPr>
          <w:rFonts w:ascii="Arial" w:cs="Arial" w:eastAsia="Arial" w:hAnsi="Arial"/>
          <w:sz w:val="20"/>
          <w:szCs w:val="20"/>
          <w:color w:val="auto"/>
        </w:rPr>
      </w:pPr>
      <w:r>
        <w:rPr>
          <w:rFonts w:ascii="Arial" w:cs="Arial" w:eastAsia="Arial" w:hAnsi="Arial"/>
          <w:sz w:val="20"/>
          <w:szCs w:val="20"/>
          <w:color w:val="auto"/>
        </w:rPr>
        <w:t>no Restricted Subsidiary is a borrower or guarantor with respect to such Indebtedness unless such Restricted Subsidiary is or substantially concurrently becomes a Loan Party;</w:t>
      </w:r>
    </w:p>
    <w:p>
      <w:pPr>
        <w:spacing w:after="0" w:line="203" w:lineRule="exact"/>
        <w:rPr>
          <w:rFonts w:ascii="Arial" w:cs="Arial" w:eastAsia="Arial" w:hAnsi="Arial"/>
          <w:sz w:val="20"/>
          <w:szCs w:val="20"/>
          <w:color w:val="auto"/>
        </w:rPr>
      </w:pPr>
    </w:p>
    <w:p>
      <w:pPr>
        <w:jc w:val="both"/>
        <w:ind w:left="780" w:firstLine="621"/>
        <w:spacing w:after="0" w:line="306" w:lineRule="auto"/>
        <w:tabs>
          <w:tab w:leader="none" w:pos="1938" w:val="left"/>
        </w:tabs>
        <w:numPr>
          <w:ilvl w:val="2"/>
          <w:numId w:val="244"/>
        </w:numPr>
        <w:rPr>
          <w:rFonts w:ascii="Arial" w:cs="Arial" w:eastAsia="Arial" w:hAnsi="Arial"/>
          <w:sz w:val="16"/>
          <w:szCs w:val="16"/>
          <w:color w:val="auto"/>
        </w:rPr>
      </w:pPr>
      <w:r>
        <w:rPr>
          <w:rFonts w:ascii="Arial" w:cs="Arial" w:eastAsia="Arial" w:hAnsi="Arial"/>
          <w:sz w:val="16"/>
          <w:szCs w:val="16"/>
          <w:color w:val="auto"/>
        </w:rPr>
        <w:t>if such Permitted Debt Exchange Notes are secured, such Permitted Debt Exchange Notes are secured on a pari passu basis or junior priority basis to the Secured Obligations and (A) such Permitted Debt Exchange Notes are not secured by any assets not securing the Secured Obligations unless such assets substantially concurrently secure the Secured Obligations and</w:t>
      </w:r>
    </w:p>
    <w:p>
      <w:pPr>
        <w:ind w:left="780" w:firstLine="1"/>
        <w:spacing w:after="0" w:line="244" w:lineRule="auto"/>
        <w:tabs>
          <w:tab w:leader="none" w:pos="1109"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beneficiaries thereof (or an agent on their behalf) shall have entered into a Customary Intercreditor Agreement with the Administrative Agent;</w:t>
      </w:r>
    </w:p>
    <w:p>
      <w:pPr>
        <w:spacing w:after="0" w:line="232" w:lineRule="exact"/>
        <w:rPr>
          <w:sz w:val="20"/>
          <w:szCs w:val="20"/>
          <w:color w:val="auto"/>
        </w:rPr>
      </w:pPr>
    </w:p>
    <w:p>
      <w:pPr>
        <w:jc w:val="both"/>
        <w:ind w:left="780" w:firstLine="566"/>
        <w:spacing w:after="0" w:line="246" w:lineRule="auto"/>
        <w:tabs>
          <w:tab w:leader="none" w:pos="1927"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terms and conditions of such Permitted Debt Exchange Notes (excluding pricing and optional prepayment or redemption terms or covenants or other provisions applicable only to periods after the Maturity Date of the Class or Classes of Term Loans being exchanged) reflect market terms and conditions at the time of incurrence or issuance as reasonably determined by the Borrower in good faith;</w:t>
      </w:r>
    </w:p>
    <w:p>
      <w:pPr>
        <w:spacing w:after="0" w:line="231" w:lineRule="exact"/>
        <w:rPr>
          <w:rFonts w:ascii="Arial" w:cs="Arial" w:eastAsia="Arial" w:hAnsi="Arial"/>
          <w:sz w:val="20"/>
          <w:szCs w:val="20"/>
          <w:color w:val="auto"/>
        </w:rPr>
      </w:pPr>
    </w:p>
    <w:p>
      <w:pPr>
        <w:jc w:val="both"/>
        <w:ind w:left="780" w:firstLine="511"/>
        <w:spacing w:after="0" w:line="256" w:lineRule="auto"/>
        <w:tabs>
          <w:tab w:leader="none" w:pos="1925" w:val="left"/>
        </w:tabs>
        <w:numPr>
          <w:ilvl w:val="0"/>
          <w:numId w:val="247"/>
        </w:numPr>
        <w:rPr>
          <w:rFonts w:ascii="Arial" w:cs="Arial" w:eastAsia="Arial" w:hAnsi="Arial"/>
          <w:sz w:val="19"/>
          <w:szCs w:val="19"/>
          <w:color w:val="auto"/>
        </w:rPr>
      </w:pPr>
      <w:r>
        <w:rPr>
          <w:rFonts w:ascii="Arial" w:cs="Arial" w:eastAsia="Arial" w:hAnsi="Arial"/>
          <w:sz w:val="19"/>
          <w:szCs w:val="19"/>
          <w:color w:val="auto"/>
        </w:rPr>
        <w:t>all Term Loans exchanged under each applicable Class by the Borrower pursuant to any Permitted Debt Exchange shall automatically be cancelled and retired by the Borrower on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date of consummation of such Permitted Debt Exchange, or, if agreed to by the Borrower and the Administrative Agent, the next scheduled Interest Payment Date with respect to such Term Loans (with such interest accruing until the date of consummation of such Permitted Debt Exchange);</w:t>
      </w:r>
    </w:p>
    <w:p>
      <w:pPr>
        <w:spacing w:after="0" w:line="211" w:lineRule="exact"/>
        <w:rPr>
          <w:rFonts w:ascii="Arial" w:cs="Arial" w:eastAsia="Arial" w:hAnsi="Arial"/>
          <w:sz w:val="19"/>
          <w:szCs w:val="19"/>
          <w:color w:val="auto"/>
        </w:rPr>
      </w:pPr>
    </w:p>
    <w:p>
      <w:pPr>
        <w:jc w:val="both"/>
        <w:ind w:left="780" w:firstLine="621"/>
        <w:spacing w:after="0" w:line="274" w:lineRule="auto"/>
        <w:tabs>
          <w:tab w:leader="none" w:pos="1941" w:val="left"/>
        </w:tabs>
        <w:numPr>
          <w:ilvl w:val="2"/>
          <w:numId w:val="247"/>
        </w:numPr>
        <w:rPr>
          <w:rFonts w:ascii="Arial" w:cs="Arial" w:eastAsia="Arial" w:hAnsi="Arial"/>
          <w:sz w:val="18"/>
          <w:szCs w:val="18"/>
          <w:color w:val="auto"/>
        </w:rPr>
      </w:pPr>
      <w:r>
        <w:rPr>
          <w:rFonts w:ascii="Arial" w:cs="Arial" w:eastAsia="Arial" w:hAnsi="Arial"/>
          <w:sz w:val="18"/>
          <w:szCs w:val="18"/>
          <w:color w:val="auto"/>
        </w:rPr>
        <w:t>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-240-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0" w:name="page371"/>
    <w:bookmarkEnd w:id="37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principal amount offered to be exchanged for each Class, and the aggregate principal amount of all Term Loans (calculated on the face amount thereof) of all Classes tendered by Lenders in respect of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-241-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71" w:name="page372"/>
    <w:bookmarkEnd w:id="37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60" w:lineRule="auto"/>
        <w:rPr>
          <w:sz w:val="20"/>
          <w:szCs w:val="20"/>
          <w:color w:val="auto"/>
        </w:rPr>
      </w:pPr>
      <w:r>
        <w:rPr>
          <w:rFonts w:ascii="Arial" w:cs="Arial" w:eastAsia="Arial" w:hAnsi="Arial"/>
          <w:sz w:val="19"/>
          <w:szCs w:val="19"/>
          <w:color w:val="auto"/>
        </w:rPr>
        <w:t>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w:t>
      </w:r>
    </w:p>
    <w:p>
      <w:pPr>
        <w:spacing w:after="0" w:line="221" w:lineRule="exact"/>
        <w:rPr>
          <w:sz w:val="20"/>
          <w:szCs w:val="20"/>
          <w:color w:val="auto"/>
        </w:rPr>
      </w:pPr>
    </w:p>
    <w:p>
      <w:pPr>
        <w:jc w:val="both"/>
        <w:ind w:left="780" w:firstLine="678"/>
        <w:spacing w:after="0" w:line="269" w:lineRule="auto"/>
        <w:tabs>
          <w:tab w:leader="none" w:pos="193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Administrative Agent; and</w:t>
      </w:r>
    </w:p>
    <w:p>
      <w:pPr>
        <w:spacing w:after="0" w:line="196" w:lineRule="exact"/>
        <w:rPr>
          <w:rFonts w:ascii="Arial" w:cs="Arial" w:eastAsia="Arial" w:hAnsi="Arial"/>
          <w:sz w:val="19"/>
          <w:szCs w:val="19"/>
          <w:color w:val="auto"/>
        </w:rPr>
      </w:pPr>
    </w:p>
    <w:p>
      <w:pPr>
        <w:ind w:left="780" w:right="20" w:firstLine="622"/>
        <w:spacing w:after="0" w:line="260" w:lineRule="auto"/>
        <w:tabs>
          <w:tab w:leader="none" w:pos="193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any applicable Minimum Tender Condition or Maximum Tender Condition, as the case may be, shall be satisfied or waived by the Borrower.</w:t>
      </w:r>
    </w:p>
    <w:p>
      <w:pPr>
        <w:spacing w:after="0" w:line="217" w:lineRule="exact"/>
        <w:rPr>
          <w:sz w:val="20"/>
          <w:szCs w:val="20"/>
          <w:color w:val="auto"/>
        </w:rPr>
      </w:pPr>
    </w:p>
    <w:p>
      <w:pPr>
        <w:ind w:left="140" w:right="220"/>
        <w:spacing w:after="0" w:line="260" w:lineRule="auto"/>
        <w:rPr>
          <w:sz w:val="20"/>
          <w:szCs w:val="20"/>
          <w:color w:val="auto"/>
        </w:rPr>
      </w:pPr>
      <w:r>
        <w:rPr>
          <w:rFonts w:ascii="Arial" w:cs="Arial" w:eastAsia="Arial" w:hAnsi="Arial"/>
          <w:sz w:val="20"/>
          <w:szCs w:val="20"/>
          <w:color w:val="auto"/>
        </w:rPr>
        <w:t>Notwithstanding anything to the contrary herein, no Lender shall have any obligation to agree to have any of its Loans or Commitments exchanged pursuant to any Permitted Debt Exchange Offer.</w:t>
      </w:r>
    </w:p>
    <w:p>
      <w:pPr>
        <w:spacing w:after="0" w:line="217" w:lineRule="exact"/>
        <w:rPr>
          <w:sz w:val="20"/>
          <w:szCs w:val="20"/>
          <w:color w:val="auto"/>
        </w:rPr>
      </w:pPr>
    </w:p>
    <w:p>
      <w:pPr>
        <w:jc w:val="both"/>
        <w:ind w:left="140" w:firstLine="1290"/>
        <w:spacing w:after="0" w:line="255" w:lineRule="auto"/>
        <w:tabs>
          <w:tab w:leader="none" w:pos="1951"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With respect to all Permitted Debt Exchanges effected by the Borrower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such Permitted Debt Exchange Offer shall be made for not less than $15.0 million in aggregate principal amount of Term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the foregoing the Borrower may at its election specify (A) as a condition (a “</w:t>
      </w:r>
      <w:r>
        <w:rPr>
          <w:rFonts w:ascii="Arial" w:cs="Arial" w:eastAsia="Arial" w:hAnsi="Arial"/>
          <w:sz w:val="19"/>
          <w:szCs w:val="19"/>
          <w:u w:val="single" w:color="auto"/>
          <w:color w:val="auto"/>
        </w:rPr>
        <w:t>Minimum Tender Condition</w:t>
      </w:r>
      <w:r>
        <w:rPr>
          <w:rFonts w:ascii="Arial" w:cs="Arial" w:eastAsia="Arial" w:hAnsi="Arial"/>
          <w:sz w:val="19"/>
          <w:szCs w:val="19"/>
          <w:color w:val="auto"/>
        </w:rPr>
        <w:t>”) to consummating any such Permitted Debt Exchange that a minimum amount (to be determined and specified in the relevant Permitted Debt Exchange Offer in the Borrower’s discretion) of Term Loans of any or all applicable Classes be tendered and/or (B) as a condition (a “</w:t>
      </w:r>
      <w:r>
        <w:rPr>
          <w:rFonts w:ascii="Arial" w:cs="Arial" w:eastAsia="Arial" w:hAnsi="Arial"/>
          <w:sz w:val="19"/>
          <w:szCs w:val="19"/>
          <w:u w:val="single" w:color="auto"/>
          <w:color w:val="auto"/>
        </w:rPr>
        <w:t>Maximum</w:t>
      </w:r>
      <w:r>
        <w:rPr>
          <w:rFonts w:ascii="Arial" w:cs="Arial" w:eastAsia="Arial" w:hAnsi="Arial"/>
          <w:sz w:val="19"/>
          <w:szCs w:val="19"/>
          <w:color w:val="auto"/>
        </w:rPr>
        <w:t xml:space="preserve"> </w:t>
      </w:r>
      <w:r>
        <w:rPr>
          <w:rFonts w:ascii="Arial" w:cs="Arial" w:eastAsia="Arial" w:hAnsi="Arial"/>
          <w:sz w:val="19"/>
          <w:szCs w:val="19"/>
          <w:u w:val="single" w:color="auto"/>
          <w:color w:val="auto"/>
        </w:rPr>
        <w:t>Tender Condition</w:t>
      </w:r>
      <w:r>
        <w:rPr>
          <w:rFonts w:ascii="Arial" w:cs="Arial" w:eastAsia="Arial" w:hAnsi="Arial"/>
          <w:sz w:val="19"/>
          <w:szCs w:val="19"/>
          <w:color w:val="auto"/>
        </w:rPr>
        <w:t xml:space="preserve">”)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the provisions of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do not apply to the Permitted Debt Exchange and the other transactions contemplated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hereby agree not to assert any Default or Event of Default in connection with the implementation of any such Permitted Debt Exchange or any other transaction contemplated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jc w:val="both"/>
        <w:ind w:left="140" w:firstLine="1289"/>
        <w:spacing w:after="0" w:line="303" w:lineRule="auto"/>
        <w:tabs>
          <w:tab w:leader="none" w:pos="1949"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any Permitted Debt Exchange Offer shall provide that the date by which the relevant Lenders are required to indicate their election to participate in such Permitted Debt Exchange shall be not less than five</w:t>
      </w:r>
    </w:p>
    <w:p>
      <w:pPr>
        <w:spacing w:after="0" w:line="2" w:lineRule="exact"/>
        <w:rPr>
          <w:rFonts w:ascii="Arial" w:cs="Arial" w:eastAsia="Arial" w:hAnsi="Arial"/>
          <w:sz w:val="16"/>
          <w:szCs w:val="16"/>
          <w:color w:val="auto"/>
        </w:rPr>
      </w:pPr>
    </w:p>
    <w:p>
      <w:pPr>
        <w:jc w:val="both"/>
        <w:ind w:left="140" w:hanging="7"/>
        <w:spacing w:after="0" w:line="241" w:lineRule="auto"/>
        <w:tabs>
          <w:tab w:leader="none" w:pos="43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Business Days following the date on which the Permitted Debt Exchange Offer is made. The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w:t>
      </w:r>
    </w:p>
    <w:p>
      <w:pPr>
        <w:spacing w:after="0" w:line="221" w:lineRule="exact"/>
        <w:rPr>
          <w:rFonts w:ascii="Arial" w:cs="Arial" w:eastAsia="Arial" w:hAnsi="Arial"/>
          <w:sz w:val="20"/>
          <w:szCs w:val="20"/>
          <w:color w:val="auto"/>
        </w:rPr>
      </w:pPr>
    </w:p>
    <w:p>
      <w:pPr>
        <w:ind w:left="140" w:firstLine="1289"/>
        <w:spacing w:after="0" w:line="260" w:lineRule="auto"/>
        <w:tabs>
          <w:tab w:leader="none" w:pos="195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The Borrower shall be responsible for compliance with, and hereby agrees to comply with, all applicable securities and other laws in connection with each Permitted Debt Exchange, it</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-242-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2" w:name="page373"/>
    <w:bookmarkEnd w:id="37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being understood and agreed that (i) neither the Administrative Agent nor any Lender assumes any responsibility in connection with the Borrower’s compliance with such laws in connection with 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-243-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3" w:name="page374"/>
    <w:bookmarkEnd w:id="37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0"/>
        <w:spacing w:after="0" w:line="260" w:lineRule="auto"/>
        <w:rPr>
          <w:sz w:val="20"/>
          <w:szCs w:val="20"/>
          <w:color w:val="auto"/>
        </w:rPr>
      </w:pPr>
      <w:r>
        <w:rPr>
          <w:rFonts w:ascii="Arial" w:cs="Arial" w:eastAsia="Arial" w:hAnsi="Arial"/>
          <w:sz w:val="20"/>
          <w:szCs w:val="20"/>
          <w:color w:val="auto"/>
        </w:rPr>
        <w:t>Permitted Debt Exchange and (ii) each Lender shall be solely responsible for its compliance with any applicable “insider trading” laws and regulations to which such Lender may be subject under the Exchange Act.</w:t>
      </w:r>
    </w:p>
    <w:p>
      <w:pPr>
        <w:spacing w:after="0" w:line="21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8"/>
          <w:szCs w:val="18"/>
          <w:u w:val="single" w:color="auto"/>
          <w:color w:val="auto"/>
        </w:rPr>
        <w:t>Refinancing Facilities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67" w:lineRule="auto"/>
        <w:tabs>
          <w:tab w:leader="none" w:pos="19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At any time after the Closing Date, the Borrower may obtain, from any Lender or any Additional Lender (to the extent agreed to by such Lender or Additional Lender in its sole discretion), Credit Agreement Refinancing Indebtedness in respect of all or any portion of the Term Loans, Revolving Credit Loans and/or Revolving Credit Commitments then outstanding under this Agreement (which will be deemed to include any then outstanding Incremental Term Loans under any Incremental Facilities or any Incremental Revolving Credit Commitments then outstanding under this Agreement (or any Revolving Credit Loans outstanding pursuant thereto)) or any then outstanding Refinancing Term Loans or any then outstanding Refinancing Revolving Credit Loans or Refinancing Revolving Credit Commitments in the form of Refinancing Revolving Credit Loans or Refinancing Revolving Credit Commitments, respectively, in each case, pursuant to a Refinancing Amendment, together with any applicable Customary Intercreditor Agreement or other customary subordination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Credit Agreement Refinancing Indebtedness (i) will, to the extent secured,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and of security with the other Loans and Commitments hereunder (but for the avoidance of doubt, such Credit Agreement Refinancing Indebtedness may be unsecured), (ii) will, to the extent permitted by the definition of “Credit Agreement Refinancing Indebtedness,” have such pricing, interest rate margins (including “MFN” provisions), rate floors, discounts, fees, premiums and prepayment or redemption provisions and terms as may be agreed by the Borrower and the Lenders or Additional Lenders with respect thereto, (iii) will, to the extent in the form of Refinancing Revolving Credit Loans or Refinancing Revolving Credit Commitments, participate in the payment, borrowing, participation and commitment reduction provisions herein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with any then outstanding Revolving Credit Loans and Revolving Credit Commitments, except that the Borrower shall be permitted to permanently repay and terminate commitments of any such Class on a better than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compared to any other Class with a later maturity date than such Class and (iv) will, to the extent in the form of Refinancing Revolving Credit Loans or Refinancing Revolving Credit Commitments and unless the Required Revolving Credit Lenders shall have consented thereto, have terms and conditions (other than interest rate margins and commitment fees) identical to those applicable to the Revolving Credit Commitments and Revolving Credit Loans being refinanced. The effectiveness of any Refinancing Amendment shall be subject to, to the extent reasonably requested by the Administrative Agent, receipt by the Administrative Agent of reaffirmation agreements and board resolutions, officers’ certificates and legal opinions consistent with those delivered on the Closing Date.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Refinancing Term Loans, Refinancing Revolving Credit Loans or Refinancing Revolving Credit Loan Commitments, as applicable) and any Indebtedness being replaced or refinanced with such Credit Agreement Refinancing Indebtedness shall be deemed permanently reduced and satisfied in all respects. Any Refinancing Amendment may, without the consent of any other Lenders, effect such amendments to this Agreement and the other Loan Documents as may be necessary or appropriate, to effect the provisions of this Section.</w:t>
      </w:r>
    </w:p>
    <w:p>
      <w:pPr>
        <w:spacing w:after="0" w:line="219" w:lineRule="exact"/>
        <w:rPr>
          <w:rFonts w:ascii="Arial" w:cs="Arial" w:eastAsia="Arial" w:hAnsi="Arial"/>
          <w:sz w:val="18"/>
          <w:szCs w:val="18"/>
          <w:color w:val="auto"/>
        </w:rPr>
      </w:pPr>
    </w:p>
    <w:p>
      <w:pPr>
        <w:ind w:left="2140" w:hanging="630"/>
        <w:spacing w:after="0"/>
        <w:tabs>
          <w:tab w:leader="none" w:pos="21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supersede any provisions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-244-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4" w:name="page375"/>
    <w:bookmarkEnd w:id="37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III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Taxes, Increased Costs Protection and Illegality</w:t>
      </w:r>
    </w:p>
    <w:p>
      <w:pPr>
        <w:spacing w:after="0" w:line="33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70" w:lineRule="auto"/>
        <w:tabs>
          <w:tab w:leader="none" w:pos="19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any and all payments by or with respect to any obligation of the Borrower (the term Borrower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being deemed to include any Subsidiary for whose account a Letter of Credit is issued) or any Guarantor to or for the account of any Agent or any Lender under any Loan Document shall be made free and clear of and without deduction or withholding for any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applicable law (as determined in the good faith discretion of the applicable withholding agent) requires the deduction or withholding of any Tax from any such payment by a withholding agent and such Tax is an Indemnified Tax, then (i) the sum payable by the Borrower or applicable Guarantor shall be increased as necessary so that after making all required deductions and withholdings (including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any Recipient receives an amount equal to the sum it would have received had no such deductions or withholdings been made, (ii) the applicable withholding agent shall make such deductions and withholdings, and (iii) the applicable withholding agent shall timely pay the full amount deducted or withheld to the relevant Governmental Authority in accordance with applicable law. In addition, and without duplication of any amounts payable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the Borrower agrees to pay, or at the option of the Administrative Agent timely reimburse it for, all Other Taxes.</w:t>
      </w:r>
    </w:p>
    <w:p>
      <w:pPr>
        <w:spacing w:after="0" w:line="202" w:lineRule="exact"/>
        <w:rPr>
          <w:rFonts w:ascii="Arial" w:cs="Arial" w:eastAsia="Arial" w:hAnsi="Arial"/>
          <w:sz w:val="18"/>
          <w:szCs w:val="18"/>
          <w:color w:val="auto"/>
        </w:rPr>
      </w:pPr>
    </w:p>
    <w:p>
      <w:pPr>
        <w:jc w:val="both"/>
        <w:ind w:left="220" w:firstLine="1290"/>
        <w:spacing w:after="0" w:line="268" w:lineRule="auto"/>
        <w:tabs>
          <w:tab w:leader="none" w:pos="194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Without duplication of any amounts payable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the Borrower agrees to indemnify each Agent and each Lender, within 10 Business Days after written demand therefor, for (i) the full amount of any Indemnified Taxes (including any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by such Agent and such Lender and (ii) any reasonable out-of-pocket expenses arising therefrom or with respect thereto, in each case, whether or not such Indemnified Taxes were correctly or legally imposed or asserted by the relevant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the Borrower shall not be required to indemnify any Agent or Lender pursuant to this Section 3.01(b) for any interest, penalties or expenses to the extent resulting from such Agent’s or such Lender’s failure to notify the Borrower of such possible indemnification claim within 180 days after such Agent or such Lender, as applicable, receives written notice from the applicable Governmental Authority of the specific Tax assessment or deficiency claim giving rise to such indemnification claim. A copy of a receipt or any other document evidencing payment delivered to the Borrower by a Recipient, or by the Administrative Agent on its own behalf or on behalf of a Recipient, shall be conclusive absent manifest error. If any Lender or Agent determines, in its reasonable discretion, that it has received a refund in respect of any Indemnified Taxes as to which indemnification or additional amounts have been paid to it by a Borrower or any Guarantor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reasonably promptly pay an amount equal to such refund after it is determined that such refund pertains to Indemnified Taxes (but only to the extent of indemnity payments made, or additional amounts paid, by a Borrower or any Guarantor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Indemnified Taxes giving rise to such refund plus any interest included in such refund by the relevant taxing authority attributable thereto) to the Borrower, net of all reasonable out-of-pocket expenses of the Lender or Agent, as the case may be and without interest (other than any interest paid by the relevant taxing authority with respect to such refund);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Borrower or the Guarantor, upon the request of the Lender or Agent, as the case may be, agrees promptly to return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such refund (plus any applicable interest, additions to Tax or penalties) to such party in the event such party is required to repay such refund to the relevant taxing authority. Such Lender or Agent, as the case may be, shall, at the Borrower’s request, provide the Borrower with a copy of any notice of assessment</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-245-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5" w:name="page376"/>
    <w:bookmarkEnd w:id="37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or other evidence of the requirement to repay such refund received from the relevant taxing authority (provided that such Lender or Agent may delete any information therein that such Lender or Agent deems confidential).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-246-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376" w:name="page377"/>
    <w:bookmarkEnd w:id="37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76" w:lineRule="auto"/>
        <w:rPr>
          <w:sz w:val="20"/>
          <w:szCs w:val="20"/>
          <w:color w:val="auto"/>
        </w:rPr>
      </w:pPr>
      <w:r>
        <w:rPr>
          <w:rFonts w:ascii="Arial" w:cs="Arial" w:eastAsia="Arial" w:hAnsi="Arial"/>
          <w:sz w:val="18"/>
          <w:szCs w:val="18"/>
          <w:color w:val="auto"/>
        </w:rPr>
        <w:t>Notwithstanding anything to the contrary in this paragraph (b), in no event will the indemnified party be required to pay any amount to an indemnifying party pursuant to this paragraph (b)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Nothing herein contained shall oblige any Lender or Agent to claim any Tax refund or to make available its Tax returns or disclose any information relating to its Tax affairs or any computations in respect thereof.</w:t>
      </w:r>
    </w:p>
    <w:p>
      <w:pPr>
        <w:spacing w:after="0" w:line="205" w:lineRule="exact"/>
        <w:rPr>
          <w:sz w:val="20"/>
          <w:szCs w:val="20"/>
          <w:color w:val="auto"/>
        </w:rPr>
      </w:pPr>
    </w:p>
    <w:p>
      <w:pPr>
        <w:jc w:val="both"/>
        <w:ind w:left="220" w:firstLine="1290"/>
        <w:spacing w:after="0" w:line="246" w:lineRule="auto"/>
        <w:tabs>
          <w:tab w:leader="none" w:pos="195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As soon as practicable after any payment of Taxes by the Borrower to a Governmental Authority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18" w:lineRule="exact"/>
        <w:rPr>
          <w:rFonts w:ascii="Arial" w:cs="Arial" w:eastAsia="Arial" w:hAnsi="Arial"/>
          <w:sz w:val="20"/>
          <w:szCs w:val="20"/>
          <w:color w:val="auto"/>
        </w:rPr>
      </w:pPr>
    </w:p>
    <w:p>
      <w:pPr>
        <w:jc w:val="both"/>
        <w:ind w:left="220" w:firstLine="1291"/>
        <w:spacing w:after="0" w:line="276" w:lineRule="auto"/>
        <w:tabs>
          <w:tab w:leader="none" w:pos="19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Each Lender agrees that, upon the occurrence of any event giving rise to the operation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 respect to such Lender it will, if requested by the Borrower, use reasonable efforts (subject to legal and regulatory restrictions), at Borrower’s expense, to designate another Applicable Lending Office for any Loan or Letter of Credit affected by such event; provided that such efforts are made on terms that, in the judgment of such Lender, cause such Lender and its Applicable Lending Office(s) to suffer no material economic, Taxes, legal or regulatory disadvantage, and provided further that nothing in this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affect or postpone any of the Secured Obligations of the Borrower or the rights of such Lender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272" w:lineRule="exact"/>
        <w:rPr>
          <w:rFonts w:ascii="Arial" w:cs="Arial" w:eastAsia="Arial" w:hAnsi="Arial"/>
          <w:sz w:val="18"/>
          <w:szCs w:val="18"/>
          <w:color w:val="auto"/>
        </w:rPr>
      </w:pPr>
    </w:p>
    <w:p>
      <w:pPr>
        <w:jc w:val="both"/>
        <w:ind w:left="220" w:firstLine="1290"/>
        <w:spacing w:after="0" w:line="271" w:lineRule="auto"/>
        <w:tabs>
          <w:tab w:leader="none" w:pos="195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10.07(e)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214" w:lineRule="exact"/>
        <w:rPr>
          <w:rFonts w:ascii="Arial" w:cs="Arial" w:eastAsia="Arial" w:hAnsi="Arial"/>
          <w:sz w:val="18"/>
          <w:szCs w:val="18"/>
          <w:color w:val="auto"/>
        </w:rPr>
      </w:pPr>
    </w:p>
    <w:p>
      <w:pPr>
        <w:jc w:val="both"/>
        <w:ind w:left="220" w:firstLine="1291"/>
        <w:spacing w:after="0" w:line="257" w:lineRule="auto"/>
        <w:tabs>
          <w:tab w:leader="none" w:pos="1948"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Status of the Lenders:</w:t>
      </w:r>
      <w:r>
        <w:rPr>
          <w:rFonts w:ascii="Arial" w:cs="Arial" w:eastAsia="Arial" w:hAnsi="Arial"/>
          <w:sz w:val="19"/>
          <w:szCs w:val="19"/>
          <w:color w:val="auto"/>
        </w:rPr>
        <w:t xml:space="preserve"> (i) 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any Loan Document.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such</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-247-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7" w:name="page378"/>
    <w:bookmarkEnd w:id="37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documentation (including any documentation specifically referenced below) expired, obsolete or inaccurate in any material respect, deliver reasonably promptly to the Borrower and the Administrative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-248-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8" w:name="page379"/>
    <w:bookmarkEnd w:id="37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20"/>
        <w:spacing w:after="0" w:line="287" w:lineRule="auto"/>
        <w:rPr>
          <w:sz w:val="20"/>
          <w:szCs w:val="20"/>
          <w:color w:val="auto"/>
        </w:rPr>
      </w:pPr>
      <w:r>
        <w:rPr>
          <w:rFonts w:ascii="Arial" w:cs="Arial" w:eastAsia="Arial" w:hAnsi="Arial"/>
          <w:sz w:val="19"/>
          <w:szCs w:val="19"/>
          <w:color w:val="auto"/>
        </w:rPr>
        <w:t>Agent updated or other appropriate documentation (including any new documentation reasonably requested by the applicable withholding agent) or reasonably promptly notify the Borrower and the Administrative Agent in writing of its legal inability to do so.</w:t>
      </w:r>
    </w:p>
    <w:p>
      <w:pPr>
        <w:spacing w:after="0" w:line="193" w:lineRule="exact"/>
        <w:rPr>
          <w:sz w:val="20"/>
          <w:szCs w:val="20"/>
          <w:color w:val="auto"/>
        </w:rPr>
      </w:pPr>
    </w:p>
    <w:p>
      <w:pPr>
        <w:ind w:left="2060" w:hanging="614"/>
        <w:spacing w:after="0"/>
        <w:tabs>
          <w:tab w:leader="none" w:pos="206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42" w:lineRule="exact"/>
        <w:rPr>
          <w:rFonts w:ascii="Arial" w:cs="Arial" w:eastAsia="Arial" w:hAnsi="Arial"/>
          <w:sz w:val="20"/>
          <w:szCs w:val="20"/>
          <w:color w:val="auto"/>
        </w:rPr>
      </w:pPr>
    </w:p>
    <w:p>
      <w:pPr>
        <w:jc w:val="both"/>
        <w:ind w:left="780" w:firstLine="1297"/>
        <w:spacing w:after="0" w:line="269" w:lineRule="auto"/>
        <w:tabs>
          <w:tab w:leader="none" w:pos="259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Lender that is a “United States person” (as defined in Section 7701(a)(30) of the Code) shall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on or before the date on which it becomes a party to this Agreement two properly completed and duly signed original copies of Internal Revenue Service Form W-9 (or any successor form) certifying that such Lender is exempt from U.S. federal backup withholding. Each Lender that is not a “United States person” as defined in Section 7701(a)(30) of the Code (a “</w:t>
      </w:r>
      <w:r>
        <w:rPr>
          <w:rFonts w:ascii="Arial" w:cs="Arial" w:eastAsia="Arial" w:hAnsi="Arial"/>
          <w:sz w:val="18"/>
          <w:szCs w:val="18"/>
          <w:b w:val="1"/>
          <w:bCs w:val="1"/>
          <w:color w:val="auto"/>
        </w:rPr>
        <w:t>Foreign Lender</w:t>
      </w:r>
      <w:r>
        <w:rPr>
          <w:rFonts w:ascii="Arial" w:cs="Arial" w:eastAsia="Arial" w:hAnsi="Arial"/>
          <w:sz w:val="18"/>
          <w:szCs w:val="18"/>
          <w:color w:val="auto"/>
        </w:rPr>
        <w:t>”) shall, to the extent it is legally able to do so,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and from time to time thereafter when required by Law or upon the reasonable request of the Borrower or the Administrative Agent, two properly completed and duly signed copies of whichever of the following is applicable:</w:t>
      </w:r>
    </w:p>
    <w:p>
      <w:pPr>
        <w:spacing w:after="0" w:line="222" w:lineRule="exact"/>
        <w:rPr>
          <w:sz w:val="20"/>
          <w:szCs w:val="20"/>
          <w:color w:val="auto"/>
        </w:rPr>
      </w:pPr>
    </w:p>
    <w:p>
      <w:pPr>
        <w:jc w:val="both"/>
        <w:ind w:left="1420" w:firstLine="657"/>
        <w:spacing w:after="0" w:line="246" w:lineRule="auto"/>
        <w:tabs>
          <w:tab w:leader="none" w:pos="2582" w:val="left"/>
        </w:tabs>
        <w:numPr>
          <w:ilvl w:val="1"/>
          <w:numId w:val="255"/>
        </w:numPr>
        <w:rPr>
          <w:rFonts w:ascii="Arial" w:cs="Arial" w:eastAsia="Arial" w:hAnsi="Arial"/>
          <w:sz w:val="20"/>
          <w:szCs w:val="20"/>
          <w:color w:val="auto"/>
        </w:rPr>
      </w:pPr>
      <w:r>
        <w:rPr>
          <w:rFonts w:ascii="Arial" w:cs="Arial" w:eastAsia="Arial" w:hAnsi="Arial"/>
          <w:sz w:val="20"/>
          <w:szCs w:val="20"/>
          <w:color w:val="auto"/>
        </w:rPr>
        <w:t>an executed original of Internal Revenue Service Form W-8BEN, W- 8BEN-E, as applicable (with respect to eligibility for benefits under any income tax treaty), or successor and related applicable forms, as the case may be, certifying to such Foreign Lender’s entitlement as of such date to an exemption from or reduction of United States withholding tax with respect to payments to be made under this Agreement,</w:t>
      </w:r>
    </w:p>
    <w:p>
      <w:pPr>
        <w:spacing w:after="0" w:line="231" w:lineRule="exact"/>
        <w:rPr>
          <w:rFonts w:ascii="Arial" w:cs="Arial" w:eastAsia="Arial" w:hAnsi="Arial"/>
          <w:sz w:val="20"/>
          <w:szCs w:val="20"/>
          <w:color w:val="auto"/>
        </w:rPr>
      </w:pPr>
    </w:p>
    <w:p>
      <w:pPr>
        <w:ind w:left="2720" w:hanging="644"/>
        <w:spacing w:after="0"/>
        <w:tabs>
          <w:tab w:leader="none" w:pos="272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Internal Revenue Service Form W-8ECI (or any successor forms),</w:t>
      </w:r>
    </w:p>
    <w:p>
      <w:pPr>
        <w:spacing w:after="0" w:line="242" w:lineRule="exact"/>
        <w:rPr>
          <w:rFonts w:ascii="Arial" w:cs="Arial" w:eastAsia="Arial" w:hAnsi="Arial"/>
          <w:sz w:val="20"/>
          <w:szCs w:val="20"/>
          <w:color w:val="auto"/>
        </w:rPr>
      </w:pPr>
    </w:p>
    <w:p>
      <w:pPr>
        <w:jc w:val="both"/>
        <w:ind w:left="1420" w:firstLine="657"/>
        <w:spacing w:after="0" w:line="272" w:lineRule="auto"/>
        <w:tabs>
          <w:tab w:leader="none" w:pos="258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in the case of a Lender claiming the benefits of the exemption for portfolio interest under Section 881(c) or the Code, (x) a certificate, in substantially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(any such certificate a “</w:t>
      </w:r>
      <w:r>
        <w:rPr>
          <w:rFonts w:ascii="Arial" w:cs="Arial" w:eastAsia="Arial" w:hAnsi="Arial"/>
          <w:sz w:val="18"/>
          <w:szCs w:val="18"/>
          <w:u w:val="single" w:color="auto"/>
          <w:color w:val="auto"/>
        </w:rPr>
        <w:t>United States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or any other form approved by the Administrative Agent and Borrower, to the effect that such Lender is not</w:t>
      </w:r>
    </w:p>
    <w:p>
      <w:pPr>
        <w:jc w:val="both"/>
        <w:ind w:left="1420" w:firstLine="9"/>
        <w:spacing w:after="0" w:line="256" w:lineRule="auto"/>
        <w:tabs>
          <w:tab w:leader="none" w:pos="1762"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properly completed and duly executed copies of Internal Revenue Service Form W-8BEN or W- 8BEN-E, as applicable (or any successor forms),</w:t>
      </w:r>
    </w:p>
    <w:p>
      <w:pPr>
        <w:spacing w:after="0" w:line="222" w:lineRule="exact"/>
        <w:rPr>
          <w:rFonts w:ascii="Arial" w:cs="Arial" w:eastAsia="Arial" w:hAnsi="Arial"/>
          <w:sz w:val="19"/>
          <w:szCs w:val="19"/>
          <w:color w:val="auto"/>
        </w:rPr>
      </w:pPr>
    </w:p>
    <w:p>
      <w:pPr>
        <w:jc w:val="both"/>
        <w:ind w:left="1440" w:firstLine="637"/>
        <w:spacing w:after="0" w:line="263" w:lineRule="auto"/>
        <w:tabs>
          <w:tab w:leader="none" w:pos="2601" w:val="left"/>
        </w:tabs>
        <w:numPr>
          <w:ilvl w:val="1"/>
          <w:numId w:val="256"/>
        </w:numPr>
        <w:rPr>
          <w:rFonts w:ascii="Arial" w:cs="Arial" w:eastAsia="Arial" w:hAnsi="Arial"/>
          <w:sz w:val="19"/>
          <w:szCs w:val="19"/>
          <w:color w:val="auto"/>
        </w:rPr>
      </w:pPr>
      <w:r>
        <w:rPr>
          <w:rFonts w:ascii="Arial" w:cs="Arial" w:eastAsia="Arial" w:hAnsi="Arial"/>
          <w:sz w:val="19"/>
          <w:szCs w:val="19"/>
          <w:color w:val="auto"/>
        </w:rPr>
        <w:t>to the extent a Lender is not the beneficial owner (for example, where the Lender is a partnership, or is a Lender that has granted a participation), Internal Revenue Service Form W-8IMY (or any successor forms) of the Lender, accompanied by Internal Revenue Service Form W-8ECI, W-8BEN or W-8BEN-E, as applicable (or any successor forms), United States Tax Compliance Certificate, Internal Revenue Service Form W-9,</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-249-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79" w:name="page380"/>
    <w:bookmarkEnd w:id="37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W-8IMY (or other successor forms) and/or any other required information from each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-250-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80" w:name="page381"/>
    <w:bookmarkEnd w:id="38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40"/>
        <w:spacing w:after="0" w:line="269" w:lineRule="auto"/>
        <w:rPr>
          <w:sz w:val="20"/>
          <w:szCs w:val="20"/>
          <w:color w:val="auto"/>
        </w:rPr>
      </w:pPr>
      <w:r>
        <w:rPr>
          <w:rFonts w:ascii="Arial" w:cs="Arial" w:eastAsia="Arial" w:hAnsi="Arial"/>
          <w:sz w:val="19"/>
          <w:szCs w:val="19"/>
          <w:color w:val="auto"/>
        </w:rPr>
        <w:t>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210" w:lineRule="exact"/>
        <w:rPr>
          <w:sz w:val="20"/>
          <w:szCs w:val="20"/>
          <w:color w:val="auto"/>
        </w:rPr>
      </w:pPr>
    </w:p>
    <w:p>
      <w:pPr>
        <w:jc w:val="both"/>
        <w:ind w:left="1440" w:firstLine="637"/>
        <w:spacing w:after="0" w:line="250" w:lineRule="auto"/>
        <w:tabs>
          <w:tab w:leader="none" w:pos="26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any other form prescribed by applicable U.S. federal income tax Laws (including the Treasury regulations) as a basis for claiming a complete exemption from, or a reduction in, U.S. federal withholding tax on any payments to such Lender under the Loan Documents.</w:t>
      </w:r>
    </w:p>
    <w:p>
      <w:pPr>
        <w:spacing w:after="0" w:line="213" w:lineRule="exact"/>
        <w:rPr>
          <w:sz w:val="20"/>
          <w:szCs w:val="20"/>
          <w:color w:val="auto"/>
        </w:rPr>
      </w:pPr>
    </w:p>
    <w:p>
      <w:pPr>
        <w:jc w:val="both"/>
        <w:ind w:left="780"/>
        <w:spacing w:after="0" w:line="270" w:lineRule="auto"/>
        <w:rPr>
          <w:sz w:val="20"/>
          <w:szCs w:val="20"/>
          <w:color w:val="auto"/>
        </w:rPr>
      </w:pPr>
      <w:r>
        <w:rPr>
          <w:rFonts w:ascii="Arial" w:cs="Arial" w:eastAsia="Arial" w:hAnsi="Arial"/>
          <w:sz w:val="18"/>
          <w:szCs w:val="18"/>
          <w:color w:val="auto"/>
        </w:rPr>
        <w:t xml:space="preserve">Further, each Foreign Lender agrees, (i) to the extent it is not precluded from doing so by a Change in Law and otherwise legally able to do so, to deliver to the Borrower and the Administrative Agent, and if applicable, the assigning Lender (or, in the case of a Participant, to the Lender from which the related participation shall have been purchased), from time to time, an executed original of the applicable Form W-8 or successor and related applicable forms or certificates, on or before the date that any such form or certificate, as the case may be, expires or becomes obsolete or invalid in accordance with applicable U.S. laws and regulations, (ii) in the case of a Foreign Lender that delivers a United States Tax Compliance Certificate, to deliver to the Borrower and the Administrative Agent, and if applicable, the assigning Lender (or, in the case of a Participant, to the Lender from which the related participation shall have been purchased), such statement on an annual basis reasonably promptly after the anniversary of the date on which such Foreign Lender became a party to this Agreement (or, in the case of a Participant, the date on which the Participant purchased the related participation), and (iii) to notify promptly the Borrower and the Administrative Agent (or, in the case of a Participant, the Lender from which the related participation shall have been purchased) if it is no longer able to deliver, or if it is required to withdraw or cancel, any form or certificate previously delivered by it pursuant to this </w:t>
      </w:r>
      <w:r>
        <w:rPr>
          <w:rFonts w:ascii="Arial" w:cs="Arial" w:eastAsia="Arial" w:hAnsi="Arial"/>
          <w:sz w:val="18"/>
          <w:szCs w:val="18"/>
          <w:u w:val="single" w:color="auto"/>
          <w:color w:val="auto"/>
        </w:rPr>
        <w:t>Section 3.01(f)</w:t>
      </w:r>
      <w:r>
        <w:rPr>
          <w:rFonts w:ascii="Arial" w:cs="Arial" w:eastAsia="Arial" w:hAnsi="Arial"/>
          <w:sz w:val="18"/>
          <w:szCs w:val="18"/>
          <w:color w:val="auto"/>
        </w:rPr>
        <w:t>.</w:t>
      </w:r>
    </w:p>
    <w:p>
      <w:pPr>
        <w:spacing w:after="0" w:line="284" w:lineRule="exact"/>
        <w:rPr>
          <w:sz w:val="20"/>
          <w:szCs w:val="20"/>
          <w:color w:val="auto"/>
        </w:rPr>
      </w:pPr>
    </w:p>
    <w:p>
      <w:pPr>
        <w:jc w:val="both"/>
        <w:ind w:left="780" w:firstLine="1297"/>
        <w:spacing w:after="0" w:line="276" w:lineRule="auto"/>
        <w:tabs>
          <w:tab w:leader="none" w:pos="259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In addition, but without duplication of the covenant as to United States withholding tax contained in </w:t>
      </w:r>
      <w:r>
        <w:rPr>
          <w:rFonts w:ascii="Arial" w:cs="Arial" w:eastAsia="Arial" w:hAnsi="Arial"/>
          <w:sz w:val="18"/>
          <w:szCs w:val="18"/>
          <w:u w:val="single" w:color="auto"/>
          <w:color w:val="auto"/>
        </w:rPr>
        <w:t>Section 3.01(f)(i) and (ii)</w:t>
      </w:r>
      <w:r>
        <w:rPr>
          <w:rFonts w:ascii="Arial" w:cs="Arial" w:eastAsia="Arial" w:hAnsi="Arial"/>
          <w:sz w:val="18"/>
          <w:szCs w:val="18"/>
          <w:color w:val="auto"/>
        </w:rPr>
        <w:t>, any Lender that is entitled to an exemption from or reduction of withholding Tax under the law of the jurisdiction(s) in which the Borrower is organized, or any treaty to which any such jurisdiction is a party, with respect to payments under this Agreement shall deliver to the Borrower (with a copy to the Administrative Agent), at the time or times prescribed by applicable law, such properly completed and executed original documentation prescribed by applicable law or reasonably requested by the Borrower as will permit such payments to be made without withholding or at a reduced rate.</w:t>
      </w:r>
    </w:p>
    <w:p>
      <w:pPr>
        <w:spacing w:after="0" w:line="205" w:lineRule="exact"/>
        <w:rPr>
          <w:rFonts w:ascii="Arial" w:cs="Arial" w:eastAsia="Arial" w:hAnsi="Arial"/>
          <w:sz w:val="18"/>
          <w:szCs w:val="18"/>
          <w:color w:val="auto"/>
        </w:rPr>
      </w:pPr>
    </w:p>
    <w:p>
      <w:pPr>
        <w:jc w:val="both"/>
        <w:ind w:left="780" w:firstLine="1297"/>
        <w:spacing w:after="0" w:line="242" w:lineRule="auto"/>
        <w:tabs>
          <w:tab w:leader="none" w:pos="2595"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-251-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1" w:name="page382"/>
    <w:bookmarkEnd w:id="38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 xml:space="preserve">Notwithstanding any other provision of this </w:t>
      </w:r>
      <w:r>
        <w:rPr>
          <w:rFonts w:ascii="Arial" w:cs="Arial" w:eastAsia="Arial" w:hAnsi="Arial"/>
          <w:sz w:val="20"/>
          <w:szCs w:val="20"/>
          <w:u w:val="single" w:color="auto"/>
          <w:color w:val="auto"/>
        </w:rPr>
        <w:t>clause (f)</w:t>
      </w:r>
      <w:r>
        <w:rPr>
          <w:rFonts w:ascii="Arial" w:cs="Arial" w:eastAsia="Arial" w:hAnsi="Arial"/>
          <w:sz w:val="20"/>
          <w:szCs w:val="20"/>
          <w:color w:val="auto"/>
        </w:rPr>
        <w:t>, a Lender shall not be required to deliver any documentation that such Lender is not legally eligible to deliver. Each Lender authorizes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-252-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860"/>
          </w:cols>
          <w:pgMar w:left="320" w:top="121" w:right="719" w:bottom="1440" w:gutter="0" w:footer="0" w:header="0"/>
        </w:sectPr>
      </w:pPr>
    </w:p>
    <w:bookmarkStart w:id="382" w:name="page383"/>
    <w:bookmarkEnd w:id="38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460"/>
        <w:spacing w:after="0" w:line="260" w:lineRule="auto"/>
        <w:rPr>
          <w:sz w:val="20"/>
          <w:szCs w:val="20"/>
          <w:color w:val="auto"/>
        </w:rPr>
      </w:pPr>
      <w:r>
        <w:rPr>
          <w:rFonts w:ascii="Arial" w:cs="Arial" w:eastAsia="Arial" w:hAnsi="Arial"/>
          <w:sz w:val="20"/>
          <w:szCs w:val="20"/>
          <w:color w:val="auto"/>
        </w:rPr>
        <w:t xml:space="preserve">Administrative Agent to deliver to the Borrower and to any successor Agent any documentation provided by the Lender to the Agent pursuant to this </w:t>
      </w:r>
      <w:r>
        <w:rPr>
          <w:rFonts w:ascii="Arial" w:cs="Arial" w:eastAsia="Arial" w:hAnsi="Arial"/>
          <w:sz w:val="20"/>
          <w:szCs w:val="20"/>
          <w:u w:val="single" w:color="auto"/>
          <w:color w:val="auto"/>
        </w:rPr>
        <w:t>Section 3.01(f)</w:t>
      </w:r>
      <w:r>
        <w:rPr>
          <w:rFonts w:ascii="Arial" w:cs="Arial" w:eastAsia="Arial" w:hAnsi="Arial"/>
          <w:sz w:val="20"/>
          <w:szCs w:val="20"/>
          <w:color w:val="auto"/>
        </w:rPr>
        <w:t>.</w:t>
      </w:r>
    </w:p>
    <w:p>
      <w:pPr>
        <w:spacing w:after="0" w:line="298" w:lineRule="exact"/>
        <w:rPr>
          <w:sz w:val="20"/>
          <w:szCs w:val="20"/>
          <w:color w:val="auto"/>
        </w:rPr>
      </w:pPr>
    </w:p>
    <w:p>
      <w:pPr>
        <w:jc w:val="both"/>
        <w:ind w:left="220" w:firstLine="1291"/>
        <w:spacing w:after="0" w:line="256" w:lineRule="auto"/>
        <w:tabs>
          <w:tab w:leader="none" w:pos="195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The Administrative Agent shall provide the Borrower with two properly completed and duly executed original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 and whenever a lapse in time or change in circumstances renders any such form or documentation expired, obsolete or inaccurate in any material respect, or promptly notify the Borrower in writing of its legal ineligibility to do so. Notwithstanding any other provision of this </w:t>
      </w:r>
      <w:r>
        <w:rPr>
          <w:rFonts w:ascii="Arial" w:cs="Arial" w:eastAsia="Arial" w:hAnsi="Arial"/>
          <w:sz w:val="19"/>
          <w:szCs w:val="19"/>
          <w:u w:val="single" w:color="auto"/>
          <w:color w:val="auto"/>
        </w:rPr>
        <w:t>clause (g)</w:t>
      </w:r>
      <w:r>
        <w:rPr>
          <w:rFonts w:ascii="Arial" w:cs="Arial" w:eastAsia="Arial" w:hAnsi="Arial"/>
          <w:sz w:val="19"/>
          <w:szCs w:val="19"/>
          <w:color w:val="auto"/>
        </w:rPr>
        <w:t>, the Administrative Agent shall not be required to deliver any form that such Administrative Agent is not legally eligible to deliver.</w:t>
      </w:r>
    </w:p>
    <w:p>
      <w:pPr>
        <w:spacing w:after="0" w:line="211"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324" w:lineRule="exact"/>
        <w:rPr>
          <w:sz w:val="20"/>
          <w:szCs w:val="20"/>
          <w:color w:val="auto"/>
        </w:rPr>
      </w:pPr>
    </w:p>
    <w:p>
      <w:pPr>
        <w:jc w:val="both"/>
        <w:ind w:left="140" w:firstLine="1289"/>
        <w:spacing w:after="0" w:line="270" w:lineRule="auto"/>
        <w:tabs>
          <w:tab w:leader="none" w:pos="195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If, after the Closing Date, either the Administrative Agent or the Required Lenders reasonably determine that for any reason adequate and reasonable means do not exist for determining the Eurocurrency Rate for any requested Interest Period with respect to a proposed Eurocurrency Rate Loan denominated in any currency, or the Required Lenders (excluding for all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only, the portion of the Total Outstandings and unused Commitments that are not available for Loans in such currency) determine that the Eurocurrency Rate for any requested Interest Period with respect to such proposed Eurocurrency Rate Loan does not adequately and fairly reflect the cost to such Lenders of funding such Loan, or that deposits are not being offered to banks in the applicable London interbank Eurodollar, or other applicable market, for the applicable amount and the Interest Period of such Eurocurrency Rate Loan, the Administrative Agent will promptly so notify the Borrower and each Lender. Thereafter, the obligation of the Lenders to make or maintain Eurocurrency Rate Loans in such currency shall be suspended until the Administrative Agent (upon the instruction of the Required Lenders) revokes such notice. Upon receipt of such notice, the Borrower may revoke any pending request for a Borrowing of, conversion to or continuation of Eurocurrency Rate Loans or, failing that, will be deemed to have converted such request into a request for a Borrowing of Base Rate Loans in the amount specified therein.</w:t>
      </w:r>
    </w:p>
    <w:p>
      <w:pPr>
        <w:spacing w:after="0" w:line="216" w:lineRule="exact"/>
        <w:rPr>
          <w:rFonts w:ascii="Arial" w:cs="Arial" w:eastAsia="Arial" w:hAnsi="Arial"/>
          <w:sz w:val="18"/>
          <w:szCs w:val="18"/>
          <w:color w:val="auto"/>
        </w:rPr>
      </w:pPr>
    </w:p>
    <w:p>
      <w:pPr>
        <w:jc w:val="both"/>
        <w:ind w:left="140" w:firstLine="1289"/>
        <w:spacing w:after="0" w:line="271" w:lineRule="auto"/>
        <w:tabs>
          <w:tab w:leader="none" w:pos="195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upon the occurrence of a Benchmark Transition Event or an Early Opt-in Election, as applicable, the Administrative Agent and the Borrower may amend this Agreement to replace the Eurocurrency Rate with a Benchmark Replacement. Any such amendment with respect to a Benchmark Transition Event or Early Opt-in Election will become effective at 5:00 p.m. on the fifth (5th) Business Day after the Administrative Agent has posted such proposed amendment to all Lenders and the Borrower, so long as the Administrative Agent has not received, by such time, written notice of objection to such proposed amendment from Lenders comprising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proposed amendment containing any SOFR-Based Rate, the Lenders shall be entitled to object only to the Benchmark Replacement Adjustment contained therein. No replacement of Eurocurrency Rate with a Benchmark Replacement will occur prior to the applicable Benchmark Transition Start Date.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-253-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3" w:name="page384"/>
    <w:bookmarkEnd w:id="38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Benchmark Replacement Conforming Changes will become effective without any further action or consent of any other party to this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-254-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4" w:name="page385"/>
    <w:bookmarkEnd w:id="38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60" w:hanging="631"/>
        <w:spacing w:after="0"/>
        <w:tabs>
          <w:tab w:leader="none" w:pos="206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The Administrative Agent will promptly notify the Borrower and the Lenders of</w:t>
      </w:r>
    </w:p>
    <w:p>
      <w:pPr>
        <w:spacing w:after="0" w:line="15" w:lineRule="exact"/>
        <w:rPr>
          <w:rFonts w:ascii="Arial" w:cs="Arial" w:eastAsia="Arial" w:hAnsi="Arial"/>
          <w:sz w:val="20"/>
          <w:szCs w:val="20"/>
          <w:color w:val="auto"/>
        </w:rPr>
      </w:pPr>
    </w:p>
    <w:p>
      <w:pPr>
        <w:jc w:val="both"/>
        <w:ind w:left="140" w:hanging="7"/>
        <w:spacing w:after="0" w:line="254" w:lineRule="auto"/>
        <w:tabs>
          <w:tab w:leader="none" w:pos="381"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the Borrower or Lenders pursuant to this </w:t>
      </w:r>
      <w:r>
        <w:rPr>
          <w:rFonts w:ascii="Arial" w:cs="Arial" w:eastAsia="Arial" w:hAnsi="Arial"/>
          <w:sz w:val="19"/>
          <w:szCs w:val="19"/>
          <w:u w:val="single" w:color="auto"/>
          <w:color w:val="auto"/>
        </w:rPr>
        <w:t>Section 3.02</w:t>
      </w:r>
      <w:r>
        <w:rPr>
          <w:rFonts w:ascii="Arial" w:cs="Arial" w:eastAsia="Arial" w:hAnsi="Arial"/>
          <w:sz w:val="19"/>
          <w:szCs w:val="19"/>
          <w:color w:val="auto"/>
        </w:rPr>
        <w:t>,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w:t>
      </w:r>
    </w:p>
    <w:p>
      <w:pPr>
        <w:spacing w:after="0" w:line="228" w:lineRule="exact"/>
        <w:rPr>
          <w:rFonts w:ascii="Arial" w:cs="Arial" w:eastAsia="Arial" w:hAnsi="Arial"/>
          <w:sz w:val="19"/>
          <w:szCs w:val="19"/>
          <w:color w:val="auto"/>
        </w:rPr>
      </w:pPr>
    </w:p>
    <w:p>
      <w:pPr>
        <w:jc w:val="both"/>
        <w:ind w:left="140" w:firstLine="1289"/>
        <w:spacing w:after="0" w:line="246" w:lineRule="auto"/>
        <w:tabs>
          <w:tab w:leader="none" w:pos="1948" w:val="left"/>
        </w:tabs>
        <w:numPr>
          <w:ilvl w:val="1"/>
          <w:numId w:val="262"/>
        </w:numPr>
        <w:rPr>
          <w:rFonts w:ascii="Arial" w:cs="Arial" w:eastAsia="Arial" w:hAnsi="Arial"/>
          <w:sz w:val="20"/>
          <w:szCs w:val="20"/>
          <w:color w:val="auto"/>
        </w:rPr>
      </w:pPr>
      <w:r>
        <w:rPr>
          <w:rFonts w:ascii="Arial" w:cs="Arial" w:eastAsia="Arial" w:hAnsi="Arial"/>
          <w:sz w:val="20"/>
          <w:szCs w:val="20"/>
          <w:color w:val="auto"/>
        </w:rPr>
        <w:t>Upon the Borrower’s receipt of notice of the commencement of a Benchmark Unavailability Period, (i) any Committed Loan Notice that requests the conversion of any Borrowing to, or continuation of any Borrowing as, a Eurocurrency Rate Borrowing shall be ineffective and (ii) if any Committed Loan Notice requests a Eurocurrency Rate Borrowing, such Borrowing shall be made as a Base Rate Borrowing.</w:t>
      </w:r>
    </w:p>
    <w:p>
      <w:pPr>
        <w:spacing w:after="0" w:line="218"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u w:val="single" w:color="auto"/>
          <w:color w:val="auto"/>
        </w:rPr>
        <w:t>Increased Cost and Reduced Return; Capital Adequacy; Reserves on Eurocurrency Rate Loans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186"/>
        <w:spacing w:after="0" w:line="255" w:lineRule="auto"/>
        <w:tabs>
          <w:tab w:leader="none" w:pos="1948"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any such increased costs or reduction in amount resulting from (i) Indemnified Taxes indemnifiable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 Excluded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w:t>
      </w:r>
    </w:p>
    <w:p>
      <w:pPr>
        <w:spacing w:after="0" w:line="2" w:lineRule="exact"/>
        <w:rPr>
          <w:rFonts w:ascii="Arial" w:cs="Arial" w:eastAsia="Arial" w:hAnsi="Arial"/>
          <w:sz w:val="19"/>
          <w:szCs w:val="19"/>
          <w:color w:val="auto"/>
        </w:rPr>
      </w:pPr>
    </w:p>
    <w:p>
      <w:pPr>
        <w:jc w:val="both"/>
        <w:ind w:left="220" w:hanging="6"/>
        <w:spacing w:after="0"/>
        <w:tabs>
          <w:tab w:leader="none" w:pos="653" w:val="left"/>
        </w:tabs>
        <w:numPr>
          <w:ilvl w:val="0"/>
          <w:numId w:val="264"/>
        </w:numPr>
        <w:rPr>
          <w:rFonts w:ascii="Arial" w:cs="Arial" w:eastAsia="Arial" w:hAnsi="Arial"/>
          <w:sz w:val="20"/>
          <w:szCs w:val="20"/>
          <w:u w:val="single" w:color="auto"/>
          <w:color w:val="auto"/>
        </w:rPr>
      </w:pPr>
      <w:r>
        <w:rPr>
          <w:rFonts w:ascii="Arial" w:cs="Arial" w:eastAsia="Arial" w:hAnsi="Arial"/>
          <w:sz w:val="20"/>
          <w:szCs w:val="20"/>
          <w:color w:val="auto"/>
        </w:rPr>
        <w:t xml:space="preserve">of the definition of Excluded Taxes or (iii) Excluded Taxes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Excluded Taxes to the extent such Taxes are imposed on or measured by such Lender’s net income or profits (or are franchise Taxes imposed in lieu thereof) or (iv) reserve requirements contemplated by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Arial" w:cs="Arial" w:eastAsia="Arial" w:hAnsi="Arial"/>
          <w:sz w:val="20"/>
          <w:szCs w:val="20"/>
          <w:u w:val="single" w:color="auto"/>
          <w:color w:val="auto"/>
        </w:rPr>
        <w:t>Section 3.05</w:t>
      </w:r>
      <w:r>
        <w:rPr>
          <w:rFonts w:ascii="Arial" w:cs="Arial" w:eastAsia="Arial" w:hAnsi="Arial"/>
          <w:sz w:val="20"/>
          <w:szCs w:val="20"/>
          <w:color w:val="auto"/>
        </w:rPr>
        <w:t>), the Borrower shall pay to such Lender such additional amounts as will compensate such Lender for such increased cost or reduction.</w:t>
      </w:r>
    </w:p>
    <w:p>
      <w:pPr>
        <w:spacing w:after="0" w:line="238" w:lineRule="exact"/>
        <w:rPr>
          <w:sz w:val="20"/>
          <w:szCs w:val="20"/>
          <w:color w:val="auto"/>
        </w:rPr>
      </w:pPr>
    </w:p>
    <w:p>
      <w:pPr>
        <w:jc w:val="both"/>
        <w:ind w:left="220" w:firstLine="1104"/>
        <w:spacing w:after="0" w:line="257" w:lineRule="auto"/>
        <w:tabs>
          <w:tab w:leader="none" w:pos="1948"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If any Lender determines that as a result of any Change in Law regarding capital adequacy or liquidity requirements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Arial" w:cs="Arial" w:eastAsia="Arial" w:hAnsi="Arial"/>
          <w:sz w:val="19"/>
          <w:szCs w:val="19"/>
          <w:u w:val="single" w:color="auto"/>
          <w:color w:val="auto"/>
        </w:rPr>
        <w:t>Section 3.05</w:t>
      </w:r>
      <w:r>
        <w:rPr>
          <w:rFonts w:ascii="Arial" w:cs="Arial" w:eastAsia="Arial" w:hAnsi="Arial"/>
          <w:sz w:val="19"/>
          <w:szCs w:val="19"/>
          <w:color w:val="auto"/>
        </w:rPr>
        <w:t>), the Borrower shall pay to such Lender such additional amounts as will compensate such Lender for such reduction within fifteen (15) days after receipt of such demand.</w:t>
      </w:r>
    </w:p>
    <w:p>
      <w:pPr>
        <w:spacing w:after="0" w:line="220" w:lineRule="exact"/>
        <w:rPr>
          <w:rFonts w:ascii="Arial" w:cs="Arial" w:eastAsia="Arial" w:hAnsi="Arial"/>
          <w:sz w:val="19"/>
          <w:szCs w:val="19"/>
          <w:color w:val="auto"/>
        </w:rPr>
      </w:pPr>
    </w:p>
    <w:p>
      <w:pPr>
        <w:jc w:val="both"/>
        <w:ind w:left="220" w:firstLine="1048"/>
        <w:spacing w:after="0" w:line="246" w:lineRule="auto"/>
        <w:tabs>
          <w:tab w:leader="none" w:pos="194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Borrower shall pay to each Lender, (i) as long as such Lender shall be required to 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-255-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5" w:name="page386"/>
    <w:bookmarkEnd w:id="38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good faith, which determination shall be conclusive in the absence of demonstrable error), and (ii) as long as such Lender shall be required to comply with any reserve ratio requirement or analogous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-256-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6" w:name="page387"/>
    <w:bookmarkEnd w:id="38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57" w:lineRule="auto"/>
        <w:rPr>
          <w:sz w:val="20"/>
          <w:szCs w:val="20"/>
          <w:color w:val="auto"/>
        </w:rPr>
      </w:pPr>
      <w:r>
        <w:rPr>
          <w:rFonts w:ascii="Arial" w:cs="Arial" w:eastAsia="Arial" w:hAnsi="Arial"/>
          <w:sz w:val="19"/>
          <w:szCs w:val="19"/>
          <w:color w:val="auto"/>
        </w:rPr>
        <w:t xml:space="preserve">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demonstrable error)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after receipt of such notice.</w:t>
      </w:r>
    </w:p>
    <w:p>
      <w:pPr>
        <w:spacing w:after="0" w:line="221" w:lineRule="exact"/>
        <w:rPr>
          <w:sz w:val="20"/>
          <w:szCs w:val="20"/>
          <w:color w:val="auto"/>
        </w:rPr>
      </w:pPr>
    </w:p>
    <w:p>
      <w:pPr>
        <w:ind w:left="220" w:firstLine="1187"/>
        <w:spacing w:after="0" w:line="260" w:lineRule="auto"/>
        <w:tabs>
          <w:tab w:leader="none" w:pos="194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3.05(b)</w:t>
      </w:r>
      <w:r>
        <w:rPr>
          <w:rFonts w:ascii="Arial" w:cs="Arial" w:eastAsia="Arial" w:hAnsi="Arial"/>
          <w:sz w:val="20"/>
          <w:szCs w:val="20"/>
          <w:color w:val="auto"/>
        </w:rPr>
        <w:t xml:space="preserve">, failure or delay on the part of any Lender to demand compensation pursuant to this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shall not constitute a waiver of such Lender’s right to demand such compensation.</w:t>
      </w:r>
    </w:p>
    <w:p>
      <w:pPr>
        <w:spacing w:after="0" w:line="203" w:lineRule="exact"/>
        <w:rPr>
          <w:rFonts w:ascii="Arial" w:cs="Arial" w:eastAsia="Arial" w:hAnsi="Arial"/>
          <w:sz w:val="20"/>
          <w:szCs w:val="20"/>
          <w:color w:val="auto"/>
        </w:rPr>
      </w:pPr>
    </w:p>
    <w:p>
      <w:pPr>
        <w:jc w:val="both"/>
        <w:ind w:left="220" w:firstLine="1131"/>
        <w:spacing w:after="0" w:line="278" w:lineRule="auto"/>
        <w:tabs>
          <w:tab w:leader="none" w:pos="194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then such Lender will, if requested by the Borrower, use reasonable efforts to designate another Applicable Lending Office for any Loan or Letter of Credit affected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efforts are made on terms that, in the reasonable judgment of such Lender, cause such Lender and its Applicable Lending Office(s) to suffer no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3.03(e)</w:t>
      </w:r>
      <w:r>
        <w:rPr>
          <w:rFonts w:ascii="Arial" w:cs="Arial" w:eastAsia="Arial" w:hAnsi="Arial"/>
          <w:sz w:val="18"/>
          <w:szCs w:val="18"/>
          <w:color w:val="auto"/>
        </w:rPr>
        <w:t xml:space="preserve"> shall affect or postpone any of the Secured Obligations of the Borrower or the rights of such Lender pursuant to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273"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Funding Losses</w:t>
      </w:r>
      <w:r>
        <w:rPr>
          <w:rFonts w:ascii="Arial" w:cs="Arial" w:eastAsia="Arial" w:hAnsi="Arial"/>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226" w:lineRule="exact"/>
        <w:rPr>
          <w:sz w:val="20"/>
          <w:szCs w:val="20"/>
          <w:color w:val="auto"/>
        </w:rPr>
      </w:pPr>
    </w:p>
    <w:p>
      <w:pPr>
        <w:ind w:left="780" w:firstLine="649"/>
        <w:spacing w:after="0" w:line="260" w:lineRule="auto"/>
        <w:tabs>
          <w:tab w:leader="none" w:pos="1945"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Eurocurrency Rate Loan on a day other than the last day of the Interest Period for such Loan; or</w:t>
      </w:r>
    </w:p>
    <w:p>
      <w:pPr>
        <w:spacing w:after="0" w:line="217" w:lineRule="exact"/>
        <w:rPr>
          <w:rFonts w:ascii="Arial" w:cs="Arial" w:eastAsia="Arial" w:hAnsi="Arial"/>
          <w:sz w:val="20"/>
          <w:szCs w:val="20"/>
          <w:color w:val="auto"/>
        </w:rPr>
      </w:pPr>
    </w:p>
    <w:p>
      <w:pPr>
        <w:ind w:left="780" w:firstLine="649"/>
        <w:spacing w:after="0" w:line="287" w:lineRule="auto"/>
        <w:tabs>
          <w:tab w:leader="none" w:pos="194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79" w:lineRule="exact"/>
        <w:rPr>
          <w:sz w:val="20"/>
          <w:szCs w:val="20"/>
          <w:color w:val="auto"/>
        </w:rPr>
      </w:pPr>
    </w:p>
    <w:p>
      <w:pPr>
        <w:ind w:left="140" w:right="340"/>
        <w:spacing w:after="0" w:line="260" w:lineRule="auto"/>
        <w:rPr>
          <w:sz w:val="20"/>
          <w:szCs w:val="20"/>
          <w:color w:val="auto"/>
        </w:rPr>
      </w:pPr>
      <w:r>
        <w:rPr>
          <w:rFonts w:ascii="Arial" w:cs="Arial" w:eastAsia="Arial" w:hAnsi="Arial"/>
          <w:sz w:val="20"/>
          <w:szCs w:val="20"/>
          <w:color w:val="auto"/>
        </w:rPr>
        <w:t>including any loss or expense arising from the liquidation or reemployment of funds obtained by it to maintain such Loan or from fees payable to terminate the deposits from which such funds were obtained.</w:t>
      </w:r>
    </w:p>
    <w:p>
      <w:pPr>
        <w:spacing w:after="0" w:line="21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3.04</w:t>
      </w:r>
      <w:r>
        <w:rPr>
          <w:rFonts w:ascii="Arial" w:cs="Arial" w:eastAsia="Arial" w:hAnsi="Arial"/>
          <w:sz w:val="20"/>
          <w:szCs w:val="20"/>
          <w:color w:val="auto"/>
        </w:rPr>
        <w:t>, each Lender shall be deemed to have funded each Eurocurrency Rate Loan made by it at the Eurocurrency Rate for such Loan by a matching deposit or other borrowing in the London interbank eurodollar market for a comparable amount and for a comparable period, whether or not such Eurocurrency Rate Loan was in fact so funded.</w:t>
      </w:r>
    </w:p>
    <w:p>
      <w:pPr>
        <w:spacing w:after="0" w:line="232" w:lineRule="exact"/>
        <w:rPr>
          <w:sz w:val="20"/>
          <w:szCs w:val="20"/>
          <w:color w:val="auto"/>
        </w:rPr>
      </w:pPr>
    </w:p>
    <w:p>
      <w:pPr>
        <w:jc w:val="center"/>
        <w:ind w:right="-139"/>
        <w:spacing w:after="0"/>
        <w:tabs>
          <w:tab w:leader="none" w:pos="18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324" w:lineRule="exact"/>
        <w:rPr>
          <w:sz w:val="20"/>
          <w:szCs w:val="20"/>
          <w:color w:val="auto"/>
        </w:rPr>
      </w:pPr>
    </w:p>
    <w:p>
      <w:pPr>
        <w:jc w:val="both"/>
        <w:ind w:left="220" w:firstLine="1104"/>
        <w:spacing w:after="0" w:line="291" w:lineRule="auto"/>
        <w:tabs>
          <w:tab w:leader="none" w:pos="194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Any Agent or any Lender claiming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deliver a certificate to the Borrower setting forth the additional amount or amounts to be paid to it hereunder which shall be conclusive in the absence of demonstrable error. In determining such amount, such Agent or such Lender may use any reasonable averaging and attribution methods.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-257-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-258-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88" w:name="page389"/>
    <w:bookmarkEnd w:id="38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60" w:hanging="754"/>
        <w:spacing w:after="0"/>
        <w:tabs>
          <w:tab w:leader="none" w:pos="21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With respect to any Lender’s claim for compensation under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p>
    <w:p>
      <w:pPr>
        <w:spacing w:after="0" w:line="15" w:lineRule="exact"/>
        <w:rPr>
          <w:rFonts w:ascii="Arial" w:cs="Arial" w:eastAsia="Arial" w:hAnsi="Arial"/>
          <w:sz w:val="20"/>
          <w:szCs w:val="20"/>
          <w:color w:val="auto"/>
        </w:rPr>
      </w:pPr>
    </w:p>
    <w:p>
      <w:pPr>
        <w:jc w:val="both"/>
        <w:ind w:left="220"/>
        <w:spacing w:after="0" w:line="270" w:lineRule="auto"/>
        <w:rPr>
          <w:rFonts w:ascii="Arial" w:cs="Arial" w:eastAsia="Arial" w:hAnsi="Arial"/>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Borrower may, by notice to such Lender (with a copy to the Administrative Agent), suspend the obligation of such Lender to make or continue Eurocurrency Rate Loans from one Interest Period to another, or to convert Base Rate Loans into Eurocurrency Rate Loans, until the event or condition giving rise to such request ceases to be in effect (in which case the provisions of </w:t>
      </w:r>
      <w:r>
        <w:rPr>
          <w:rFonts w:ascii="Arial" w:cs="Arial" w:eastAsia="Arial" w:hAnsi="Arial"/>
          <w:sz w:val="18"/>
          <w:szCs w:val="18"/>
          <w:u w:val="single" w:color="auto"/>
          <w:color w:val="auto"/>
        </w:rPr>
        <w:t>Section 3.05(c)</w:t>
      </w:r>
      <w:r>
        <w:rPr>
          <w:rFonts w:ascii="Arial" w:cs="Arial" w:eastAsia="Arial" w:hAnsi="Arial"/>
          <w:sz w:val="18"/>
          <w:szCs w:val="18"/>
          <w:color w:val="auto"/>
        </w:rPr>
        <w:t xml:space="preserve"> shall be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suspension shall not affect the right of such Lender to receive the compensation so requested.</w:t>
      </w:r>
    </w:p>
    <w:p>
      <w:pPr>
        <w:spacing w:after="0" w:line="213" w:lineRule="exact"/>
        <w:rPr>
          <w:rFonts w:ascii="Arial" w:cs="Arial" w:eastAsia="Arial" w:hAnsi="Arial"/>
          <w:sz w:val="20"/>
          <w:szCs w:val="20"/>
          <w:color w:val="auto"/>
        </w:rPr>
      </w:pPr>
    </w:p>
    <w:p>
      <w:pPr>
        <w:jc w:val="both"/>
        <w:ind w:left="220" w:firstLine="1131"/>
        <w:spacing w:after="0" w:line="276" w:lineRule="auto"/>
        <w:tabs>
          <w:tab w:leader="none" w:pos="194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If the obligation of any Lender to make or continue any Eurocurrency Rate Loan from one Interest Period to another, or to convert Base Rate Loans into Eurocurrency Rate Loans shall be suspended pursuant to </w:t>
      </w:r>
      <w:r>
        <w:rPr>
          <w:rFonts w:ascii="Arial" w:cs="Arial" w:eastAsia="Arial" w:hAnsi="Arial"/>
          <w:sz w:val="18"/>
          <w:szCs w:val="18"/>
          <w:u w:val="single" w:color="auto"/>
          <w:color w:val="auto"/>
        </w:rPr>
        <w:t>Section 3.05(b)</w:t>
      </w:r>
      <w:r>
        <w:rPr>
          <w:rFonts w:ascii="Arial" w:cs="Arial" w:eastAsia="Arial" w:hAnsi="Arial"/>
          <w:sz w:val="18"/>
          <w:szCs w:val="18"/>
          <w:color w:val="auto"/>
        </w:rPr>
        <w:t xml:space="preserve"> hereof, such Lender’s Eurocurrency Rate Loans denominated in Dollars shall be automatically converted into Base Rate Loans on the last day(s) of the then current Interest Period(s) for such Eurocurrency Rate Loans (or, in the case of an immediate conversion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on such earlier date as required by Law) and, unless and until such Lender gives notice as provided below that the circumstances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hereof that gave rise to such conversion no longer exist:</w:t>
      </w:r>
    </w:p>
    <w:p>
      <w:pPr>
        <w:spacing w:after="0" w:line="191" w:lineRule="exact"/>
        <w:rPr>
          <w:rFonts w:ascii="Arial" w:cs="Arial" w:eastAsia="Arial" w:hAnsi="Arial"/>
          <w:sz w:val="18"/>
          <w:szCs w:val="18"/>
          <w:color w:val="auto"/>
        </w:rPr>
      </w:pPr>
    </w:p>
    <w:p>
      <w:pPr>
        <w:jc w:val="both"/>
        <w:ind w:left="780" w:firstLine="721"/>
        <w:spacing w:after="0" w:line="250" w:lineRule="auto"/>
        <w:tabs>
          <w:tab w:leader="none" w:pos="1943" w:val="left"/>
        </w:tabs>
        <w:numPr>
          <w:ilvl w:val="3"/>
          <w:numId w:val="270"/>
        </w:numPr>
        <w:rPr>
          <w:rFonts w:ascii="Arial" w:cs="Arial" w:eastAsia="Arial" w:hAnsi="Arial"/>
          <w:sz w:val="20"/>
          <w:szCs w:val="20"/>
          <w:color w:val="auto"/>
        </w:rPr>
      </w:pPr>
      <w:r>
        <w:rPr>
          <w:rFonts w:ascii="Arial" w:cs="Arial" w:eastAsia="Arial" w:hAnsi="Arial"/>
          <w:sz w:val="20"/>
          <w:szCs w:val="20"/>
          <w:color w:val="auto"/>
        </w:rPr>
        <w:t>to the extent that such Lender’s Eurocurrency Rate Loans denominated in Dollars have been so converted, all payments and prepayments of principal that would otherwise be applied to such Lender’s Eurocurrency Rate Loans shall be applied instead to its Base Rate Loans; and</w:t>
      </w:r>
    </w:p>
    <w:p>
      <w:pPr>
        <w:spacing w:after="0" w:line="226" w:lineRule="exact"/>
        <w:rPr>
          <w:rFonts w:ascii="Arial" w:cs="Arial" w:eastAsia="Arial" w:hAnsi="Arial"/>
          <w:sz w:val="20"/>
          <w:szCs w:val="20"/>
          <w:color w:val="auto"/>
        </w:rPr>
      </w:pPr>
    </w:p>
    <w:p>
      <w:pPr>
        <w:jc w:val="both"/>
        <w:ind w:left="780" w:firstLine="666"/>
        <w:spacing w:after="0" w:line="291" w:lineRule="auto"/>
        <w:tabs>
          <w:tab w:leader="none" w:pos="1943" w:val="left"/>
        </w:tabs>
        <w:numPr>
          <w:ilvl w:val="3"/>
          <w:numId w:val="270"/>
        </w:numPr>
        <w:rPr>
          <w:rFonts w:ascii="Arial" w:cs="Arial" w:eastAsia="Arial" w:hAnsi="Arial"/>
          <w:sz w:val="18"/>
          <w:szCs w:val="18"/>
          <w:color w:val="auto"/>
        </w:rPr>
      </w:pPr>
      <w:r>
        <w:rPr>
          <w:rFonts w:ascii="Arial" w:cs="Arial" w:eastAsia="Arial" w:hAnsi="Arial"/>
          <w:sz w:val="18"/>
          <w:szCs w:val="18"/>
          <w:color w:val="auto"/>
        </w:rPr>
        <w:t>all Loans denominated in Dollars that would otherwise be made or continued from one Interest Period to another by such Lender as Eurocurrency Rate Loans shall be made or continued instead as Base Rate Loans, and all Base Rate Loans of such Lender that would otherwise be converted into Eurocurrency Rate Loans shall remain as Base Rate Loans.</w:t>
      </w:r>
    </w:p>
    <w:p>
      <w:pPr>
        <w:spacing w:after="0" w:line="192" w:lineRule="exact"/>
        <w:rPr>
          <w:rFonts w:ascii="Arial" w:cs="Arial" w:eastAsia="Arial" w:hAnsi="Arial"/>
          <w:sz w:val="18"/>
          <w:szCs w:val="18"/>
          <w:color w:val="auto"/>
        </w:rPr>
      </w:pPr>
    </w:p>
    <w:p>
      <w:pPr>
        <w:jc w:val="both"/>
        <w:ind w:left="220" w:firstLine="1077"/>
        <w:spacing w:after="0" w:line="257" w:lineRule="auto"/>
        <w:tabs>
          <w:tab w:leader="none" w:pos="1948" w:val="left"/>
        </w:tabs>
        <w:numPr>
          <w:ilvl w:val="2"/>
          <w:numId w:val="270"/>
        </w:numPr>
        <w:rPr>
          <w:rFonts w:ascii="Arial" w:cs="Arial" w:eastAsia="Arial" w:hAnsi="Arial"/>
          <w:sz w:val="19"/>
          <w:szCs w:val="19"/>
          <w:color w:val="auto"/>
        </w:rPr>
      </w:pPr>
      <w:r>
        <w:rPr>
          <w:rFonts w:ascii="Arial" w:cs="Arial" w:eastAsia="Arial" w:hAnsi="Arial"/>
          <w:sz w:val="19"/>
          <w:szCs w:val="19"/>
          <w:color w:val="auto"/>
        </w:rPr>
        <w:t xml:space="preserve">If any Lender gives notice to the Borrower (with a copy to the Administrative Agent) that the circumstances specified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hereof that gave rise to the conversion of such Lender’s Eurocurrency Rate Loans denominated in Dollars pursuant to this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no longer exist (which such Lender agrees to do promptly upon such circumstances ceasing to exist) at a time when Eurocurrency Rate Loans made by other Lenders are outstanding, such Lender’s Base Rate Loans shall be automatically converted to Eurocurrency Rate Loans, on the first day(s) of the next succeeding Interest Period(s) for such outstanding Eurocurrency Rate Loans, to the extent necessary so that, after giving effect thereto, all Loans held by the Lenders holding Eurocurrency Rate Loans and by such Lender are held pro rata (as to principal amounts, interest rate basis, and Interest Periods) in accordance with their respective Commitments.</w:t>
      </w:r>
    </w:p>
    <w:p>
      <w:pPr>
        <w:spacing w:after="0" w:line="207"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6"/>
          <w:szCs w:val="16"/>
          <w:u w:val="single" w:color="auto"/>
          <w:color w:val="auto"/>
        </w:rPr>
        <w:t>Replacement of Lenders under Certain Circumstances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50" w:lineRule="auto"/>
        <w:tabs>
          <w:tab w:leader="none" w:pos="1952"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If at any time (i) any Lender requests reimbursement for amounts owing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as a result of any condition described in such Sections or any Lender ceases to make Eurocurrency Rate Loans as a result of any condition described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-259-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89" w:name="page390"/>
    <w:bookmarkEnd w:id="38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hanging="5"/>
        <w:spacing w:after="0" w:line="263" w:lineRule="auto"/>
        <w:tabs>
          <w:tab w:leader="none" w:pos="528"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any Lender becomes a Defaulting Lender or (iii) any Lender becomes a Non-Consenting Lender, then the Borrower may, on prior written notice to the Administrative Agent and such Lender, replace such Lender by requiring such Lender to (and such Lender shall be obligated to) assign pursuant to </w:t>
      </w:r>
      <w:r>
        <w:rPr>
          <w:rFonts w:ascii="Arial" w:cs="Arial" w:eastAsia="Arial" w:hAnsi="Arial"/>
          <w:sz w:val="19"/>
          <w:szCs w:val="19"/>
          <w:u w:val="single" w:color="auto"/>
          <w:color w:val="auto"/>
        </w:rPr>
        <w:t>Section 10.07(b)</w:t>
      </w:r>
      <w:r>
        <w:rPr>
          <w:rFonts w:ascii="Arial" w:cs="Arial" w:eastAsia="Arial" w:hAnsi="Arial"/>
          <w:sz w:val="19"/>
          <w:szCs w:val="19"/>
          <w:color w:val="auto"/>
        </w:rPr>
        <w:t xml:space="preserve"> (with the assignment fee to be paid by the Borrower in such instance) all of its rights and obligations under this Agreement (or, with respect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all of its rights and obligations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-260-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0" w:name="page391"/>
    <w:bookmarkEnd w:id="39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76" w:lineRule="auto"/>
        <w:rPr>
          <w:sz w:val="20"/>
          <w:szCs w:val="20"/>
          <w:color w:val="auto"/>
        </w:rPr>
      </w:pPr>
      <w:r>
        <w:rPr>
          <w:rFonts w:ascii="Arial" w:cs="Arial" w:eastAsia="Arial" w:hAnsi="Arial"/>
          <w:sz w:val="18"/>
          <w:szCs w:val="18"/>
          <w:color w:val="auto"/>
        </w:rPr>
        <w:t xml:space="preserve">with respect to the Class of Loans or Commitments that is the subject of the related consent, waiver or amendment) to one or more Eligible Assignees;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or other such Person;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in the case of any such assignment resulting from a claim for compensation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and (B) in the case of any such assignment resulting from a Lender becoming a Non-Consenting Lender, the applicable Eligible Assignees shall have agreed to the applicable departure, waiver or amendment of the Loan Documents.</w:t>
      </w:r>
    </w:p>
    <w:p>
      <w:pPr>
        <w:spacing w:after="0" w:line="205" w:lineRule="exact"/>
        <w:rPr>
          <w:sz w:val="20"/>
          <w:szCs w:val="20"/>
          <w:color w:val="auto"/>
        </w:rPr>
      </w:pPr>
    </w:p>
    <w:p>
      <w:pPr>
        <w:jc w:val="both"/>
        <w:ind w:left="220" w:firstLine="1290"/>
        <w:spacing w:after="0" w:line="254" w:lineRule="auto"/>
        <w:tabs>
          <w:tab w:leader="none" w:pos="1950" w:val="left"/>
        </w:tabs>
        <w:numPr>
          <w:ilvl w:val="2"/>
          <w:numId w:val="273"/>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above shall (i) execute and deliver an Assignment and Assumption with respect to such Lender’s Commitment and outstanding Loans and participations in L/C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w:t>
      </w:r>
      <w:r>
        <w:rPr>
          <w:rFonts w:ascii="Arial" w:cs="Arial" w:eastAsia="Arial" w:hAnsi="Arial"/>
          <w:sz w:val="19"/>
          <w:szCs w:val="19"/>
          <w:u w:val="single" w:color="auto"/>
          <w:color w:val="auto"/>
        </w:rPr>
        <w:t>Section</w:t>
      </w:r>
    </w:p>
    <w:p>
      <w:pPr>
        <w:jc w:val="both"/>
        <w:ind w:left="220"/>
        <w:spacing w:after="0" w:line="271" w:lineRule="auto"/>
        <w:rPr>
          <w:rFonts w:ascii="Arial" w:cs="Arial" w:eastAsia="Arial" w:hAnsi="Arial"/>
          <w:sz w:val="19"/>
          <w:szCs w:val="19"/>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as a consequence of such assignment and, in the case of an assignment of Term Loans in connection with a Repricing Transaction, the premium, if any, that would have been payable by the Borrower on such date pursuant to </w:t>
      </w:r>
      <w:r>
        <w:rPr>
          <w:rFonts w:ascii="Arial" w:cs="Arial" w:eastAsia="Arial" w:hAnsi="Arial"/>
          <w:sz w:val="18"/>
          <w:szCs w:val="18"/>
          <w:u w:val="single" w:color="auto"/>
          <w:color w:val="auto"/>
        </w:rPr>
        <w:t>Section 2.05(a)(iv)</w:t>
      </w:r>
      <w:r>
        <w:rPr>
          <w:rFonts w:ascii="Arial" w:cs="Arial" w:eastAsia="Arial" w:hAnsi="Arial"/>
          <w:sz w:val="18"/>
          <w:szCs w:val="18"/>
          <w:color w:val="auto"/>
        </w:rPr>
        <w:t xml:space="preserve"> if such Lender’s Term Loans subject to such assignment had been prepaid on such date shall have been paid by the Borrower to the assigning Lender and (C) upon such payment and, if so requested by the assignee Lender, the assignor Lender shall deliver to the assignee Lender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97" w:lineRule="exact"/>
        <w:rPr>
          <w:rFonts w:ascii="Arial" w:cs="Arial" w:eastAsia="Arial" w:hAnsi="Arial"/>
          <w:sz w:val="19"/>
          <w:szCs w:val="19"/>
          <w:color w:val="auto"/>
        </w:rPr>
      </w:pPr>
    </w:p>
    <w:p>
      <w:pPr>
        <w:jc w:val="both"/>
        <w:ind w:left="220" w:firstLine="1290"/>
        <w:spacing w:after="0" w:line="276" w:lineRule="auto"/>
        <w:tabs>
          <w:tab w:leader="none" w:pos="1948" w:val="left"/>
        </w:tabs>
        <w:numPr>
          <w:ilvl w:val="2"/>
          <w:numId w:val="27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286" w:lineRule="exact"/>
        <w:rPr>
          <w:rFonts w:ascii="Arial" w:cs="Arial" w:eastAsia="Arial" w:hAnsi="Arial"/>
          <w:sz w:val="18"/>
          <w:szCs w:val="18"/>
          <w:color w:val="auto"/>
        </w:rPr>
      </w:pPr>
    </w:p>
    <w:p>
      <w:pPr>
        <w:jc w:val="both"/>
        <w:ind w:left="220" w:firstLine="1291"/>
        <w:spacing w:after="0" w:line="304" w:lineRule="auto"/>
        <w:tabs>
          <w:tab w:leader="none" w:pos="1950" w:val="left"/>
        </w:tabs>
        <w:numPr>
          <w:ilvl w:val="2"/>
          <w:numId w:val="273"/>
        </w:numPr>
        <w:rPr>
          <w:rFonts w:ascii="Arial" w:cs="Arial" w:eastAsia="Arial" w:hAnsi="Arial"/>
          <w:sz w:val="16"/>
          <w:szCs w:val="16"/>
          <w:color w:val="auto"/>
        </w:rPr>
      </w:pPr>
      <w:r>
        <w:rPr>
          <w:rFonts w:ascii="Arial" w:cs="Arial" w:eastAsia="Arial" w:hAnsi="Arial"/>
          <w:sz w:val="16"/>
          <w:szCs w:val="16"/>
          <w:color w:val="auto"/>
        </w:rPr>
        <w:t xml:space="preserve">In the event that (i) the Borrower or the Administrative Agent have requested that the Lenders (A) consent to an extension of the Maturity Date of any Class of Loans as permitted by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(B) consent to a departure or waiver of any provisions of the Loan Documents or (C) agree to any amendment thereto, (ii) the consent, waiver or amendment in question requires the agreement of all affected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all the Lenders with respect to a certain Class of the Loans and</w:t>
      </w:r>
    </w:p>
    <w:p>
      <w:pPr>
        <w:spacing w:after="0" w:line="1" w:lineRule="exact"/>
        <w:rPr>
          <w:rFonts w:ascii="Arial" w:cs="Arial" w:eastAsia="Arial" w:hAnsi="Arial"/>
          <w:sz w:val="16"/>
          <w:szCs w:val="16"/>
          <w:color w:val="auto"/>
        </w:rPr>
      </w:pPr>
    </w:p>
    <w:p>
      <w:pPr>
        <w:ind w:left="220" w:hanging="5"/>
        <w:spacing w:after="0" w:line="244" w:lineRule="auto"/>
        <w:tabs>
          <w:tab w:leader="none" w:pos="589" w:val="left"/>
        </w:tabs>
        <w:numPr>
          <w:ilvl w:val="1"/>
          <w:numId w:val="274"/>
        </w:numPr>
        <w:rPr>
          <w:rFonts w:ascii="Arial" w:cs="Arial" w:eastAsia="Arial" w:hAnsi="Arial"/>
          <w:sz w:val="20"/>
          <w:szCs w:val="20"/>
          <w:color w:val="auto"/>
        </w:rPr>
      </w:pPr>
      <w:r>
        <w:rPr>
          <w:rFonts w:ascii="Arial" w:cs="Arial" w:eastAsia="Arial" w:hAnsi="Arial"/>
          <w:sz w:val="20"/>
          <w:szCs w:val="20"/>
          <w:color w:val="auto"/>
        </w:rPr>
        <w:t>the Required Lenders have agreed to such consent, waiver or amendment, then any Lender who does not agree to such consent, waiver or amendment shall be deemed a “</w:t>
      </w:r>
      <w:r>
        <w:rPr>
          <w:rFonts w:ascii="Arial" w:cs="Arial" w:eastAsia="Arial" w:hAnsi="Arial"/>
          <w:sz w:val="20"/>
          <w:szCs w:val="20"/>
          <w:u w:val="single" w:color="auto"/>
          <w:color w:val="auto"/>
        </w:rPr>
        <w:t>Non-Consenting Lender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-261-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1" w:name="page392"/>
    <w:bookmarkEnd w:id="39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and repayment of all other Secured Obligations hereunder and any assignment of rights by or replacement of a Lender or L/C Issuer.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-262-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2" w:name="page393"/>
    <w:bookmarkEnd w:id="39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IV</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Conditions Precedent to Credit Extensions</w:t>
      </w:r>
    </w:p>
    <w:p>
      <w:pPr>
        <w:spacing w:after="0" w:line="3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 Date Conditions</w:t>
      </w:r>
      <w:r>
        <w:rPr>
          <w:rFonts w:ascii="Arial" w:cs="Arial" w:eastAsia="Arial" w:hAnsi="Arial"/>
          <w:sz w:val="18"/>
          <w:szCs w:val="18"/>
          <w:color w:val="auto"/>
        </w:rPr>
        <w:t>. The effectiveness of this Agreement and the obligation of each Lender to make a</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Credit Extension on the Closing Date shall be subject to satisfaction or waiver of the following conditions precedent:</w:t>
      </w:r>
    </w:p>
    <w:p>
      <w:pPr>
        <w:spacing w:after="0" w:line="227" w:lineRule="exact"/>
        <w:rPr>
          <w:sz w:val="20"/>
          <w:szCs w:val="20"/>
          <w:color w:val="auto"/>
        </w:rPr>
      </w:pPr>
    </w:p>
    <w:p>
      <w:pPr>
        <w:jc w:val="both"/>
        <w:ind w:left="220" w:firstLine="1291"/>
        <w:spacing w:after="0" w:line="269" w:lineRule="auto"/>
        <w:tabs>
          <w:tab w:leader="none" w:pos="1952" w:val="left"/>
        </w:tabs>
        <w:numPr>
          <w:ilvl w:val="1"/>
          <w:numId w:val="275"/>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The Administrative Agent’s shall have received each of the following, each of which shall be originals or facsimiles (followed promptly by originals) unless otherwise specified, each properly executed by a Responsible Officer of the signing Loan Party, each in form and substance reasonably satisfactory to the Administrative Agent:</w:t>
      </w:r>
    </w:p>
    <w:p>
      <w:pPr>
        <w:spacing w:after="0" w:line="210" w:lineRule="exact"/>
        <w:rPr>
          <w:rFonts w:ascii="Arial" w:cs="Arial" w:eastAsia="Arial" w:hAnsi="Arial"/>
          <w:sz w:val="19"/>
          <w:szCs w:val="19"/>
          <w:color w:val="auto"/>
        </w:rPr>
      </w:pPr>
    </w:p>
    <w:p>
      <w:pPr>
        <w:ind w:left="1940" w:hanging="438"/>
        <w:spacing w:after="0"/>
        <w:tabs>
          <w:tab w:leader="none" w:pos="1940" w:val="left"/>
        </w:tabs>
        <w:numPr>
          <w:ilvl w:val="1"/>
          <w:numId w:val="276"/>
        </w:numPr>
        <w:rPr>
          <w:rFonts w:ascii="Arial" w:cs="Arial" w:eastAsia="Arial" w:hAnsi="Arial"/>
          <w:sz w:val="19"/>
          <w:szCs w:val="19"/>
          <w:color w:val="auto"/>
        </w:rPr>
      </w:pPr>
      <w:r>
        <w:rPr>
          <w:rFonts w:ascii="Arial" w:cs="Arial" w:eastAsia="Arial" w:hAnsi="Arial"/>
          <w:sz w:val="19"/>
          <w:szCs w:val="19"/>
          <w:u w:val="single" w:color="auto"/>
          <w:color w:val="auto"/>
        </w:rPr>
        <w:t>This Agreement</w:t>
      </w:r>
      <w:r>
        <w:rPr>
          <w:rFonts w:ascii="Arial" w:cs="Arial" w:eastAsia="Arial" w:hAnsi="Arial"/>
          <w:sz w:val="19"/>
          <w:szCs w:val="19"/>
          <w:color w:val="auto"/>
        </w:rPr>
        <w:t>. This Agreement from each of the parties listed on the signature pages hereto and thereto.</w:t>
      </w:r>
    </w:p>
    <w:p>
      <w:pPr>
        <w:spacing w:after="0" w:line="267" w:lineRule="exact"/>
        <w:rPr>
          <w:rFonts w:ascii="Arial" w:cs="Arial" w:eastAsia="Arial" w:hAnsi="Arial"/>
          <w:sz w:val="19"/>
          <w:szCs w:val="19"/>
          <w:color w:val="auto"/>
        </w:rPr>
      </w:pPr>
    </w:p>
    <w:p>
      <w:pPr>
        <w:ind w:left="1940" w:hanging="493"/>
        <w:spacing w:after="0"/>
        <w:tabs>
          <w:tab w:leader="none" w:pos="194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Guaranty Agreement</w:t>
      </w:r>
      <w:r>
        <w:rPr>
          <w:rFonts w:ascii="Arial" w:cs="Arial" w:eastAsia="Arial" w:hAnsi="Arial"/>
          <w:sz w:val="18"/>
          <w:szCs w:val="18"/>
          <w:color w:val="auto"/>
        </w:rPr>
        <w:t>. Executed counterparts of the Guaranty from each of the parties listed on the signature pages</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thereto.</w:t>
      </w:r>
    </w:p>
    <w:p>
      <w:pPr>
        <w:spacing w:after="0" w:line="226" w:lineRule="exact"/>
        <w:rPr>
          <w:rFonts w:ascii="Arial" w:cs="Arial" w:eastAsia="Arial" w:hAnsi="Arial"/>
          <w:sz w:val="18"/>
          <w:szCs w:val="18"/>
          <w:color w:val="auto"/>
        </w:rPr>
      </w:pPr>
    </w:p>
    <w:p>
      <w:pPr>
        <w:jc w:val="both"/>
        <w:ind w:left="780" w:firstLine="612"/>
        <w:spacing w:after="0" w:line="250" w:lineRule="auto"/>
        <w:tabs>
          <w:tab w:leader="none" w:pos="1943"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Executed counterparts of each Collateral Document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to the Closing Date Certificate required to be executed on the Closing Date, duly executed by each Loan Party thereto and each of the other parties listed on the signature pages thereto;</w:t>
      </w:r>
    </w:p>
    <w:p>
      <w:pPr>
        <w:spacing w:after="0" w:line="226" w:lineRule="exact"/>
        <w:rPr>
          <w:rFonts w:ascii="Arial" w:cs="Arial" w:eastAsia="Arial" w:hAnsi="Arial"/>
          <w:sz w:val="20"/>
          <w:szCs w:val="20"/>
          <w:color w:val="auto"/>
        </w:rPr>
      </w:pPr>
    </w:p>
    <w:p>
      <w:pPr>
        <w:ind w:left="220" w:firstLine="1291"/>
        <w:spacing w:after="0" w:line="260" w:lineRule="auto"/>
        <w:tabs>
          <w:tab w:leader="none" w:pos="1949" w:val="left"/>
        </w:tabs>
        <w:numPr>
          <w:ilvl w:val="1"/>
          <w:numId w:val="277"/>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The Administrative Agent shall have received Notes executed by the Borrower in favor of each Lender that has requested a Note at least five (5) Business Days in advance of the Closing Date.</w:t>
      </w:r>
    </w:p>
    <w:p>
      <w:pPr>
        <w:spacing w:after="0" w:line="217" w:lineRule="exact"/>
        <w:rPr>
          <w:rFonts w:ascii="Arial" w:cs="Arial" w:eastAsia="Arial" w:hAnsi="Arial"/>
          <w:sz w:val="20"/>
          <w:szCs w:val="20"/>
          <w:color w:val="auto"/>
        </w:rPr>
      </w:pPr>
    </w:p>
    <w:p>
      <w:pPr>
        <w:jc w:val="both"/>
        <w:ind w:left="220" w:firstLine="1291"/>
        <w:spacing w:after="0" w:line="242" w:lineRule="auto"/>
        <w:tabs>
          <w:tab w:leader="none" w:pos="1952" w:val="left"/>
        </w:tabs>
        <w:numPr>
          <w:ilvl w:val="1"/>
          <w:numId w:val="277"/>
        </w:numPr>
        <w:rPr>
          <w:rFonts w:ascii="Arial" w:cs="Arial" w:eastAsia="Arial" w:hAnsi="Arial"/>
          <w:sz w:val="20"/>
          <w:szCs w:val="20"/>
          <w:color w:val="auto"/>
        </w:rPr>
      </w:pPr>
      <w:r>
        <w:rPr>
          <w:rFonts w:ascii="Arial" w:cs="Arial" w:eastAsia="Arial" w:hAnsi="Arial"/>
          <w:sz w:val="20"/>
          <w:szCs w:val="20"/>
          <w:u w:val="single" w:color="auto"/>
          <w:color w:val="auto"/>
        </w:rPr>
        <w:t>Secretary’s Certificate</w:t>
      </w:r>
      <w:r>
        <w:rPr>
          <w:rFonts w:ascii="Arial" w:cs="Arial" w:eastAsia="Arial" w:hAnsi="Arial"/>
          <w:sz w:val="20"/>
          <w:szCs w:val="20"/>
          <w:i w:val="1"/>
          <w:iCs w:val="1"/>
          <w:color w:val="auto"/>
        </w:rPr>
        <w:t>.</w:t>
      </w:r>
      <w:r>
        <w:rPr>
          <w:rFonts w:ascii="Arial" w:cs="Arial" w:eastAsia="Arial" w:hAnsi="Arial"/>
          <w:sz w:val="20"/>
          <w:szCs w:val="20"/>
          <w:color w:val="auto"/>
        </w:rPr>
        <w:t xml:space="preserve"> The Administrative Agent shall have received, (A) a certificate from each Loan Party, signed by an Responsible Officer of such Loan Party, and attested to by the secretary or any assistant secretary of such Loan Party, together with (x) copies of the certificate or articles of incorporation and by-laws (or other equivalent organizational documents), as applicable, of such Loan Party, (y) the resolutions of such Loan Party referred to in such certificate, and (z) a signature and incumbency certificate to the officers of such persons executing the Loan Documents, in each case, each of the foregoing shall be in form and substance reasonably acceptable to the Agents (B) certificates of good standing or status (to the extent that such concepts exist) from the applicable secretary of state (or equivalent authority) of the jurisdiction of organization or formation of each Loan Party (in each case, to the extent applicable).</w:t>
      </w:r>
    </w:p>
    <w:p>
      <w:pPr>
        <w:spacing w:after="0" w:line="223" w:lineRule="exact"/>
        <w:rPr>
          <w:rFonts w:ascii="Arial" w:cs="Arial" w:eastAsia="Arial" w:hAnsi="Arial"/>
          <w:sz w:val="20"/>
          <w:szCs w:val="20"/>
          <w:color w:val="auto"/>
        </w:rPr>
      </w:pPr>
    </w:p>
    <w:p>
      <w:pPr>
        <w:jc w:val="both"/>
        <w:ind w:left="220" w:firstLine="1290"/>
        <w:spacing w:after="0" w:line="282" w:lineRule="auto"/>
        <w:tabs>
          <w:tab w:leader="none" w:pos="1949"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All fees required to be paid on the Closing Date pursuant to the Fee Letter and reasonable and documented or invoiced out-of-pocket expenses required to be paid on the Closing Date pursuant to the Commitment Letter, to the extent invoiced at least three (3) Business Days prior to the Closing Date, shall, upon the initial Borrowing of the Initial Term Loans, have been, or will be substantially simultaneously, paid (which amounts may be offset against the proceeds of the Credit Facilities).</w:t>
      </w:r>
    </w:p>
    <w:p>
      <w:pPr>
        <w:spacing w:after="0" w:line="201" w:lineRule="exact"/>
        <w:rPr>
          <w:rFonts w:ascii="Arial" w:cs="Arial" w:eastAsia="Arial" w:hAnsi="Arial"/>
          <w:sz w:val="18"/>
          <w:szCs w:val="18"/>
          <w:color w:val="auto"/>
        </w:rPr>
      </w:pPr>
    </w:p>
    <w:p>
      <w:pPr>
        <w:ind w:left="220" w:firstLine="1291"/>
        <w:spacing w:after="0" w:line="260" w:lineRule="auto"/>
        <w:tabs>
          <w:tab w:leader="none" w:pos="1952" w:val="left"/>
        </w:tabs>
        <w:numPr>
          <w:ilvl w:val="1"/>
          <w:numId w:val="277"/>
        </w:numPr>
        <w:rPr>
          <w:rFonts w:ascii="Arial" w:cs="Arial" w:eastAsia="Arial" w:hAnsi="Arial"/>
          <w:sz w:val="20"/>
          <w:szCs w:val="20"/>
          <w:color w:val="auto"/>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The Administrative Agent shall have received a Committed Loan Notice or Letter of Credit Application, as applicable, relating to each Credit Extension to be made on the Closing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-263-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3" w:name="page394"/>
    <w:bookmarkEnd w:id="39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right="20" w:firstLine="1291"/>
        <w:spacing w:after="0" w:line="250" w:lineRule="auto"/>
        <w:tabs>
          <w:tab w:leader="none" w:pos="195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A customary legal opinion from Kirkland &amp; Ellis LLP, counsel to the Loan Parties, addressed to the Agents and the Lenders on the Closing Date, and a customary legal opinion from Modrall Sperling, New Mexico counsel to the Loan Parties, addressed to the Agents and the Lenders on the Closing Date.</w:t>
      </w:r>
    </w:p>
    <w:p>
      <w:pPr>
        <w:spacing w:after="0" w:line="226" w:lineRule="exact"/>
        <w:rPr>
          <w:rFonts w:ascii="Arial" w:cs="Arial" w:eastAsia="Arial" w:hAnsi="Arial"/>
          <w:sz w:val="20"/>
          <w:szCs w:val="20"/>
          <w:color w:val="auto"/>
        </w:rPr>
      </w:pPr>
    </w:p>
    <w:p>
      <w:pPr>
        <w:jc w:val="both"/>
        <w:ind w:left="220" w:firstLine="1290"/>
        <w:spacing w:after="0" w:line="243" w:lineRule="auto"/>
        <w:tabs>
          <w:tab w:leader="none" w:pos="1948"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KYC; Patriot Act; Beneficial Ownership Certificate</w:t>
      </w:r>
      <w:r>
        <w:rPr>
          <w:rFonts w:ascii="Arial" w:cs="Arial" w:eastAsia="Arial" w:hAnsi="Arial"/>
          <w:sz w:val="20"/>
          <w:szCs w:val="20"/>
          <w:color w:val="auto"/>
        </w:rPr>
        <w:t>. The Administrative Agent, the Lenders and the Lead Arrangers shall have received, at least three (3) business days prior to the Closing Date, all documentation and other information about Holdings and the Borrower as has been reasonably requested by the Administrative Agent, the Lenders or the Lead Arrangers in writing at least ten (10) business days prior to the Closing Date and that is reasonably required by United States regulatory authorities under applicable “know your customer” and anti-money laundering rules and regulations, including without limitation the PATRIOT Act and a beneficial ownership certificate to the extent expressly required under the Beneficial Ownership Regulation (a “</w:t>
      </w:r>
      <w:r>
        <w:rPr>
          <w:rFonts w:ascii="Arial" w:cs="Arial" w:eastAsia="Arial" w:hAnsi="Arial"/>
          <w:sz w:val="20"/>
          <w:szCs w:val="20"/>
          <w:u w:val="single" w:color="auto"/>
          <w:color w:val="auto"/>
        </w:rPr>
        <w:t>Beneficial Ownership</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w:t>
      </w:r>
    </w:p>
    <w:p>
      <w:pPr>
        <w:spacing w:after="0" w:line="300" w:lineRule="exact"/>
        <w:rPr>
          <w:rFonts w:ascii="Arial" w:cs="Arial" w:eastAsia="Arial" w:hAnsi="Arial"/>
          <w:sz w:val="20"/>
          <w:szCs w:val="20"/>
          <w:color w:val="auto"/>
        </w:rPr>
      </w:pPr>
    </w:p>
    <w:p>
      <w:pPr>
        <w:jc w:val="both"/>
        <w:ind w:left="220" w:firstLine="1291"/>
        <w:spacing w:after="0" w:line="243" w:lineRule="auto"/>
        <w:tabs>
          <w:tab w:leader="none" w:pos="195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The representations and warranties of the Borrower and each other Loan Party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or any other Loan Document shall be true and correct in all material respects on and as of the date of such Credit Extension;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22" w:lineRule="exact"/>
        <w:rPr>
          <w:rFonts w:ascii="Arial" w:cs="Arial" w:eastAsia="Arial" w:hAnsi="Arial"/>
          <w:sz w:val="20"/>
          <w:szCs w:val="20"/>
          <w:color w:val="auto"/>
        </w:rPr>
      </w:pPr>
    </w:p>
    <w:p>
      <w:pPr>
        <w:ind w:left="220" w:right="20" w:firstLine="1291"/>
        <w:spacing w:after="0" w:line="260" w:lineRule="auto"/>
        <w:tabs>
          <w:tab w:leader="none" w:pos="1948"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No Default or Event of Default shall exist, or would result from the funding of the Initial Term Loans and Initial Revolving Borrowing, if applicable.</w:t>
      </w:r>
    </w:p>
    <w:p>
      <w:pPr>
        <w:spacing w:after="0" w:line="217" w:lineRule="exact"/>
        <w:rPr>
          <w:rFonts w:ascii="Arial" w:cs="Arial" w:eastAsia="Arial" w:hAnsi="Arial"/>
          <w:sz w:val="20"/>
          <w:szCs w:val="20"/>
          <w:color w:val="auto"/>
        </w:rPr>
      </w:pPr>
    </w:p>
    <w:p>
      <w:pPr>
        <w:jc w:val="both"/>
        <w:ind w:left="220" w:firstLine="1291"/>
        <w:spacing w:after="0" w:line="270" w:lineRule="auto"/>
        <w:tabs>
          <w:tab w:leader="none" w:pos="195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The Administrative Agent shall have received evidence that all other actions, recordings and filings that the Administrative Agent or Collateral Agent may deem reasonably necessary to satisfy the Collateral and Guarantee Requirement shall have been taken, completed or otherwise provided for in a manner reasonably satisfactory to the Administrative Agent and Collateral Agent (including, without limitation, receipt of duly executed payoff letters and UCC-3 termination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security interest in any Collateral is not or cannot be provided and/or perfected on the Closing Date (other than (i) the pledge and perfection of the security interest in the equity interests of the Borrower and each domestic Guarantor (other than Holdings) (provided that such certificates will be required to be delivered on the Closing Date) and (ii) other assets pursuant to which a lien may be perfected by the filing of a financing statement under the Uniform Commercial Code) after your use of commercially reasonable efforts to do so or without undue burden or expense, then the provision and/or perfection of a security interest in such Collateral shall not constitute a condition to any Borrowing on the Closing Date, but instead shall be required to be provided and/or perfected within 90 days after the Closing Date (or such later date after the Closing Date as the Administrative Agent shall agree) pursuant to arrangements to be mutually agreed by the Administrative Agent and the Borrower acting reasonably.</w:t>
      </w:r>
    </w:p>
    <w:p>
      <w:pPr>
        <w:spacing w:after="0" w:line="216" w:lineRule="exact"/>
        <w:rPr>
          <w:rFonts w:ascii="Arial" w:cs="Arial" w:eastAsia="Arial" w:hAnsi="Arial"/>
          <w:sz w:val="18"/>
          <w:szCs w:val="18"/>
          <w:color w:val="auto"/>
        </w:rPr>
      </w:pPr>
    </w:p>
    <w:p>
      <w:pPr>
        <w:jc w:val="both"/>
        <w:ind w:left="220" w:firstLine="1290"/>
        <w:spacing w:after="0" w:line="263" w:lineRule="auto"/>
        <w:tabs>
          <w:tab w:leader="none" w:pos="1955"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Closing Date Refinancing</w:t>
      </w:r>
      <w:r>
        <w:rPr>
          <w:rFonts w:ascii="Arial" w:cs="Arial" w:eastAsia="Arial" w:hAnsi="Arial"/>
          <w:sz w:val="19"/>
          <w:szCs w:val="19"/>
          <w:color w:val="auto"/>
        </w:rPr>
        <w:t>. Prior to, or substantially concurrently with the funding of the Initial Term Loans and the Initial Revolving Borrowing (if any), all existing indebtedness of Holdings and its Subsidiaries under the Existing Credit Agreement, and all Liens and guarantees in support thereof, will be repaid, redeemed, defeased, discharged, refinanced or terminated and all commitments thereunder terminated (the foregoing, collectively, the “</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-264-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4" w:name="page395"/>
    <w:bookmarkEnd w:id="39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220" w:firstLine="1290"/>
        <w:spacing w:after="0" w:line="250" w:lineRule="auto"/>
        <w:tabs>
          <w:tab w:leader="none" w:pos="1948"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Administrative Agent shall have received evidence that all insurance certificates required to be maintained pursuant to the Loan Documents has been obtained and is in effect and that the Administrative Agent and Collateral Agent has been named as loss payee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-265-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5" w:name="page396"/>
    <w:bookmarkEnd w:id="39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240"/>
        <w:spacing w:after="0" w:line="260" w:lineRule="auto"/>
        <w:rPr>
          <w:sz w:val="20"/>
          <w:szCs w:val="20"/>
          <w:color w:val="auto"/>
        </w:rPr>
      </w:pPr>
      <w:r>
        <w:rPr>
          <w:rFonts w:ascii="Arial" w:cs="Arial" w:eastAsia="Arial" w:hAnsi="Arial"/>
          <w:sz w:val="20"/>
          <w:szCs w:val="20"/>
          <w:color w:val="auto"/>
        </w:rPr>
        <w:t>additional insured under each United States insurance policy with respect to such insurance as to which the Administrative Agent shall have requested to be so named.</w:t>
      </w:r>
    </w:p>
    <w:p>
      <w:pPr>
        <w:spacing w:after="0" w:line="217" w:lineRule="exact"/>
        <w:rPr>
          <w:sz w:val="20"/>
          <w:szCs w:val="20"/>
          <w:color w:val="auto"/>
        </w:rPr>
      </w:pPr>
    </w:p>
    <w:p>
      <w:pPr>
        <w:ind w:left="1940" w:hanging="429"/>
        <w:spacing w:after="0"/>
        <w:tabs>
          <w:tab w:leader="none" w:pos="1940"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The Administrative Agent shall have received a Closing Date Certificate.</w:t>
      </w:r>
    </w:p>
    <w:p>
      <w:pPr>
        <w:spacing w:after="0" w:line="242" w:lineRule="exact"/>
        <w:rPr>
          <w:rFonts w:ascii="Arial" w:cs="Arial" w:eastAsia="Arial" w:hAnsi="Arial"/>
          <w:sz w:val="20"/>
          <w:szCs w:val="20"/>
          <w:color w:val="auto"/>
        </w:rPr>
      </w:pPr>
    </w:p>
    <w:p>
      <w:pPr>
        <w:ind w:left="1940" w:hanging="429"/>
        <w:spacing w:after="0"/>
        <w:tabs>
          <w:tab w:leader="none" w:pos="1940"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No MAE</w:t>
      </w:r>
      <w:r>
        <w:rPr>
          <w:rFonts w:ascii="Arial" w:cs="Arial" w:eastAsia="Arial" w:hAnsi="Arial"/>
          <w:sz w:val="20"/>
          <w:szCs w:val="20"/>
          <w:color w:val="auto"/>
        </w:rPr>
        <w:t>. Since December 31, 2019, no Material Adverse Effect shall have occurred or is reasonably</w:t>
      </w:r>
    </w:p>
    <w:p>
      <w:pPr>
        <w:spacing w:after="0" w:line="15" w:lineRule="exact"/>
        <w:rPr>
          <w:rFonts w:ascii="Arial" w:cs="Arial" w:eastAsia="Arial" w:hAnsi="Arial"/>
          <w:sz w:val="20"/>
          <w:szCs w:val="20"/>
          <w:color w:val="auto"/>
        </w:rPr>
      </w:pPr>
    </w:p>
    <w:p>
      <w:pPr>
        <w:ind w:left="220"/>
        <w:spacing w:after="0"/>
        <w:rPr>
          <w:rFonts w:ascii="Arial" w:cs="Arial" w:eastAsia="Arial" w:hAnsi="Arial"/>
          <w:sz w:val="20"/>
          <w:szCs w:val="20"/>
          <w:color w:val="auto"/>
        </w:rPr>
      </w:pPr>
      <w:r>
        <w:rPr>
          <w:rFonts w:ascii="Arial" w:cs="Arial" w:eastAsia="Arial" w:hAnsi="Arial"/>
          <w:sz w:val="20"/>
          <w:szCs w:val="20"/>
          <w:color w:val="auto"/>
        </w:rPr>
        <w:t>expected to occur.</w:t>
      </w:r>
    </w:p>
    <w:p>
      <w:pPr>
        <w:spacing w:after="0" w:line="240" w:lineRule="exact"/>
        <w:rPr>
          <w:rFonts w:ascii="Arial" w:cs="Arial" w:eastAsia="Arial" w:hAnsi="Arial"/>
          <w:sz w:val="20"/>
          <w:szCs w:val="20"/>
          <w:color w:val="auto"/>
        </w:rPr>
      </w:pPr>
    </w:p>
    <w:p>
      <w:pPr>
        <w:ind w:left="220" w:right="140" w:firstLine="1291"/>
        <w:spacing w:after="0" w:line="260" w:lineRule="auto"/>
        <w:tabs>
          <w:tab w:leader="none" w:pos="1950"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The Administrative Agent shall have received a certificate from the chief financial officer of Holdings substantially in the form of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hereto.</w:t>
      </w:r>
    </w:p>
    <w:p>
      <w:pPr>
        <w:spacing w:after="0" w:line="298" w:lineRule="exact"/>
        <w:rPr>
          <w:rFonts w:ascii="Arial" w:cs="Arial" w:eastAsia="Arial" w:hAnsi="Arial"/>
          <w:sz w:val="20"/>
          <w:szCs w:val="20"/>
          <w:color w:val="auto"/>
        </w:rPr>
      </w:pPr>
    </w:p>
    <w:p>
      <w:pPr>
        <w:ind w:left="220" w:firstLine="1291"/>
        <w:spacing w:after="0" w:line="260" w:lineRule="auto"/>
        <w:tabs>
          <w:tab w:leader="none" w:pos="1948"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Lead Arranges shall have received the Audited Financial Statements, the Unaudited Financial Statements and the Pro Forma Financial Statements.</w:t>
      </w:r>
    </w:p>
    <w:p>
      <w:pPr>
        <w:spacing w:after="0" w:line="203" w:lineRule="exact"/>
        <w:rPr>
          <w:rFonts w:ascii="Arial" w:cs="Arial" w:eastAsia="Arial" w:hAnsi="Arial"/>
          <w:sz w:val="20"/>
          <w:szCs w:val="20"/>
          <w:color w:val="auto"/>
        </w:rPr>
      </w:pPr>
    </w:p>
    <w:p>
      <w:pPr>
        <w:jc w:val="both"/>
        <w:ind w:left="220" w:firstLine="1290"/>
        <w:spacing w:after="0" w:line="257" w:lineRule="auto"/>
        <w:tabs>
          <w:tab w:leader="none" w:pos="1950"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Inside Date</w:t>
      </w:r>
      <w:r>
        <w:rPr>
          <w:rFonts w:ascii="Arial" w:cs="Arial" w:eastAsia="Arial" w:hAnsi="Arial"/>
          <w:sz w:val="19"/>
          <w:szCs w:val="19"/>
          <w:color w:val="auto"/>
        </w:rPr>
        <w:t xml:space="preserve">. The Lead Arrangers shall have been afforded a period of at least 14 consecutive Business Days after the commencement of general syndication;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date of November 27, 2020 shall not be included in the calculation such period (but for the avoidance of doubt, the exclusion of such date shall not restart such period), (y) such period shall have ended on or prior to December 18, 2020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no event shall the Closing Date occur prior to the earlier of (x) December 23, 2020 and (y) the date of consummation of an initial public offering generating net cash proceeds of at least $450 million. It is understood and agreed that, unless the Borrower has breached the provisions of Section 3 of the Commitment Letter, the Lead Arrangers shall launch general syndication on or before November 30, 2020.</w:t>
      </w:r>
    </w:p>
    <w:p>
      <w:pPr>
        <w:spacing w:after="0" w:line="225" w:lineRule="exact"/>
        <w:rPr>
          <w:sz w:val="20"/>
          <w:szCs w:val="20"/>
          <w:color w:val="auto"/>
        </w:rPr>
      </w:pPr>
    </w:p>
    <w:p>
      <w:pPr>
        <w:jc w:val="both"/>
        <w:ind w:left="140" w:firstLine="1295"/>
        <w:spacing w:after="0" w:line="282" w:lineRule="auto"/>
        <w:rPr>
          <w:sz w:val="20"/>
          <w:szCs w:val="20"/>
          <w:color w:val="auto"/>
        </w:rPr>
      </w:pPr>
      <w:r>
        <w:rPr>
          <w:rFonts w:ascii="Arial" w:cs="Arial" w:eastAsia="Arial" w:hAnsi="Arial"/>
          <w:sz w:val="18"/>
          <w:szCs w:val="18"/>
          <w:color w:val="auto"/>
        </w:rPr>
        <w:t>For purposes of determining whether the Closing Date has occurred, each Lender that has executed this Agreement shall be deemed to have consented to, approved or accepted, or to be satisfied with, each document or other matter required hereunder to be consented to or approved by or acceptable or satisfactory to the Administrative Agent or such Lender, as the case may be. The Administrative Agent shall notify the Borrower and the Lenders of the Closing Date, and such notice shall be conclusive and binding.</w:t>
      </w:r>
    </w:p>
    <w:p>
      <w:pPr>
        <w:spacing w:after="0" w:line="202"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Conditions to Subsequent Credit Extensions</w:t>
      </w:r>
      <w:r>
        <w:rPr>
          <w:rFonts w:ascii="Arial" w:cs="Arial" w:eastAsia="Arial" w:hAnsi="Arial"/>
          <w:sz w:val="20"/>
          <w:szCs w:val="20"/>
          <w:color w:val="auto"/>
        </w:rPr>
        <w:t xml:space="preserve">. The obligation of each Lender to honor any Request for Credit Extension after the Closing Date is subject to satisfaction (or waiver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of the following conditions precedent:</w:t>
      </w:r>
    </w:p>
    <w:p>
      <w:pPr>
        <w:spacing w:after="0" w:line="294" w:lineRule="exact"/>
        <w:rPr>
          <w:sz w:val="20"/>
          <w:szCs w:val="20"/>
          <w:color w:val="auto"/>
        </w:rPr>
      </w:pPr>
    </w:p>
    <w:p>
      <w:pPr>
        <w:jc w:val="both"/>
        <w:ind w:left="780" w:firstLine="649"/>
        <w:spacing w:after="0" w:line="243" w:lineRule="auto"/>
        <w:tabs>
          <w:tab w:leader="none" w:pos="1945"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and each other Loan Party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or any other Loan Document shall be true and correct in all material respects on and as of the date of such Credit Extension;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0"/>
          <w:szCs w:val="20"/>
          <w:i w:val="1"/>
          <w:iCs w:val="1"/>
          <w:color w:val="auto"/>
        </w:rPr>
        <w:t>provided</w:t>
      </w:r>
      <w:r>
        <w:rPr>
          <w:rFonts w:ascii="Arial" w:cs="Arial" w:eastAsia="Arial" w:hAnsi="Arial"/>
          <w:sz w:val="20"/>
          <w:szCs w:val="20"/>
          <w:color w:val="auto"/>
        </w:rPr>
        <w:t>,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222" w:lineRule="exact"/>
        <w:rPr>
          <w:rFonts w:ascii="Arial" w:cs="Arial" w:eastAsia="Arial" w:hAnsi="Arial"/>
          <w:sz w:val="20"/>
          <w:szCs w:val="20"/>
          <w:color w:val="auto"/>
        </w:rPr>
      </w:pPr>
    </w:p>
    <w:p>
      <w:pPr>
        <w:ind w:left="1940" w:hanging="511"/>
        <w:spacing w:after="0"/>
        <w:tabs>
          <w:tab w:leader="none" w:pos="19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therefrom.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-266-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6" w:name="page397"/>
    <w:bookmarkEnd w:id="39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firstLine="649"/>
        <w:spacing w:after="0" w:line="260" w:lineRule="auto"/>
        <w:tabs>
          <w:tab w:leader="none" w:pos="1945"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Administrative Agent and, if applicable, the relevant L/C Issuer shall have received a Request for Credit Extension in accordance with the requirements hereof.</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-267-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7" w:name="page398"/>
    <w:bookmarkEnd w:id="39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 xml:space="preserve">Each Request for Credit Extension (other than (i) a Committed Loan Notice requesting only a conversion of Loans to the other Type or a continuation of Eurocurrency Rate Loans or (ii) a Credit Extension of Incremental Term Loans in connection with a Limited Condition Transaction) submitted by the Borrower shall be deemed to be a representation and warranty that the applicable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if applicable,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ARTICLE V</w:t>
      </w: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Representations and Warranties</w:t>
      </w:r>
    </w:p>
    <w:p>
      <w:pPr>
        <w:spacing w:after="0" w:line="32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Each of Holdings and the Borrower represents and warrant to the Agents and the Lenders, at the time of each Credit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Extension that:</w:t>
      </w:r>
    </w:p>
    <w:p>
      <w:pPr>
        <w:spacing w:after="0" w:line="240" w:lineRule="exact"/>
        <w:rPr>
          <w:sz w:val="20"/>
          <w:szCs w:val="20"/>
          <w:color w:val="auto"/>
        </w:rPr>
      </w:pPr>
    </w:p>
    <w:p>
      <w:pPr>
        <w:jc w:val="both"/>
        <w:ind w:left="140" w:firstLine="1296"/>
        <w:spacing w:after="0" w:line="27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Existence, Qualification and Power; Compliance with Laws</w:t>
      </w:r>
      <w:r>
        <w:rPr>
          <w:rFonts w:ascii="Arial" w:cs="Arial" w:eastAsia="Arial" w:hAnsi="Arial"/>
          <w:sz w:val="18"/>
          <w:szCs w:val="18"/>
          <w:color w:val="auto"/>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(including the USA PATRIOT Act, Anti-Corruption Laws, anti-money laundering laws and Sanctions), orders, writs, injunctions and orders and (e) has all requisite governmental licenses, authorizations, consents and approvals to operate its business as currently conducted; except in each case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(other than with respect to Holdings and the Borrower),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to the extent that failure to do so could not, individually or in the aggregate, reasonably be expected to have a Material Adverse Effect.</w:t>
      </w:r>
    </w:p>
    <w:p>
      <w:pPr>
        <w:spacing w:after="0" w:line="214"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xml:space="preserve">.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or (iv) violate any material Law; except (in the case of </w:t>
      </w:r>
      <w:r>
        <w:rPr>
          <w:rFonts w:ascii="Arial" w:cs="Arial" w:eastAsia="Arial" w:hAnsi="Arial"/>
          <w:sz w:val="19"/>
          <w:szCs w:val="19"/>
          <w:u w:val="single" w:color="auto"/>
          <w:color w:val="auto"/>
        </w:rPr>
        <w:t>clauses (b)(ii)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(b)(iv)</w:t>
      </w:r>
      <w:r>
        <w:rPr>
          <w:rFonts w:ascii="Arial" w:cs="Arial" w:eastAsia="Arial" w:hAnsi="Arial"/>
          <w:sz w:val="19"/>
          <w:szCs w:val="19"/>
          <w:color w:val="auto"/>
        </w:rPr>
        <w:t>), to the extent that such conflict, breach, contravention, payment or violation could not, individually or in the aggregate, reasonably be expected to have a Material Adverse Effect.</w:t>
      </w:r>
    </w:p>
    <w:p>
      <w:pPr>
        <w:spacing w:after="0" w:line="211"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-268-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398" w:name="page399"/>
    <w:bookmarkEnd w:id="39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Loan Parties in favor of the Secured Parties, (ii) the approvals, consents, exemptions, authorizations, actions, notices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-269-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399" w:name="page400"/>
    <w:bookmarkEnd w:id="39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20"/>
        <w:spacing w:after="0" w:line="250" w:lineRule="auto"/>
        <w:rPr>
          <w:sz w:val="20"/>
          <w:szCs w:val="20"/>
          <w:color w:val="auto"/>
        </w:rPr>
      </w:pPr>
      <w:r>
        <w:rPr>
          <w:rFonts w:ascii="Arial" w:cs="Arial" w:eastAsia="Arial" w:hAnsi="Arial"/>
          <w:sz w:val="20"/>
          <w:szCs w:val="20"/>
          <w:color w:val="auto"/>
        </w:rPr>
        <w:t>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w:t>
      </w:r>
    </w:p>
    <w:p>
      <w:pPr>
        <w:spacing w:after="0" w:line="226"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218"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color w:val="auto"/>
        </w:rPr>
        <w:t>Section 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324" w:lineRule="exact"/>
        <w:rPr>
          <w:sz w:val="20"/>
          <w:szCs w:val="20"/>
          <w:color w:val="auto"/>
        </w:rPr>
      </w:pPr>
    </w:p>
    <w:p>
      <w:pPr>
        <w:ind w:left="220" w:right="20" w:firstLine="1186"/>
        <w:spacing w:after="0" w:line="260" w:lineRule="auto"/>
        <w:tabs>
          <w:tab w:leader="none" w:pos="1948"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 The Audited Financial Statements and Unaudited Financial Statements fairly present in all material respects the consolidated financial condition of Holdings and the Borrower, as applicable, in accordance with GAAP.</w:t>
      </w:r>
    </w:p>
    <w:p>
      <w:pPr>
        <w:spacing w:after="0" w:line="217" w:lineRule="exact"/>
        <w:rPr>
          <w:rFonts w:ascii="Arial" w:cs="Arial" w:eastAsia="Arial" w:hAnsi="Arial"/>
          <w:sz w:val="20"/>
          <w:szCs w:val="20"/>
          <w:color w:val="auto"/>
        </w:rPr>
      </w:pPr>
    </w:p>
    <w:p>
      <w:pPr>
        <w:jc w:val="both"/>
        <w:ind w:left="140" w:firstLine="1372"/>
        <w:spacing w:after="0" w:line="243" w:lineRule="auto"/>
        <w:tabs>
          <w:tab w:leader="none" w:pos="1843"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The pro forma unaudited consolidated balance sheet and related pro forma unaudited consolidated statement of income of the Borrower and its Subsidiaries as of and for the twelve- month period ending June 30, 2020 (the “</w:t>
      </w:r>
      <w:r>
        <w:rPr>
          <w:rFonts w:ascii="Arial" w:cs="Arial" w:eastAsia="Arial" w:hAnsi="Arial"/>
          <w:sz w:val="20"/>
          <w:szCs w:val="20"/>
          <w:u w:val="single" w:color="auto"/>
          <w:color w:val="auto"/>
        </w:rPr>
        <w:t>Pro Forma Financial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Statements</w:t>
      </w:r>
      <w:r>
        <w:rPr>
          <w:rFonts w:ascii="Arial" w:cs="Arial" w:eastAsia="Arial" w:hAnsi="Arial"/>
          <w:sz w:val="20"/>
          <w:szCs w:val="20"/>
          <w:color w:val="auto"/>
        </w:rPr>
        <w:t>”), prepared in good faith after giving effect to the Transactions as if the Transactions had occurred as of such date (in the case of such balance sheet) or at the beginning of such period (in the case of such statement of income), which need not be prepared in compliance with Regulation S-X under the Securities Act or include adjustments for purchase accounting (including adjustments of the type contemplated by Financial Accounting Standards Board Accounting Standards Codification 805, Business Combinations (formerly SFAS 141R).</w:t>
      </w:r>
    </w:p>
    <w:p>
      <w:pPr>
        <w:spacing w:after="0" w:line="233" w:lineRule="exact"/>
        <w:rPr>
          <w:rFonts w:ascii="Arial" w:cs="Arial" w:eastAsia="Arial" w:hAnsi="Arial"/>
          <w:sz w:val="20"/>
          <w:szCs w:val="20"/>
          <w:color w:val="auto"/>
        </w:rPr>
      </w:pPr>
    </w:p>
    <w:p>
      <w:pPr>
        <w:ind w:left="220" w:firstLine="1131"/>
        <w:spacing w:after="0" w:line="260" w:lineRule="auto"/>
        <w:tabs>
          <w:tab w:leader="none" w:pos="1947" w:val="left"/>
        </w:tabs>
        <w:numPr>
          <w:ilvl w:val="0"/>
          <w:numId w:val="283"/>
        </w:numPr>
        <w:rPr>
          <w:rFonts w:ascii="Arial" w:cs="Arial" w:eastAsia="Arial" w:hAnsi="Arial"/>
          <w:sz w:val="20"/>
          <w:szCs w:val="20"/>
          <w:color w:val="auto"/>
        </w:rPr>
      </w:pPr>
      <w:r>
        <w:rPr>
          <w:rFonts w:ascii="Arial" w:cs="Arial" w:eastAsia="Arial" w:hAnsi="Arial"/>
          <w:sz w:val="20"/>
          <w:szCs w:val="20"/>
          <w:color w:val="auto"/>
        </w:rPr>
        <w:t>Since the Closing Date, there has been no event or circumstance, either individually or in the aggregate, that has had or could reasonably be expected to have a Material Adverse Effect.</w:t>
      </w:r>
    </w:p>
    <w:p>
      <w:pPr>
        <w:spacing w:after="0" w:line="204" w:lineRule="exact"/>
        <w:rPr>
          <w:sz w:val="20"/>
          <w:szCs w:val="20"/>
          <w:color w:val="auto"/>
        </w:rPr>
      </w:pPr>
    </w:p>
    <w:p>
      <w:pPr>
        <w:jc w:val="both"/>
        <w:ind w:left="140" w:firstLine="1295"/>
        <w:spacing w:after="0" w:line="250" w:lineRule="auto"/>
        <w:rPr>
          <w:sz w:val="20"/>
          <w:szCs w:val="20"/>
          <w:color w:val="auto"/>
        </w:rPr>
      </w:pPr>
      <w:r>
        <w:rPr>
          <w:rFonts w:ascii="Arial" w:cs="Arial" w:eastAsia="Arial" w:hAnsi="Arial"/>
          <w:sz w:val="20"/>
          <w:szCs w:val="20"/>
          <w:color w:val="auto"/>
        </w:rPr>
        <w:t>Each Lender and the Administrative Agent hereby acknowledges and agrees that Holdings and its Subsidiaries may be required to restate historical financial statements as the result of the implementation of changes in GAAP or the interpretation thereof, and that such restatements will not result in a Default under the Loan Documents.</w:t>
      </w:r>
    </w:p>
    <w:p>
      <w:pPr>
        <w:spacing w:after="0" w:line="213"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to the Closing Date Certificate, there are no actions, suits, proceedings, claims or disputes pending or, to the knowledge of the Borrower, threatened in writing or contemplated, at law, in equity, in arbitration or before any Governmental Authority, by or against Holdings or any Restricted Subsidiary or against any of their properties or revenues that either individually or in the aggregate, could reasonably be expected to have a Material Adverse Effect.</w:t>
      </w:r>
    </w:p>
    <w:p>
      <w:pPr>
        <w:spacing w:after="0" w:line="202"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Ownership of Property; Liens</w:t>
      </w:r>
      <w:r>
        <w:rPr>
          <w:rFonts w:ascii="Arial" w:cs="Arial" w:eastAsia="Arial" w:hAnsi="Arial"/>
          <w:sz w:val="20"/>
          <w:szCs w:val="20"/>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-270-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0" w:name="page401"/>
    <w:bookmarkEnd w:id="40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20" w:firstLine="1296"/>
        <w:spacing w:after="0" w:line="260"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u w:val="single" w:color="auto"/>
          <w:color w:val="auto"/>
        </w:rPr>
        <w:t>Environmental Compliance</w:t>
      </w:r>
      <w:r>
        <w:rPr>
          <w:rFonts w:ascii="Arial" w:cs="Arial" w:eastAsia="Arial" w:hAnsi="Arial"/>
          <w:sz w:val="20"/>
          <w:szCs w:val="20"/>
          <w:color w:val="auto"/>
        </w:rPr>
        <w:t>. Except as could not reasonably be expected to have, individually or in the aggregate, a Material Adverse Effect:</w:t>
      </w:r>
    </w:p>
    <w:p>
      <w:pPr>
        <w:spacing w:after="0" w:line="217" w:lineRule="exact"/>
        <w:rPr>
          <w:sz w:val="20"/>
          <w:szCs w:val="20"/>
          <w:color w:val="auto"/>
        </w:rPr>
      </w:pPr>
    </w:p>
    <w:p>
      <w:pPr>
        <w:jc w:val="both"/>
        <w:ind w:left="780" w:right="20" w:firstLine="649"/>
        <w:spacing w:after="0" w:line="250" w:lineRule="auto"/>
        <w:tabs>
          <w:tab w:leader="none" w:pos="1945"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there are no pending or, to the knowledge of the Borrower, threatened claims, actions, suits, notices of violation, notices of potential responsibility or proceedings by or against Holdings or any Subsidiary alleging potential liability or responsibility for violation of, or otherwise relating to, any Environmental Law;</w:t>
      </w:r>
    </w:p>
    <w:p>
      <w:pPr>
        <w:spacing w:after="0" w:line="212" w:lineRule="exact"/>
        <w:rPr>
          <w:rFonts w:ascii="Arial" w:cs="Arial" w:eastAsia="Arial" w:hAnsi="Arial"/>
          <w:sz w:val="20"/>
          <w:szCs w:val="20"/>
          <w:color w:val="auto"/>
        </w:rPr>
      </w:pPr>
    </w:p>
    <w:p>
      <w:pPr>
        <w:jc w:val="both"/>
        <w:ind w:left="780" w:firstLine="649"/>
        <w:spacing w:after="0" w:line="246" w:lineRule="auto"/>
        <w:tabs>
          <w:tab w:leader="none" w:pos="194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(i) there is no asbestos or asbestos-containing material on any property currently owned or operated by any Loan Party or any other Subsidiary; and (ii) there has been no Release of Hazardous Materials by any of the Loan Parties or any other Subsidiary at, on, under or from any location in a manner which would reasonably be expected to give rise to liability under Environmental Laws;</w:t>
      </w:r>
    </w:p>
    <w:p>
      <w:pPr>
        <w:spacing w:after="0" w:line="231" w:lineRule="exact"/>
        <w:rPr>
          <w:rFonts w:ascii="Arial" w:cs="Arial" w:eastAsia="Arial" w:hAnsi="Arial"/>
          <w:sz w:val="20"/>
          <w:szCs w:val="20"/>
          <w:color w:val="auto"/>
        </w:rPr>
      </w:pPr>
    </w:p>
    <w:p>
      <w:pPr>
        <w:jc w:val="both"/>
        <w:ind w:left="780" w:firstLine="649"/>
        <w:spacing w:after="0" w:line="246" w:lineRule="auto"/>
        <w:tabs>
          <w:tab w:leader="none" w:pos="1945" w:val="left"/>
        </w:tabs>
        <w:numPr>
          <w:ilvl w:val="0"/>
          <w:numId w:val="284"/>
        </w:numPr>
        <w:rPr>
          <w:rFonts w:ascii="Arial" w:cs="Arial" w:eastAsia="Arial" w:hAnsi="Arial"/>
          <w:sz w:val="20"/>
          <w:szCs w:val="20"/>
          <w:color w:val="auto"/>
        </w:rPr>
      </w:pPr>
      <w:r>
        <w:rPr>
          <w:rFonts w:ascii="Arial" w:cs="Arial" w:eastAsia="Arial" w:hAnsi="Arial"/>
          <w:sz w:val="20"/>
          <w:szCs w:val="20"/>
          <w:color w:val="auto"/>
        </w:rPr>
        <w:t>neither Holdings nor any of its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spacing w:after="0" w:line="231" w:lineRule="exact"/>
        <w:rPr>
          <w:rFonts w:ascii="Arial" w:cs="Arial" w:eastAsia="Arial" w:hAnsi="Arial"/>
          <w:sz w:val="20"/>
          <w:szCs w:val="20"/>
          <w:color w:val="auto"/>
        </w:rPr>
      </w:pPr>
    </w:p>
    <w:p>
      <w:pPr>
        <w:jc w:val="both"/>
        <w:ind w:left="780" w:firstLine="649"/>
        <w:spacing w:after="0" w:line="250" w:lineRule="auto"/>
        <w:tabs>
          <w:tab w:leader="none" w:pos="194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all Hazardous Materials transported from any property currently or, to the knowledge of Holdings or its Subsidiaries, formerly owned or operated by any Loan Party or any other Subsidiary for off-site disposal have been disposed of in compliance with all Environmental Laws;</w:t>
      </w:r>
    </w:p>
    <w:p>
      <w:pPr>
        <w:spacing w:after="0" w:line="212" w:lineRule="exact"/>
        <w:rPr>
          <w:rFonts w:ascii="Arial" w:cs="Arial" w:eastAsia="Arial" w:hAnsi="Arial"/>
          <w:sz w:val="20"/>
          <w:szCs w:val="20"/>
          <w:color w:val="auto"/>
        </w:rPr>
      </w:pPr>
    </w:p>
    <w:p>
      <w:pPr>
        <w:ind w:left="780" w:firstLine="650"/>
        <w:spacing w:after="0" w:line="260" w:lineRule="auto"/>
        <w:tabs>
          <w:tab w:leader="none" w:pos="1945" w:val="left"/>
        </w:tabs>
        <w:numPr>
          <w:ilvl w:val="0"/>
          <w:numId w:val="284"/>
        </w:numPr>
        <w:rPr>
          <w:rFonts w:ascii="Arial" w:cs="Arial" w:eastAsia="Arial" w:hAnsi="Arial"/>
          <w:sz w:val="20"/>
          <w:szCs w:val="20"/>
          <w:color w:val="auto"/>
        </w:rPr>
      </w:pPr>
      <w:r>
        <w:rPr>
          <w:rFonts w:ascii="Arial" w:cs="Arial" w:eastAsia="Arial" w:hAnsi="Arial"/>
          <w:sz w:val="20"/>
          <w:szCs w:val="20"/>
          <w:color w:val="auto"/>
        </w:rPr>
        <w:t>none of the Loan Parties nor any other Subsidiary has contractually assumed any liability or obligation under or relating to any Environmental Law;</w:t>
      </w:r>
    </w:p>
    <w:p>
      <w:pPr>
        <w:spacing w:after="0" w:line="217" w:lineRule="exact"/>
        <w:rPr>
          <w:rFonts w:ascii="Arial" w:cs="Arial" w:eastAsia="Arial" w:hAnsi="Arial"/>
          <w:sz w:val="20"/>
          <w:szCs w:val="20"/>
          <w:color w:val="auto"/>
        </w:rPr>
      </w:pPr>
    </w:p>
    <w:p>
      <w:pPr>
        <w:ind w:left="2080" w:hanging="651"/>
        <w:spacing w:after="0"/>
        <w:tabs>
          <w:tab w:leader="none" w:pos="208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none of the Loan Parties is subject to any Environmental Liability; and</w:t>
      </w:r>
    </w:p>
    <w:p>
      <w:pPr>
        <w:spacing w:after="0" w:line="256" w:lineRule="exact"/>
        <w:rPr>
          <w:rFonts w:ascii="Arial" w:cs="Arial" w:eastAsia="Arial" w:hAnsi="Arial"/>
          <w:sz w:val="20"/>
          <w:szCs w:val="20"/>
          <w:color w:val="auto"/>
        </w:rPr>
      </w:pPr>
    </w:p>
    <w:p>
      <w:pPr>
        <w:ind w:left="780" w:right="20" w:firstLine="649"/>
        <w:spacing w:after="0" w:line="260" w:lineRule="auto"/>
        <w:tabs>
          <w:tab w:leader="none" w:pos="194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the Loan Parties and each other Subsidiary and their respective businesses, operations and properties are and have been in compliance with all Environmental Laws.</w:t>
      </w:r>
    </w:p>
    <w:p>
      <w:pPr>
        <w:spacing w:after="0" w:line="204"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Taxes</w:t>
      </w:r>
      <w:r>
        <w:rPr>
          <w:rFonts w:ascii="Arial" w:cs="Arial" w:eastAsia="Arial" w:hAnsi="Arial"/>
          <w:sz w:val="20"/>
          <w:szCs w:val="20"/>
          <w:color w:val="auto"/>
        </w:rPr>
        <w:t>. Holdings and each Restricted Subsidiary have timely filed all federal, provincial, state, municipal, foreign and other Tax returns and reports required to be filed, and have timely paid all federal, provincial, state, municipal, foreign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except for failures to file or pay as could not, either individually or in the aggregate, reasonably be expected to result in a Material Adverse Effect.</w:t>
      </w:r>
    </w:p>
    <w:p>
      <w:pPr>
        <w:spacing w:after="0" w:line="236"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Compliance with ERISA</w:t>
      </w:r>
      <w:r>
        <w:rPr>
          <w:rFonts w:ascii="Arial" w:cs="Arial" w:eastAsia="Arial" w:hAnsi="Arial"/>
          <w:sz w:val="18"/>
          <w:szCs w:val="18"/>
          <w:color w:val="auto"/>
        </w:rPr>
        <w:t>.</w:t>
      </w:r>
    </w:p>
    <w:p>
      <w:pPr>
        <w:spacing w:after="0" w:line="324" w:lineRule="exact"/>
        <w:rPr>
          <w:sz w:val="20"/>
          <w:szCs w:val="20"/>
          <w:color w:val="auto"/>
        </w:rPr>
      </w:pPr>
    </w:p>
    <w:p>
      <w:pPr>
        <w:jc w:val="both"/>
        <w:ind w:left="220" w:firstLine="1103"/>
        <w:spacing w:after="0" w:line="250" w:lineRule="auto"/>
        <w:tabs>
          <w:tab w:leader="none" w:pos="1948" w:val="left"/>
        </w:tabs>
        <w:numPr>
          <w:ilvl w:val="0"/>
          <w:numId w:val="285"/>
        </w:numPr>
        <w:rPr>
          <w:rFonts w:ascii="Arial" w:cs="Arial" w:eastAsia="Arial" w:hAnsi="Arial"/>
          <w:sz w:val="20"/>
          <w:szCs w:val="20"/>
          <w:color w:val="auto"/>
        </w:rPr>
      </w:pPr>
      <w:r>
        <w:rPr>
          <w:rFonts w:ascii="Arial" w:cs="Arial" w:eastAsia="Arial" w:hAnsi="Arial"/>
          <w:sz w:val="20"/>
          <w:szCs w:val="20"/>
          <w:color w:val="auto"/>
        </w:rPr>
        <w:t>Except as could not, either individually or in the aggregate, reasonably be expected to result in a Material Adverse Effect, each Plan is in compliance with the applicable provisions of ERISA, the Code and other federal or state Laws and applicable foreign laws, respectively.</w:t>
      </w:r>
    </w:p>
    <w:p>
      <w:pPr>
        <w:spacing w:after="0" w:line="212" w:lineRule="exact"/>
        <w:rPr>
          <w:rFonts w:ascii="Arial" w:cs="Arial" w:eastAsia="Arial" w:hAnsi="Arial"/>
          <w:sz w:val="20"/>
          <w:szCs w:val="20"/>
          <w:color w:val="auto"/>
        </w:rPr>
      </w:pPr>
    </w:p>
    <w:p>
      <w:pPr>
        <w:jc w:val="both"/>
        <w:ind w:left="220" w:firstLine="1048"/>
        <w:spacing w:after="0" w:line="250" w:lineRule="auto"/>
        <w:tabs>
          <w:tab w:leader="none" w:pos="1947"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 No ERISA Event or similar event with respect to a Foreign Plan has occurred or is reasonably expected to occur; (ii) neither any Loan Party nor any ERISA Affiliate has incurred, or reasonably expects to incur, any liability (and no event has occurred which, with the giving of notice</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-271-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1" w:name="page402"/>
    <w:bookmarkEnd w:id="40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 xml:space="preserve">under Section 4219 of ERISA, would result in such liability) under Section 4201 </w:t>
      </w:r>
      <w:r>
        <w:rPr>
          <w:rFonts w:ascii="Arial" w:cs="Arial" w:eastAsia="Arial" w:hAnsi="Arial"/>
          <w:sz w:val="20"/>
          <w:szCs w:val="20"/>
          <w:i w:val="1"/>
          <w:iCs w:val="1"/>
          <w:color w:val="auto"/>
        </w:rPr>
        <w:t>et seq</w:t>
      </w:r>
      <w:r>
        <w:rPr>
          <w:rFonts w:ascii="Arial" w:cs="Arial" w:eastAsia="Arial" w:hAnsi="Arial"/>
          <w:sz w:val="20"/>
          <w:szCs w:val="20"/>
          <w:color w:val="auto"/>
        </w:rPr>
        <w:t>. or 4243 of ERISA with respect to a Multiemployer Plan; and (iii) neither any Loan Party nor any ERISA Affiliate has engaged in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-272-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2" w:name="page403"/>
    <w:bookmarkEnd w:id="40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line="287" w:lineRule="auto"/>
        <w:rPr>
          <w:sz w:val="20"/>
          <w:szCs w:val="20"/>
          <w:color w:val="auto"/>
        </w:rPr>
      </w:pPr>
      <w:r>
        <w:rPr>
          <w:rFonts w:ascii="Arial" w:cs="Arial" w:eastAsia="Arial" w:hAnsi="Arial"/>
          <w:sz w:val="19"/>
          <w:szCs w:val="19"/>
          <w:color w:val="auto"/>
        </w:rPr>
        <w:t xml:space="preserve">a transaction that could be subject to Section 4069 or 4212(c) of ERISA, except, with respect to each of the foregoing clauses of this </w:t>
      </w:r>
      <w:r>
        <w:rPr>
          <w:rFonts w:ascii="Arial" w:cs="Arial" w:eastAsia="Arial" w:hAnsi="Arial"/>
          <w:sz w:val="19"/>
          <w:szCs w:val="19"/>
          <w:u w:val="single" w:color="auto"/>
          <w:color w:val="auto"/>
        </w:rPr>
        <w:t>Section 5.10</w:t>
      </w:r>
      <w:r>
        <w:rPr>
          <w:rFonts w:ascii="Arial" w:cs="Arial" w:eastAsia="Arial" w:hAnsi="Arial"/>
          <w:sz w:val="19"/>
          <w:szCs w:val="19"/>
          <w:color w:val="auto"/>
        </w:rPr>
        <w:t>, as could not reasonably be expected, individually or in the aggregate, to result in a Material Adverse Effect.</w:t>
      </w:r>
    </w:p>
    <w:p>
      <w:pPr>
        <w:spacing w:after="0" w:line="193"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Subsidiaries; Capital Stock</w:t>
      </w:r>
      <w:r>
        <w:rPr>
          <w:rFonts w:ascii="Arial" w:cs="Arial" w:eastAsia="Arial" w:hAnsi="Arial"/>
          <w:sz w:val="19"/>
          <w:szCs w:val="19"/>
          <w:color w:val="auto"/>
        </w:rPr>
        <w:t xml:space="preserve">. As of the Closing Date, neither Holdings nor any other Loan Party has any Subsidiaries other than those specifically disclosed in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to the Closing Date Certificate, and all of the outstanding Capital Stock in Holdings and its Subsidiaries have been validly issued, are fully paid and, in the case of Capital Stock representing corporate interests, nonassessable and, on the Closing Date, all Capital Stock owned directly or indirectly by Holdings or any other Loan Party are owned free and clear of all Liens except (i) those created under the Collateral Documents, (ii) those Liens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 sets forth the name and jurisdiction of organization or incorporation of each Subsidiary, (b) sets forth the ownership interest of Holdings, the Borrower and any of their Subsidiaries in each of their Subsidiaries, including the percentage of such ownership and (c) identifies each Person the Capital Stock of which are required to be pledged on the Closing Date pursuant to the Collateral and Guarantee Requirement.</w:t>
      </w:r>
    </w:p>
    <w:p>
      <w:pPr>
        <w:spacing w:after="0" w:line="211"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46" w:lineRule="auto"/>
        <w:tabs>
          <w:tab w:leader="none" w:pos="195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w:t>
      </w:r>
    </w:p>
    <w:p>
      <w:pPr>
        <w:spacing w:after="0" w:line="231" w:lineRule="exact"/>
        <w:rPr>
          <w:rFonts w:ascii="Arial" w:cs="Arial" w:eastAsia="Arial" w:hAnsi="Arial"/>
          <w:sz w:val="20"/>
          <w:szCs w:val="20"/>
          <w:color w:val="auto"/>
        </w:rPr>
      </w:pPr>
    </w:p>
    <w:p>
      <w:pPr>
        <w:ind w:left="220" w:firstLine="1289"/>
        <w:spacing w:after="0" w:line="260" w:lineRule="auto"/>
        <w:tabs>
          <w:tab w:leader="none" w:pos="1948"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None of the Borrower, any Person Controlling the Borrower or any Subsidiary is or is required to be registered as an “investment company” under the Investment Company Act of 1940, as amended.</w:t>
      </w:r>
    </w:p>
    <w:p>
      <w:pPr>
        <w:spacing w:after="0" w:line="217"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as a whole is incorrect in any material respect when furnished or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believed to be reasonable at the time such information was furnished; it being understood that (i) such projections are as to future events and are not to be viewed as facts and are subject to significant uncertainties and contingencies, many of which are beyond the control of the Borrower, (ii) no assurance can be given that any particular projections will be realized and that actual results during the period or periods covered by any such projections may differ significantly from the projected results and (iii) such differences may be material.</w:t>
      </w:r>
    </w:p>
    <w:p>
      <w:pPr>
        <w:spacing w:after="0" w:line="211" w:lineRule="exact"/>
        <w:rPr>
          <w:sz w:val="20"/>
          <w:szCs w:val="20"/>
          <w:color w:val="auto"/>
        </w:rPr>
      </w:pPr>
    </w:p>
    <w:p>
      <w:pPr>
        <w:ind w:left="140" w:right="60" w:firstLine="1295"/>
        <w:spacing w:after="0" w:line="260" w:lineRule="auto"/>
        <w:rPr>
          <w:sz w:val="20"/>
          <w:szCs w:val="20"/>
          <w:color w:val="auto"/>
        </w:rPr>
      </w:pPr>
      <w:r>
        <w:rPr>
          <w:rFonts w:ascii="Arial" w:cs="Arial" w:eastAsia="Arial" w:hAnsi="Arial"/>
          <w:sz w:val="20"/>
          <w:szCs w:val="20"/>
          <w:color w:val="auto"/>
        </w:rPr>
        <w:t>As of the Closing Date, the information included in any Beneficial Ownership Certificate is true and correct in all material respects.</w:t>
      </w:r>
    </w:p>
    <w:p>
      <w:pPr>
        <w:spacing w:after="0" w:line="217"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Intellectual Property; Licenses, Etc</w:t>
      </w:r>
      <w:r>
        <w:rPr>
          <w:rFonts w:ascii="Arial" w:cs="Arial" w:eastAsia="Arial" w:hAnsi="Arial"/>
          <w:sz w:val="20"/>
          <w:szCs w:val="20"/>
          <w:color w:val="auto"/>
        </w:rPr>
        <w:t>. Each of the Loan Parties and the other Restricted Subsidiaries owns, or has a license or possesses a valid and enforceable right to use, all of the trademarks, service marks, trade names, domain names, together with the goodwill associated with the</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-273-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3" w:name="page404"/>
    <w:bookmarkEnd w:id="40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foregoing, copyrights, patents, patent rights, technology, software, know-how, data, database rights, design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-274-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04" w:name="page405"/>
    <w:bookmarkEnd w:id="40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9" w:lineRule="auto"/>
        <w:rPr>
          <w:sz w:val="20"/>
          <w:szCs w:val="20"/>
          <w:color w:val="auto"/>
        </w:rPr>
      </w:pPr>
      <w:r>
        <w:rPr>
          <w:rFonts w:ascii="Arial" w:cs="Arial" w:eastAsia="Arial" w:hAnsi="Arial"/>
          <w:sz w:val="18"/>
          <w:szCs w:val="18"/>
          <w:color w:val="auto"/>
        </w:rPr>
        <w:t>rights and other intellectual property rights (collectively, “</w:t>
      </w:r>
      <w:r>
        <w:rPr>
          <w:rFonts w:ascii="Arial" w:cs="Arial" w:eastAsia="Arial" w:hAnsi="Arial"/>
          <w:sz w:val="18"/>
          <w:szCs w:val="18"/>
          <w:u w:val="single" w:color="auto"/>
          <w:color w:val="auto"/>
        </w:rPr>
        <w:t>IP Rights</w:t>
      </w:r>
      <w:r>
        <w:rPr>
          <w:rFonts w:ascii="Arial" w:cs="Arial" w:eastAsia="Arial" w:hAnsi="Arial"/>
          <w:sz w:val="18"/>
          <w:szCs w:val="18"/>
          <w:color w:val="auto"/>
        </w:rPr>
        <w:t>”) that are used in or necessary for the operation of their respective businesses as currently conducted, and, to the knowledge of the Borrower, without violation of the rights of any Person, except to the extent such failures or violations, either individually or in the aggregate, would not reasonably be expected to have a Material Adverse Effect. To the knowledge of the Borrower, the conduct of the respective business of any Loan Party or other Restricted Subsidiary as currently conducted does not infringe, misappropriate or otherwise violate any IP Rights held by any other Person, except to the extent such infringements, misappropriations or violations which, either individually or in the aggregate, would not reasonably be expected to have a Material Adverse Effect. No written claim or litigation regarding any IP Rights is pending or, to the knowledge of Borrower, threatened in writing against any Loan Party or other Restricted Subsidiary, which, either individually or in the aggregate, would reasonably be expected to have a Material Adverse Effect. Each of the Loan Parties and the other Restricted Subsidiaries has complied with all applicable Laws relating to the privacy and security of personal information or personal data, except to the extent any non-compliance, either individually or in the aggregate, would not reasonably be expected to have a Material Adverse Effect. There has been no security breach or incident, unauthorized access or disclosure, or other compromise of any of the Loan Parties’ or the other Restricted Subsidiaries’ information technology assets and equipment, computers, information technology systems, networks, hardware, software, websites, applications, data and databases, including the data and information of their respective customers and employees or collected, maintained, processed or stored by or on behalf of the Loan Parties or the other Restricted Subsidiaries, except to the extent any such incident, access, disclosure or other compromise, either individually or in the aggregate, would not reasonably be expected to have a Material Adverse Effect.</w:t>
      </w:r>
    </w:p>
    <w:p>
      <w:pPr>
        <w:spacing w:after="0" w:line="214"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after giving effect to the Transactions, Holdings and its Subsidiaries, on a consolidated basis, are Solvent.</w:t>
      </w:r>
    </w:p>
    <w:p>
      <w:pPr>
        <w:spacing w:after="0" w:line="204"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Collateral Document), the Liens created by such Collateral Documents will constitute so far as possible under relevant Law and to the extent required by any Collateral Document fully perfected first-priority Liens on, and security interests in, all right, title and interest of the Loan Parties in such Collateral, in each case subject to no Liens other than Permitted Liens.</w:t>
      </w:r>
    </w:p>
    <w:p>
      <w:pPr>
        <w:spacing w:after="0" w:line="230"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The proceeds of the Term Loans and the Revolving Loans will be used in accordance with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proceeds of any Incremental Credit Facility may be used for any purpose agreed to by the lenders thereof to the extent not otherwise in violation of this Agreement.</w:t>
      </w:r>
    </w:p>
    <w:p>
      <w:pPr>
        <w:spacing w:after="0" w:line="226"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8"/>
          <w:szCs w:val="18"/>
          <w:u w:val="single" w:color="auto"/>
          <w:color w:val="auto"/>
        </w:rPr>
        <w:t>Sanctions and Anti-Corruption Laws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50" w:lineRule="auto"/>
        <w:tabs>
          <w:tab w:leader="none" w:pos="1952" w:val="left"/>
        </w:tabs>
        <w:numPr>
          <w:ilvl w:val="0"/>
          <w:numId w:val="287"/>
        </w:numPr>
        <w:rPr>
          <w:rFonts w:ascii="Arial" w:cs="Arial" w:eastAsia="Arial" w:hAnsi="Arial"/>
          <w:sz w:val="20"/>
          <w:szCs w:val="20"/>
          <w:color w:val="auto"/>
        </w:rPr>
      </w:pPr>
      <w:r>
        <w:rPr>
          <w:rFonts w:ascii="Arial" w:cs="Arial" w:eastAsia="Arial" w:hAnsi="Arial"/>
          <w:sz w:val="20"/>
          <w:szCs w:val="20"/>
          <w:color w:val="auto"/>
        </w:rPr>
        <w:t>Each Credit Party will maintain in effect and enforce policies and procedures that are reasonably designed to promote compliance by the Credit Parties and their respective directors, officers, employees and agents with the FCPA and other applicable anti-corruption laws.</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-275-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-276-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06" w:name="page407"/>
    <w:bookmarkEnd w:id="40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firstLine="1290"/>
        <w:spacing w:after="0" w:line="316" w:lineRule="auto"/>
        <w:tabs>
          <w:tab w:leader="none" w:pos="194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of Holdings and its Subsidiaries is in compliance, in all material respects, with all applicable Sanctions. No Borrowing or Letter of Credit, or use of proceeds, will violate or result in the violation of any Sanctions applicable to any party hereto.</w:t>
      </w:r>
    </w:p>
    <w:p>
      <w:pPr>
        <w:spacing w:after="0" w:line="170" w:lineRule="exact"/>
        <w:rPr>
          <w:rFonts w:ascii="Arial" w:cs="Arial" w:eastAsia="Arial" w:hAnsi="Arial"/>
          <w:sz w:val="18"/>
          <w:szCs w:val="18"/>
          <w:color w:val="auto"/>
        </w:rPr>
      </w:pPr>
    </w:p>
    <w:p>
      <w:pPr>
        <w:jc w:val="both"/>
        <w:ind w:left="220" w:right="20" w:firstLine="1290"/>
        <w:spacing w:after="0" w:line="250" w:lineRule="auto"/>
        <w:tabs>
          <w:tab w:leader="none" w:pos="1948" w:val="left"/>
        </w:tabs>
        <w:numPr>
          <w:ilvl w:val="0"/>
          <w:numId w:val="288"/>
        </w:numPr>
        <w:rPr>
          <w:rFonts w:ascii="Arial" w:cs="Arial" w:eastAsia="Arial" w:hAnsi="Arial"/>
          <w:sz w:val="20"/>
          <w:szCs w:val="20"/>
          <w:color w:val="auto"/>
        </w:rPr>
      </w:pPr>
      <w:r>
        <w:rPr>
          <w:rFonts w:ascii="Arial" w:cs="Arial" w:eastAsia="Arial" w:hAnsi="Arial"/>
          <w:sz w:val="20"/>
          <w:szCs w:val="20"/>
          <w:color w:val="auto"/>
        </w:rPr>
        <w:t>None of (I) the Borrower or any other Loan Party and (II) the Restricted Subsidiaries that are not Loan Parties any director, manager, officer, employee or, to the knowledge of the Borrower, agent of Holdings or any of their Restricted Subsidiaries, in each case, is a Sanctioned Person.</w:t>
      </w:r>
    </w:p>
    <w:p>
      <w:pPr>
        <w:spacing w:after="0" w:line="212" w:lineRule="exact"/>
        <w:rPr>
          <w:rFonts w:ascii="Arial" w:cs="Arial" w:eastAsia="Arial" w:hAnsi="Arial"/>
          <w:sz w:val="20"/>
          <w:szCs w:val="20"/>
          <w:color w:val="auto"/>
        </w:rPr>
      </w:pPr>
    </w:p>
    <w:p>
      <w:pPr>
        <w:jc w:val="both"/>
        <w:ind w:left="220" w:firstLine="1290"/>
        <w:spacing w:after="0" w:line="246" w:lineRule="auto"/>
        <w:tabs>
          <w:tab w:leader="none" w:pos="1949" w:val="left"/>
        </w:tabs>
        <w:numPr>
          <w:ilvl w:val="0"/>
          <w:numId w:val="288"/>
        </w:numPr>
        <w:rPr>
          <w:rFonts w:ascii="Arial" w:cs="Arial" w:eastAsia="Arial" w:hAnsi="Arial"/>
          <w:sz w:val="20"/>
          <w:szCs w:val="20"/>
          <w:color w:val="auto"/>
        </w:rPr>
      </w:pPr>
      <w:r>
        <w:rPr>
          <w:rFonts w:ascii="Arial" w:cs="Arial" w:eastAsia="Arial" w:hAnsi="Arial"/>
          <w:sz w:val="20"/>
          <w:szCs w:val="20"/>
          <w:color w:val="auto"/>
        </w:rPr>
        <w:t>No part of the proceeds of any Loan or any Letter of Credit will be used for any improper payments, directly or, to the knowledge of the Borrower, indirectly,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Anti-Corruption Laws.</w:t>
      </w:r>
    </w:p>
    <w:p>
      <w:pPr>
        <w:spacing w:after="0" w:line="232"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Labor Matters</w:t>
      </w:r>
      <w:r>
        <w:rPr>
          <w:rFonts w:ascii="Arial" w:cs="Arial" w:eastAsia="Arial" w:hAnsi="Arial"/>
          <w:sz w:val="19"/>
          <w:szCs w:val="19"/>
          <w:color w:val="auto"/>
        </w:rPr>
        <w:t>¶. Except those that, in the aggregate, would not reasonably be expected to have a Material Adverse Effect, as of the Closing Date, (i) there are no strikes, lockouts or other labor disputes against any Loan Party pending or, to the knowledge of the Borrower, threatened and (ii) the hours worked by and payments made to employees of the Loan Parties have not violated the Fair Labor Standards Act or any other applicable Federal, state, local or foreign law dealing with such matters. The execution, delivery and performance by each Loan Parties of the Loan Documents to which they are a party and the consummation of the financing contemplated by the Loan Documents will not give rise to any right of termination or right of renegotiation on the part of any union under any material collective bargaining agreement by which any Loan Party is bound.</w:t>
      </w:r>
    </w:p>
    <w:p>
      <w:pPr>
        <w:spacing w:after="0" w:line="225" w:lineRule="exact"/>
        <w:rPr>
          <w:sz w:val="20"/>
          <w:szCs w:val="20"/>
          <w:color w:val="auto"/>
        </w:rPr>
      </w:pPr>
    </w:p>
    <w:p>
      <w:pPr>
        <w:jc w:val="both"/>
        <w:ind w:left="140" w:firstLine="1296"/>
        <w:spacing w:after="0" w:line="282"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of Holdings, the Borrower and each Restricted Subsidiary is in compliance with all Laws and all orders, writs, injunctions and decrees applicable to it or to its properties, except in such instances in which (a) such Laws or order, writ, injunction or decree is being contested in good faith by appropriate proceedings or (b) the failure to comply therewith, either individually or in the aggregate, could not reasonably be expected to have a Material Adverse Effect.</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Affirmative Covenants</w:t>
      </w:r>
    </w:p>
    <w:p>
      <w:pPr>
        <w:spacing w:after="0" w:line="324" w:lineRule="exact"/>
        <w:rPr>
          <w:sz w:val="20"/>
          <w:szCs w:val="20"/>
          <w:color w:val="auto"/>
        </w:rPr>
      </w:pPr>
    </w:p>
    <w:p>
      <w:pPr>
        <w:jc w:val="both"/>
        <w:ind w:left="140" w:firstLine="1295"/>
        <w:spacing w:after="0" w:line="278" w:lineRule="auto"/>
        <w:rPr>
          <w:sz w:val="20"/>
          <w:szCs w:val="20"/>
          <w:color w:val="auto"/>
        </w:rPr>
      </w:pPr>
      <w:r>
        <w:rPr>
          <w:rFonts w:ascii="Arial" w:cs="Arial" w:eastAsia="Arial" w:hAnsi="Arial"/>
          <w:sz w:val="18"/>
          <w:szCs w:val="18"/>
          <w:color w:val="auto"/>
        </w:rPr>
        <w:t>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 Holdings shall cause each Restricted Subsidiary to:</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for prompt further distribution to each Lender:</w:t>
      </w:r>
    </w:p>
    <w:p>
      <w:pPr>
        <w:spacing w:after="0" w:line="279" w:lineRule="exact"/>
        <w:rPr>
          <w:sz w:val="20"/>
          <w:szCs w:val="20"/>
          <w:color w:val="auto"/>
        </w:rPr>
      </w:pPr>
    </w:p>
    <w:p>
      <w:pPr>
        <w:jc w:val="both"/>
        <w:ind w:left="780" w:firstLine="649"/>
        <w:spacing w:after="0" w:line="291" w:lineRule="auto"/>
        <w:tabs>
          <w:tab w:leader="none" w:pos="171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Annual Financials</w:t>
      </w:r>
      <w:r>
        <w:rPr>
          <w:rFonts w:ascii="Arial" w:cs="Arial" w:eastAsia="Arial" w:hAnsi="Arial"/>
          <w:sz w:val="18"/>
          <w:szCs w:val="18"/>
          <w:color w:val="auto"/>
        </w:rPr>
        <w:t>. Within one hundred and twenty (120) days after the end of each fiscal year of Holdings ending after the Closing Date, a consolidated balance sheet of Holdings and its Subsidiaries as at the end of such fiscal year, and the related consolidated statements of income or operations, stockholders’ equity and cash flows for such fiscal year, setting forth in</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-277-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7" w:name="page408"/>
    <w:bookmarkEnd w:id="40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each case in comparative form the figures for the previous fiscal year, all in reasonable detail and prepared in accordance with GAAP, audited and accompanied by (a) a report and opinion of an independent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-278-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08" w:name="page409"/>
    <w:bookmarkEnd w:id="40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56" w:lineRule="auto"/>
        <w:rPr>
          <w:sz w:val="20"/>
          <w:szCs w:val="20"/>
          <w:color w:val="auto"/>
        </w:rPr>
      </w:pPr>
      <w:r>
        <w:rPr>
          <w:rFonts w:ascii="Arial" w:cs="Arial" w:eastAsia="Arial" w:hAnsi="Arial"/>
          <w:sz w:val="19"/>
          <w:szCs w:val="19"/>
          <w:color w:val="auto"/>
        </w:rPr>
        <w:t xml:space="preserve">registered public accounting firm of nationally recognized standing or other accounting firm reasonably acceptable to the Administrative Agent (it being understood that BDO is reasonably acceptable to the Administrative Agent), which report and opinion shall be prepared in accordance with generally accepted auditing standards and shall not be subject to any qualification (for the avoidance of doubt, excluding an emphasis of the matter or explanatory paragraph) as to “going concern” (other than any “going concern” qualification with respect to or as a result of (x) an upcoming maturity date under any Indebtedness or (y) any breach or impending breach of the covenant in </w:t>
      </w:r>
      <w:r>
        <w:rPr>
          <w:rFonts w:ascii="Arial" w:cs="Arial" w:eastAsia="Arial" w:hAnsi="Arial"/>
          <w:sz w:val="19"/>
          <w:szCs w:val="19"/>
          <w:u w:val="single" w:color="auto"/>
          <w:color w:val="auto"/>
        </w:rPr>
        <w:t>Section 7.09</w:t>
      </w:r>
      <w:r>
        <w:rPr>
          <w:rFonts w:ascii="Arial" w:cs="Arial" w:eastAsia="Arial" w:hAnsi="Arial"/>
          <w:sz w:val="19"/>
          <w:szCs w:val="19"/>
          <w:color w:val="auto"/>
        </w:rPr>
        <w:t xml:space="preserve"> or any other financial covenant in the documentation evidencing any Indebtedness) or any qualification or exception as to the scope of such audit and (b) prior to the consummation of an IPO, a customary management discussion and analysis (in form reasonably acceptable to the Administrative Agent) of the financial performance of Holdings and its Restricted Subsidiaries;</w:t>
      </w:r>
    </w:p>
    <w:p>
      <w:pPr>
        <w:spacing w:after="0" w:line="225" w:lineRule="exact"/>
        <w:rPr>
          <w:sz w:val="20"/>
          <w:szCs w:val="20"/>
          <w:color w:val="auto"/>
        </w:rPr>
      </w:pPr>
    </w:p>
    <w:p>
      <w:pPr>
        <w:ind w:left="2060" w:hanging="631"/>
        <w:spacing w:after="0"/>
        <w:tabs>
          <w:tab w:leader="none" w:pos="2060" w:val="left"/>
        </w:tabs>
        <w:numPr>
          <w:ilvl w:val="1"/>
          <w:numId w:val="290"/>
        </w:numPr>
        <w:rPr>
          <w:rFonts w:ascii="Arial" w:cs="Arial" w:eastAsia="Arial" w:hAnsi="Arial"/>
          <w:sz w:val="20"/>
          <w:szCs w:val="20"/>
          <w:color w:val="auto"/>
        </w:rPr>
      </w:pPr>
      <w:r>
        <w:rPr>
          <w:rFonts w:ascii="Arial" w:cs="Arial" w:eastAsia="Arial" w:hAnsi="Arial"/>
          <w:sz w:val="20"/>
          <w:szCs w:val="20"/>
          <w:u w:val="single" w:color="auto"/>
          <w:color w:val="auto"/>
        </w:rPr>
        <w:t>Quarterly Financials</w:t>
      </w:r>
      <w:r>
        <w:rPr>
          <w:rFonts w:ascii="Arial" w:cs="Arial" w:eastAsia="Arial" w:hAnsi="Arial"/>
          <w:sz w:val="20"/>
          <w:szCs w:val="20"/>
          <w:color w:val="auto"/>
        </w:rPr>
        <w:t>. Within sixty (60) days after the end of each of the first three</w:t>
      </w:r>
    </w:p>
    <w:p>
      <w:pPr>
        <w:spacing w:after="0" w:line="2" w:lineRule="exact"/>
        <w:rPr>
          <w:rFonts w:ascii="Arial" w:cs="Arial" w:eastAsia="Arial" w:hAnsi="Arial"/>
          <w:sz w:val="20"/>
          <w:szCs w:val="20"/>
          <w:color w:val="auto"/>
        </w:rPr>
      </w:pPr>
    </w:p>
    <w:p>
      <w:pPr>
        <w:ind w:left="1060" w:hanging="278"/>
        <w:spacing w:after="0"/>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fiscal quarters of each fiscal year of Holdings (or, with respect to the first two (2) fiscal quarters for which financial statements</w:t>
      </w:r>
    </w:p>
    <w:p>
      <w:pPr>
        <w:spacing w:after="0" w:line="23" w:lineRule="exact"/>
        <w:rPr>
          <w:sz w:val="20"/>
          <w:szCs w:val="20"/>
          <w:color w:val="auto"/>
        </w:rPr>
      </w:pPr>
    </w:p>
    <w:p>
      <w:pPr>
        <w:jc w:val="both"/>
        <w:ind w:left="780"/>
        <w:spacing w:after="0" w:line="270" w:lineRule="auto"/>
        <w:rPr>
          <w:sz w:val="20"/>
          <w:szCs w:val="20"/>
          <w:color w:val="auto"/>
        </w:rPr>
      </w:pPr>
      <w:r>
        <w:rPr>
          <w:rFonts w:ascii="Arial" w:cs="Arial" w:eastAsia="Arial" w:hAnsi="Arial"/>
          <w:sz w:val="18"/>
          <w:szCs w:val="18"/>
          <w:color w:val="auto"/>
        </w:rPr>
        <w:t>are due, seventy five (75) days) beginning with the first fiscal quarter ending March 31, 2021, (A) a consolidated balance sheet of Holdings and its Subsidiaries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Holdings as fairly presenting in all material respects the financial condition, results of operations, stockholders’ equity and cash flows of Holdings and its Subsidiaries in accordance with GAAP, subject only to normal year-end adjustments and the absence of footnotes and (B) prior to the consummation of an IPO, a conference call between management of Holdings and Lenders at a time to be mutually agreed upon and upon reasonable notice; and</w:t>
      </w:r>
    </w:p>
    <w:p>
      <w:pPr>
        <w:spacing w:after="0" w:line="197" w:lineRule="exact"/>
        <w:rPr>
          <w:sz w:val="20"/>
          <w:szCs w:val="20"/>
          <w:color w:val="auto"/>
        </w:rPr>
      </w:pPr>
    </w:p>
    <w:p>
      <w:pPr>
        <w:jc w:val="both"/>
        <w:ind w:left="780" w:firstLine="650"/>
        <w:spacing w:after="0" w:line="250" w:lineRule="auto"/>
        <w:tabs>
          <w:tab w:leader="none" w:pos="1942" w:val="left"/>
        </w:tabs>
        <w:numPr>
          <w:ilvl w:val="0"/>
          <w:numId w:val="292"/>
        </w:numPr>
        <w:rPr>
          <w:rFonts w:ascii="Arial" w:cs="Arial" w:eastAsia="Arial" w:hAnsi="Arial"/>
          <w:sz w:val="20"/>
          <w:szCs w:val="20"/>
          <w:color w:val="auto"/>
        </w:rPr>
      </w:pPr>
      <w:r>
        <w:rPr>
          <w:rFonts w:ascii="Arial" w:cs="Arial" w:eastAsia="Arial" w:hAnsi="Arial"/>
          <w:sz w:val="20"/>
          <w:szCs w:val="20"/>
          <w:u w:val="single" w:color="auto"/>
          <w:color w:val="auto"/>
        </w:rPr>
        <w:t>Reconciliation</w:t>
      </w:r>
      <w:r>
        <w:rPr>
          <w:rFonts w:ascii="Arial" w:cs="Arial" w:eastAsia="Arial" w:hAnsi="Arial"/>
          <w:sz w:val="20"/>
          <w:szCs w:val="20"/>
          <w:color w:val="auto"/>
        </w:rPr>
        <w:t xml:space="preserve">. Simultaneously with the delivery of each set of consolidated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the related consolidating financial statements reflecting the adjustments necessary to eliminate the accounts of Unrestricted Subsidiaries (if any) from such consolidated financial statements.</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 xml:space="preserve">Notwithstanding the foregoing, the obligations in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w:t>
      </w:r>
    </w:p>
    <w:p>
      <w:pPr>
        <w:spacing w:after="0" w:line="15" w:lineRule="exact"/>
        <w:rPr>
          <w:sz w:val="20"/>
          <w:szCs w:val="20"/>
          <w:color w:val="auto"/>
        </w:rPr>
      </w:pPr>
    </w:p>
    <w:p>
      <w:pPr>
        <w:ind w:left="520" w:hanging="387"/>
        <w:spacing w:after="0"/>
        <w:tabs>
          <w:tab w:leader="none" w:pos="520" w:val="left"/>
        </w:tabs>
        <w:numPr>
          <w:ilvl w:val="0"/>
          <w:numId w:val="293"/>
        </w:numPr>
        <w:rPr>
          <w:rFonts w:ascii="Arial" w:cs="Arial" w:eastAsia="Arial" w:hAnsi="Arial"/>
          <w:sz w:val="20"/>
          <w:szCs w:val="20"/>
          <w:u w:val="single" w:color="auto"/>
          <w:color w:val="auto"/>
        </w:rPr>
      </w:pPr>
      <w:r>
        <w:rPr>
          <w:rFonts w:ascii="Arial" w:cs="Arial" w:eastAsia="Arial" w:hAnsi="Arial"/>
          <w:sz w:val="20"/>
          <w:szCs w:val="20"/>
          <w:color w:val="auto"/>
        </w:rPr>
        <w:t>may be satisfied with respect to financial information of Holdings and its Subsidiaries by furnishing</w:t>
      </w:r>
    </w:p>
    <w:p>
      <w:pPr>
        <w:jc w:val="both"/>
        <w:ind w:left="140" w:hanging="6"/>
        <w:spacing w:after="0" w:line="270" w:lineRule="auto"/>
        <w:tabs>
          <w:tab w:leader="none" w:pos="65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the applicable consolidated financial statements of any direct or indirect parent of Holdings that, directly or indirectly, holds all of the Capital Stock of Holdings or (B) Holdings’ (or any direct or indirect parent thereof, as applicable) Form 10-K or 10-Q, as applicable, filed with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Holdings and its Restricted Subsidiaries on a standalone basis, on the other hand and (ii) to the extent such information is in lieu of information required to be provided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such materials are accompanied by a report and opinion an independent registered public accounting firm of nationally recognized standing, which report and opinion, subject to the same exceptions set forth above in </w:t>
      </w:r>
      <w:r>
        <w:rPr>
          <w:rFonts w:ascii="Arial" w:cs="Arial" w:eastAsia="Arial" w:hAnsi="Arial"/>
          <w:sz w:val="18"/>
          <w:szCs w:val="18"/>
          <w:u w:val="single" w:color="auto"/>
          <w:color w:val="auto"/>
        </w:rPr>
        <w:t>Section 6.01</w:t>
      </w:r>
      <w:r>
        <w:rPr>
          <w:rFonts w:ascii="Arial" w:cs="Arial" w:eastAsia="Arial" w:hAnsi="Arial"/>
          <w:sz w:val="18"/>
          <w:szCs w:val="18"/>
          <w:color w:val="auto"/>
        </w:rPr>
        <w:t>, shall be prepared in accordance with generally accepted auditing standards.</w:t>
      </w:r>
    </w:p>
    <w:p>
      <w:pPr>
        <w:spacing w:after="0" w:line="214"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 xml:space="preserve">Any information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shall not be required to include acquisition method accounting adjustments relating to the Transactions (if</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-279-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09" w:name="page410"/>
    <w:bookmarkEnd w:id="40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applicable) or any Permitted Investment to the extent it is not practicable to include any such adjustments in such financial statement.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-280-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680"/>
          </w:cols>
          <w:pgMar w:left="320" w:top="121" w:right="899" w:bottom="1440" w:gutter="0" w:footer="0" w:header="0"/>
        </w:sectPr>
      </w:pPr>
    </w:p>
    <w:bookmarkStart w:id="410" w:name="page411"/>
    <w:bookmarkEnd w:id="41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for prompt further distribution to each</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Lender:</w:t>
      </w:r>
    </w:p>
    <w:p>
      <w:pPr>
        <w:spacing w:after="0" w:line="240" w:lineRule="exact"/>
        <w:rPr>
          <w:sz w:val="20"/>
          <w:szCs w:val="20"/>
          <w:color w:val="auto"/>
        </w:rPr>
      </w:pPr>
    </w:p>
    <w:p>
      <w:pPr>
        <w:ind w:left="780" w:right="20" w:firstLine="650"/>
        <w:spacing w:after="0" w:line="316" w:lineRule="auto"/>
        <w:tabs>
          <w:tab w:leader="none" w:pos="1943"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No later than five (5) Business Days after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the Borrower;</w:t>
      </w:r>
    </w:p>
    <w:p>
      <w:pPr>
        <w:spacing w:after="0" w:line="156" w:lineRule="exact"/>
        <w:rPr>
          <w:rFonts w:ascii="Arial" w:cs="Arial" w:eastAsia="Arial" w:hAnsi="Arial"/>
          <w:sz w:val="18"/>
          <w:szCs w:val="18"/>
          <w:color w:val="auto"/>
        </w:rPr>
      </w:pPr>
    </w:p>
    <w:p>
      <w:pPr>
        <w:jc w:val="both"/>
        <w:ind w:left="780" w:firstLine="650"/>
        <w:spacing w:after="0" w:line="260" w:lineRule="auto"/>
        <w:tabs>
          <w:tab w:leader="none" w:pos="1941" w:val="left"/>
        </w:tabs>
        <w:numPr>
          <w:ilvl w:val="1"/>
          <w:numId w:val="294"/>
        </w:numPr>
        <w:rPr>
          <w:rFonts w:ascii="Arial" w:cs="Arial" w:eastAsia="Arial" w:hAnsi="Arial"/>
          <w:sz w:val="19"/>
          <w:szCs w:val="19"/>
          <w:color w:val="auto"/>
        </w:rPr>
      </w:pPr>
      <w:r>
        <w:rPr>
          <w:rFonts w:ascii="Arial" w:cs="Arial" w:eastAsia="Arial" w:hAnsi="Arial"/>
          <w:sz w:val="19"/>
          <w:szCs w:val="19"/>
          <w:u w:val="single" w:color="auto"/>
          <w:color w:val="auto"/>
        </w:rPr>
        <w:t>SEC Filings</w:t>
      </w:r>
      <w:r>
        <w:rPr>
          <w:rFonts w:ascii="Arial" w:cs="Arial" w:eastAsia="Arial" w:hAnsi="Arial"/>
          <w:sz w:val="19"/>
          <w:szCs w:val="19"/>
          <w:color w:val="auto"/>
        </w:rPr>
        <w:t>. Promptly after the same are publicly available, copies of all annual, regular, periodic and special reports and registration statements which the Borrower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220" w:lineRule="exact"/>
        <w:rPr>
          <w:rFonts w:ascii="Arial" w:cs="Arial" w:eastAsia="Arial" w:hAnsi="Arial"/>
          <w:sz w:val="19"/>
          <w:szCs w:val="19"/>
          <w:color w:val="auto"/>
        </w:rPr>
      </w:pPr>
    </w:p>
    <w:p>
      <w:pPr>
        <w:jc w:val="both"/>
        <w:ind w:left="780" w:firstLine="650"/>
        <w:spacing w:after="0" w:line="250" w:lineRule="auto"/>
        <w:tabs>
          <w:tab w:leader="none" w:pos="1943" w:val="left"/>
        </w:tabs>
        <w:numPr>
          <w:ilvl w:val="1"/>
          <w:numId w:val="294"/>
        </w:numPr>
        <w:rPr>
          <w:rFonts w:ascii="Arial" w:cs="Arial" w:eastAsia="Arial" w:hAnsi="Arial"/>
          <w:sz w:val="20"/>
          <w:szCs w:val="20"/>
          <w:color w:val="auto"/>
        </w:rPr>
      </w:pPr>
      <w:r>
        <w:rPr>
          <w:rFonts w:ascii="Arial" w:cs="Arial" w:eastAsia="Arial" w:hAnsi="Arial"/>
          <w:sz w:val="20"/>
          <w:szCs w:val="20"/>
          <w:u w:val="single" w:color="auto"/>
          <w:color w:val="auto"/>
        </w:rPr>
        <w:t>Material Notices</w:t>
      </w:r>
      <w:r>
        <w:rPr>
          <w:rFonts w:ascii="Arial" w:cs="Arial" w:eastAsia="Arial" w:hAnsi="Arial"/>
          <w:sz w:val="20"/>
          <w:szCs w:val="20"/>
          <w:color w:val="auto"/>
        </w:rPr>
        <w:t>. Promptly after the furnishing thereof, copies of any material requests or material notices received by any Loan Party or any of its Restricted Subsidiaries (other than in the ordinary course of business) that could reasonably be expected to result in a Material Adverse Effect;</w:t>
      </w:r>
    </w:p>
    <w:p>
      <w:pPr>
        <w:spacing w:after="0" w:line="226" w:lineRule="exact"/>
        <w:rPr>
          <w:rFonts w:ascii="Arial" w:cs="Arial" w:eastAsia="Arial" w:hAnsi="Arial"/>
          <w:sz w:val="20"/>
          <w:szCs w:val="20"/>
          <w:color w:val="auto"/>
        </w:rPr>
      </w:pPr>
    </w:p>
    <w:p>
      <w:pPr>
        <w:jc w:val="both"/>
        <w:ind w:left="780" w:firstLine="649"/>
        <w:spacing w:after="0" w:line="257" w:lineRule="auto"/>
        <w:tabs>
          <w:tab w:leader="none" w:pos="1941" w:val="left"/>
        </w:tabs>
        <w:numPr>
          <w:ilvl w:val="1"/>
          <w:numId w:val="294"/>
        </w:numPr>
        <w:rPr>
          <w:rFonts w:ascii="Arial" w:cs="Arial" w:eastAsia="Arial" w:hAnsi="Arial"/>
          <w:sz w:val="19"/>
          <w:szCs w:val="19"/>
          <w:color w:val="auto"/>
        </w:rPr>
      </w:pPr>
      <w:r>
        <w:rPr>
          <w:rFonts w:ascii="Arial" w:cs="Arial" w:eastAsia="Arial" w:hAnsi="Arial"/>
          <w:sz w:val="19"/>
          <w:szCs w:val="19"/>
          <w:u w:val="single" w:color="auto"/>
          <w:color w:val="auto"/>
        </w:rPr>
        <w:t>Other Required Information</w:t>
      </w:r>
      <w:r>
        <w:rPr>
          <w:rFonts w:ascii="Arial" w:cs="Arial" w:eastAsia="Arial" w:hAnsi="Arial"/>
          <w:sz w:val="19"/>
          <w:szCs w:val="19"/>
          <w:color w:val="auto"/>
        </w:rPr>
        <w:t xml:space="preserve">. Together with the delivery of the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each Compliance Certificate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(i) a report setting forth the information required by Section 4(b) of the Security Agreement or confirming that there has been no change in such information since the Closing Date or the date of the last Compliance Certificate, (ii) a description of each event, condition or circumstance during the last fiscal quarter covered by such Compliance Certificate requiring a prepayment under </w:t>
      </w:r>
      <w:r>
        <w:rPr>
          <w:rFonts w:ascii="Arial" w:cs="Arial" w:eastAsia="Arial" w:hAnsi="Arial"/>
          <w:sz w:val="19"/>
          <w:szCs w:val="19"/>
          <w:u w:val="single" w:color="auto"/>
          <w:color w:val="auto"/>
        </w:rPr>
        <w:t>Section 2.05(b)</w:t>
      </w:r>
      <w:r>
        <w:rPr>
          <w:rFonts w:ascii="Arial" w:cs="Arial" w:eastAsia="Arial" w:hAnsi="Arial"/>
          <w:sz w:val="19"/>
          <w:szCs w:val="19"/>
          <w:color w:val="auto"/>
        </w:rPr>
        <w:t>, (iii) a list of Subsidiaries that identifies each Subsidiary as a Material Subsidiary or an Immaterial Subsidiary as of the date of delivery of such Compliance Certificate or a confirmation that there is no change in such information since the later of the Closing Date or the date of the last such list and (iv) such other information required by the Compliance Certificate;</w:t>
      </w:r>
    </w:p>
    <w:p>
      <w:pPr>
        <w:spacing w:after="0" w:line="207" w:lineRule="exact"/>
        <w:rPr>
          <w:rFonts w:ascii="Arial" w:cs="Arial" w:eastAsia="Arial" w:hAnsi="Arial"/>
          <w:sz w:val="19"/>
          <w:szCs w:val="19"/>
          <w:color w:val="auto"/>
        </w:rPr>
      </w:pPr>
    </w:p>
    <w:p>
      <w:pPr>
        <w:jc w:val="both"/>
        <w:ind w:left="780" w:right="20" w:firstLine="650"/>
        <w:spacing w:after="0" w:line="250" w:lineRule="auto"/>
        <w:tabs>
          <w:tab w:leader="none" w:pos="1943" w:val="left"/>
        </w:tabs>
        <w:numPr>
          <w:ilvl w:val="1"/>
          <w:numId w:val="294"/>
        </w:numPr>
        <w:rPr>
          <w:rFonts w:ascii="Arial" w:cs="Arial" w:eastAsia="Arial" w:hAnsi="Arial"/>
          <w:sz w:val="20"/>
          <w:szCs w:val="20"/>
          <w:color w:val="auto"/>
        </w:rPr>
      </w:pPr>
      <w:r>
        <w:rPr>
          <w:rFonts w:ascii="Arial" w:cs="Arial" w:eastAsia="Arial" w:hAnsi="Arial"/>
          <w:sz w:val="20"/>
          <w:szCs w:val="20"/>
          <w:u w:val="single" w:color="auto"/>
          <w:color w:val="auto"/>
        </w:rPr>
        <w:t>Annual Budget</w:t>
      </w:r>
      <w:r>
        <w:rPr>
          <w:rFonts w:ascii="Arial" w:cs="Arial" w:eastAsia="Arial" w:hAnsi="Arial"/>
          <w:sz w:val="20"/>
          <w:szCs w:val="20"/>
          <w:color w:val="auto"/>
        </w:rPr>
        <w:t xml:space="preserve">. Prior to the consummation of an IPO, concurrently with the delivery of any financial statements under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above, an annual budget (on a quarterly basis) for such fiscal year in form customarily prepared by the Borrower; and</w:t>
      </w:r>
    </w:p>
    <w:p>
      <w:pPr>
        <w:spacing w:after="0" w:line="226" w:lineRule="exact"/>
        <w:rPr>
          <w:rFonts w:ascii="Arial" w:cs="Arial" w:eastAsia="Arial" w:hAnsi="Arial"/>
          <w:sz w:val="20"/>
          <w:szCs w:val="20"/>
          <w:color w:val="auto"/>
        </w:rPr>
      </w:pPr>
    </w:p>
    <w:p>
      <w:pPr>
        <w:jc w:val="both"/>
        <w:ind w:left="780" w:firstLine="650"/>
        <w:spacing w:after="0" w:line="269" w:lineRule="auto"/>
        <w:tabs>
          <w:tab w:leader="none" w:pos="1948"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provided that none of Holdings, the Borrower nor any other Restricted Subsidiary will be required to disclose or permit the inspection or discussion of any document, information or other matter (i) that constitutes non- financial trade secrets or non-financial proprietary information,</w:t>
      </w:r>
    </w:p>
    <w:p>
      <w:pPr>
        <w:spacing w:after="0" w:line="3" w:lineRule="exact"/>
        <w:rPr>
          <w:rFonts w:ascii="Arial" w:cs="Arial" w:eastAsia="Arial" w:hAnsi="Arial"/>
          <w:sz w:val="18"/>
          <w:szCs w:val="18"/>
          <w:color w:val="auto"/>
        </w:rPr>
      </w:pPr>
    </w:p>
    <w:p>
      <w:pPr>
        <w:ind w:left="780" w:firstLine="2"/>
        <w:spacing w:after="0" w:line="297" w:lineRule="auto"/>
        <w:tabs>
          <w:tab w:leader="none" w:pos="107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87" w:lineRule="exact"/>
        <w:rPr>
          <w:sz w:val="20"/>
          <w:szCs w:val="20"/>
          <w:color w:val="auto"/>
        </w:rPr>
      </w:pPr>
    </w:p>
    <w:p>
      <w:pPr>
        <w:jc w:val="both"/>
        <w:ind w:left="140" w:right="20" w:firstLine="1296"/>
        <w:spacing w:after="0" w:line="250"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may be delivered electronically and if so delivered, shall be deemed to have been delivered on the date (i) on which the Borrower posts such documents, or provides a link thereto 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-281-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1" w:name="page412"/>
    <w:bookmarkEnd w:id="41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 xml:space="preserve">Holdings’ or the Borrower’s website on the Internet at the website address listed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(ii) on which such documents are posted on the Borrower’s behalf on IntraLinks/IntraAgency or another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-282-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12" w:name="page413"/>
    <w:bookmarkEnd w:id="41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8" w:lineRule="auto"/>
        <w:rPr>
          <w:sz w:val="20"/>
          <w:szCs w:val="20"/>
          <w:color w:val="auto"/>
        </w:rPr>
      </w:pPr>
      <w:r>
        <w:rPr>
          <w:rFonts w:ascii="Arial" w:cs="Arial" w:eastAsia="Arial" w:hAnsi="Arial"/>
          <w:sz w:val="18"/>
          <w:szCs w:val="18"/>
          <w:color w:val="auto"/>
        </w:rPr>
        <w:t xml:space="preserve">relevant website, if any, to which each Lender and the Administrative Agent have access (whether a commercial, third-party website or whether sponsored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notify (which may be by facsimile or electronic mail) the Administrative Agent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Each Lender shall be solely responsible for timely accessing posted documents or requesting delivery of paper copies of such documents from the Administrative Agent and maintaining its copies of such documents.</w:t>
      </w:r>
    </w:p>
    <w:p>
      <w:pPr>
        <w:spacing w:after="0" w:line="205" w:lineRule="exact"/>
        <w:rPr>
          <w:sz w:val="20"/>
          <w:szCs w:val="20"/>
          <w:color w:val="auto"/>
        </w:rPr>
      </w:pPr>
    </w:p>
    <w:p>
      <w:pPr>
        <w:jc w:val="both"/>
        <w:ind w:left="140" w:firstLine="1296"/>
        <w:spacing w:after="0" w:line="267" w:lineRule="auto"/>
        <w:rPr>
          <w:sz w:val="20"/>
          <w:szCs w:val="20"/>
          <w:color w:val="auto"/>
        </w:rPr>
      </w:pPr>
      <w:r>
        <w:rPr>
          <w:rFonts w:ascii="Arial" w:cs="Arial" w:eastAsia="Arial" w:hAnsi="Arial"/>
          <w:sz w:val="18"/>
          <w:szCs w:val="18"/>
          <w:color w:val="auto"/>
        </w:rPr>
        <w:t>Holdings hereby acknowledges that (a) the Administrative Agent and/or the Lead Arranger will make available to the Lenders and the L/C Issuer materials and/or information provided by or on behalf of Holdings hereunder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Holdings or its Affiliates, or the respective securities of any of the foregoing, and who may be engaged in investment and other market-related activities with respect to such Persons’ securities. Holdings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Holdings shall be deemed to have authorized the Administrative Agent, the Lead Arranger, the L/C Issuer and the Lenders to treat such Borrower Materials as not containing any material non-public information (although it may be sensitive and proprietary) with respect to Holdings or its Affiliates or any of their respective securities for purposes of United States Federal and state securities laws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10.08</w:t>
      </w:r>
      <w:r>
        <w:rPr>
          <w:rFonts w:ascii="Arial" w:cs="Arial" w:eastAsia="Arial" w:hAnsi="Arial"/>
          <w:sz w:val="18"/>
          <w:szCs w:val="18"/>
          <w:color w:val="auto"/>
        </w:rPr>
        <w:t>);</w:t>
      </w:r>
    </w:p>
    <w:p>
      <w:pPr>
        <w:spacing w:after="0" w:line="6" w:lineRule="exact"/>
        <w:rPr>
          <w:sz w:val="20"/>
          <w:szCs w:val="20"/>
          <w:color w:val="auto"/>
        </w:rPr>
      </w:pPr>
    </w:p>
    <w:p>
      <w:pPr>
        <w:jc w:val="both"/>
        <w:ind w:left="140" w:hanging="7"/>
        <w:spacing w:after="0" w:line="281" w:lineRule="auto"/>
        <w:tabs>
          <w:tab w:leader="none" w:pos="65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spacing w:after="0" w:line="188" w:lineRule="exact"/>
        <w:rPr>
          <w:sz w:val="20"/>
          <w:szCs w:val="20"/>
          <w:color w:val="auto"/>
        </w:rPr>
      </w:pPr>
    </w:p>
    <w:p>
      <w:pPr>
        <w:ind w:left="140" w:right="20" w:firstLine="1296"/>
        <w:spacing w:after="0" w:line="260"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u w:val="single" w:color="auto"/>
          <w:color w:val="auto"/>
        </w:rPr>
        <w:t>Notices</w:t>
      </w:r>
      <w:r>
        <w:rPr>
          <w:rFonts w:ascii="Arial" w:cs="Arial" w:eastAsia="Arial" w:hAnsi="Arial"/>
          <w:sz w:val="20"/>
          <w:szCs w:val="20"/>
          <w:color w:val="auto"/>
        </w:rPr>
        <w:t>. Promptly after a Responsible Officer obtains actual knowledge thereof, notify the Administrative Agent for prompt further distribution to each Lender:</w:t>
      </w:r>
    </w:p>
    <w:p>
      <w:pPr>
        <w:spacing w:after="0" w:line="217" w:lineRule="exact"/>
        <w:rPr>
          <w:sz w:val="20"/>
          <w:szCs w:val="20"/>
          <w:color w:val="auto"/>
        </w:rPr>
      </w:pPr>
    </w:p>
    <w:p>
      <w:pPr>
        <w:ind w:left="780" w:firstLine="462"/>
        <w:spacing w:after="0" w:line="260" w:lineRule="auto"/>
        <w:tabs>
          <w:tab w:leader="none" w:pos="1941" w:val="left"/>
        </w:tabs>
        <w:numPr>
          <w:ilvl w:val="0"/>
          <w:numId w:val="297"/>
        </w:numPr>
        <w:rPr>
          <w:rFonts w:ascii="Arial" w:cs="Arial" w:eastAsia="Arial" w:hAnsi="Arial"/>
          <w:sz w:val="20"/>
          <w:szCs w:val="20"/>
          <w:color w:val="auto"/>
        </w:rPr>
      </w:pPr>
      <w:r>
        <w:rPr>
          <w:rFonts w:ascii="Arial" w:cs="Arial" w:eastAsia="Arial" w:hAnsi="Arial"/>
          <w:sz w:val="20"/>
          <w:szCs w:val="20"/>
          <w:color w:val="auto"/>
        </w:rPr>
        <w:t>of the occurrence of any Default, which notice shall specify the nature thereof, the period of existence thereof and what action Holdings proposes to take with respect thereto;</w:t>
      </w:r>
    </w:p>
    <w:p>
      <w:pPr>
        <w:spacing w:after="0" w:line="217" w:lineRule="exact"/>
        <w:rPr>
          <w:rFonts w:ascii="Arial" w:cs="Arial" w:eastAsia="Arial" w:hAnsi="Arial"/>
          <w:sz w:val="20"/>
          <w:szCs w:val="20"/>
          <w:color w:val="auto"/>
        </w:rPr>
      </w:pPr>
    </w:p>
    <w:p>
      <w:pPr>
        <w:jc w:val="both"/>
        <w:ind w:left="780" w:firstLine="407"/>
        <w:spacing w:after="0" w:line="250" w:lineRule="auto"/>
        <w:tabs>
          <w:tab w:leader="none" w:pos="194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any litigation or governmental proceeding (including, without limitation, pursuant to any Environmental Laws) pending against Holdings or any of the Subsidiaries that could reasonably be expected to be determined adversely and, if so determined, to result in a Material Adverse Effect; and</w:t>
      </w:r>
    </w:p>
    <w:p>
      <w:pPr>
        <w:spacing w:after="0" w:line="212" w:lineRule="exact"/>
        <w:rPr>
          <w:rFonts w:ascii="Arial" w:cs="Arial" w:eastAsia="Arial" w:hAnsi="Arial"/>
          <w:sz w:val="20"/>
          <w:szCs w:val="20"/>
          <w:color w:val="auto"/>
        </w:rPr>
      </w:pPr>
    </w:p>
    <w:p>
      <w:pPr>
        <w:ind w:left="780" w:firstLine="353"/>
        <w:spacing w:after="0" w:line="260" w:lineRule="auto"/>
        <w:tabs>
          <w:tab w:leader="none" w:pos="1941" w:val="left"/>
        </w:tabs>
        <w:numPr>
          <w:ilvl w:val="0"/>
          <w:numId w:val="297"/>
        </w:numPr>
        <w:rPr>
          <w:rFonts w:ascii="Arial" w:cs="Arial" w:eastAsia="Arial" w:hAnsi="Arial"/>
          <w:sz w:val="20"/>
          <w:szCs w:val="20"/>
          <w:color w:val="auto"/>
        </w:rPr>
      </w:pPr>
      <w:r>
        <w:rPr>
          <w:rFonts w:ascii="Arial" w:cs="Arial" w:eastAsia="Arial" w:hAnsi="Arial"/>
          <w:sz w:val="20"/>
          <w:szCs w:val="20"/>
          <w:color w:val="auto"/>
        </w:rPr>
        <w:t>of the occurrence of any ERISA Event or similar event with respect to a Foreign Plan that could reasonably be expected to have a Material Adverse Effect.</w:t>
      </w:r>
    </w:p>
    <w:p>
      <w:pPr>
        <w:spacing w:after="0" w:line="217" w:lineRule="exact"/>
        <w:rPr>
          <w:sz w:val="20"/>
          <w:szCs w:val="20"/>
          <w:color w:val="auto"/>
        </w:rPr>
      </w:pPr>
    </w:p>
    <w:p>
      <w:pPr>
        <w:jc w:val="both"/>
        <w:ind w:left="140" w:firstLine="1296"/>
        <w:spacing w:after="0" w:line="263"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Maintenance of Existence</w:t>
      </w:r>
      <w:r>
        <w:rPr>
          <w:rFonts w:ascii="Arial" w:cs="Arial" w:eastAsia="Arial" w:hAnsi="Arial"/>
          <w:sz w:val="19"/>
          <w:szCs w:val="19"/>
          <w:color w:val="auto"/>
        </w:rPr>
        <w:t xml:space="preserve">. (a) Preserve, renew and maintain in full force and effect its legal existence under the Laws of the jurisdiction of its organization or incorporation and (b) take all reasonable action to maintain all rights, privileges (including its good standing), permits, and licenses necessary or desirable in the normal conduct of its business,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(other than with respect to Holdings and the Borrower) and </w:t>
      </w:r>
      <w:r>
        <w:rPr>
          <w:rFonts w:ascii="Arial" w:cs="Arial" w:eastAsia="Arial" w:hAnsi="Arial"/>
          <w:sz w:val="19"/>
          <w:szCs w:val="19"/>
          <w:u w:val="single" w:color="auto"/>
          <w:color w:val="auto"/>
        </w:rPr>
        <w:t>(b)</w:t>
      </w:r>
      <w:r>
        <w:rPr>
          <w:rFonts w:ascii="Arial" w:cs="Arial" w:eastAsia="Arial" w:hAnsi="Arial"/>
          <w:sz w:val="19"/>
          <w:szCs w:val="19"/>
          <w:color w:val="auto"/>
        </w:rPr>
        <w:t>, (i) to the extent that failure to do so could</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-283-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3" w:name="page414"/>
    <w:bookmarkEnd w:id="41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not reasonably be expected to have a Material Adverse Effect or (ii) pursuant to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-284-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900"/>
          </w:cols>
          <w:pgMar w:left="320" w:top="121" w:right="679" w:bottom="1440" w:gutter="0" w:footer="0" w:header="0"/>
        </w:sectPr>
      </w:pPr>
    </w:p>
    <w:bookmarkStart w:id="414" w:name="page415"/>
    <w:bookmarkEnd w:id="41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(b) maintain, protect, preserve and renew all of its IP Rights and (c) make all necessary renewals, replacements, modifications, improvements, upgrades, extensions and additions thereof or thereto with respect to tangible properties in accordance with prudent industry practice.</w:t>
      </w:r>
    </w:p>
    <w:p>
      <w:pPr>
        <w:spacing w:after="0" w:line="236" w:lineRule="exact"/>
        <w:rPr>
          <w:sz w:val="20"/>
          <w:szCs w:val="20"/>
          <w:color w:val="auto"/>
        </w:rPr>
      </w:pPr>
    </w:p>
    <w:p>
      <w:pPr>
        <w:jc w:val="both"/>
        <w:ind w:left="140" w:firstLine="1296"/>
        <w:spacing w:after="0" w:line="26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Holdings and its Restricted Subsidiaries) as are customarily carried under similar circumstances by such other Persons.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to the extent required by applicable Laws, Holdings shall, or shall cause each Loan Party to,</w:t>
      </w:r>
    </w:p>
    <w:p>
      <w:pPr>
        <w:spacing w:after="0" w:line="3" w:lineRule="exact"/>
        <w:rPr>
          <w:sz w:val="20"/>
          <w:szCs w:val="20"/>
          <w:color w:val="auto"/>
        </w:rPr>
      </w:pPr>
    </w:p>
    <w:p>
      <w:pPr>
        <w:jc w:val="both"/>
        <w:ind w:left="140" w:hanging="6"/>
        <w:spacing w:after="0"/>
        <w:tabs>
          <w:tab w:leader="none" w:pos="651" w:val="left"/>
        </w:tabs>
        <w:numPr>
          <w:ilvl w:val="0"/>
          <w:numId w:val="298"/>
        </w:numPr>
        <w:rPr>
          <w:rFonts w:ascii="Arial" w:cs="Arial" w:eastAsia="Arial" w:hAnsi="Arial"/>
          <w:sz w:val="20"/>
          <w:szCs w:val="20"/>
          <w:color w:val="auto"/>
        </w:rPr>
      </w:pPr>
      <w:r>
        <w:rPr>
          <w:rFonts w:ascii="Arial" w:cs="Arial" w:eastAsia="Arial" w:hAnsi="Arial"/>
          <w:sz w:val="20"/>
          <w:szCs w:val="20"/>
          <w:color w:val="auto"/>
        </w:rPr>
        <w:t>maintain, or cause to be maintained, with a financially sound and reputable insurer, flood insurance in an amount sufficient to comply with all applicable rules and regulations promulgated pursuant to the Flood Insurance Laws and (ii) upon request, deliver to the Administrative Agent evidence of such compliance in form reasonably acceptable to the Administrative Agent. Any such insurance (excluding business interruption insurance) maintained in the United States or Canada shall name the Collateral Agent as additional insured or loss payee, as applicable.</w:t>
      </w:r>
    </w:p>
    <w:p>
      <w:pPr>
        <w:spacing w:after="0" w:line="225"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337" w:lineRule="exact"/>
        <w:rPr>
          <w:sz w:val="20"/>
          <w:szCs w:val="20"/>
          <w:color w:val="auto"/>
        </w:rPr>
      </w:pPr>
    </w:p>
    <w:p>
      <w:pPr>
        <w:jc w:val="both"/>
        <w:ind w:left="140" w:firstLine="1295"/>
        <w:spacing w:after="0" w:line="246" w:lineRule="auto"/>
        <w:rPr>
          <w:sz w:val="20"/>
          <w:szCs w:val="20"/>
          <w:color w:val="auto"/>
        </w:rPr>
      </w:pPr>
      <w:r>
        <w:rPr>
          <w:rFonts w:ascii="Arial" w:cs="Arial" w:eastAsia="Arial" w:hAnsi="Arial"/>
          <w:sz w:val="20"/>
          <w:szCs w:val="20"/>
          <w:color w:val="auto"/>
        </w:rPr>
        <w:t>Comply in all respects with the requirements of all Laws and all orders, writs, injunctions, decrees and judgments applicable to Holdings, the Borrower or any Subsidiary Guarantor or to their business or property (including without limitation Environmental Laws, ERISA, Anti-Corruption Laws and Sanctions), except if the failure to comply therewith could not reasonably be expected to have a Material Adverse Effect.</w:t>
      </w:r>
    </w:p>
    <w:p>
      <w:pPr>
        <w:spacing w:after="0" w:line="232"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Books and Records</w:t>
      </w:r>
      <w:r>
        <w:rPr>
          <w:rFonts w:ascii="Arial" w:cs="Arial" w:eastAsia="Arial" w:hAnsi="Arial"/>
          <w:sz w:val="20"/>
          <w:szCs w:val="20"/>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or such Subsidiary, as the case may be.</w:t>
      </w:r>
    </w:p>
    <w:p>
      <w:pPr>
        <w:spacing w:after="0" w:line="213"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Inspection Rights</w:t>
      </w:r>
      <w:r>
        <w:rPr>
          <w:rFonts w:ascii="Arial" w:cs="Arial" w:eastAsia="Arial" w:hAnsi="Arial"/>
          <w:sz w:val="19"/>
          <w:szCs w:val="19"/>
          <w:color w:val="auto"/>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Holdings;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and the Administrative Agent shall not exercise such rights more often than two (2) times during any calendar year absent the existence of an Event of Default and only one (1) such time shall be at the Borrower’s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exists, the Administrative Agent or any Lender (or any of their respective representatives or independent</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-285-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5" w:name="page416"/>
    <w:bookmarkEnd w:id="41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contractors) may do any of the foregoing at the expense of Holdings at any time during normal business hours and upon reasonable advance notice. The Administrative Agent and the Lenders shall give Holdings the opportunity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-286-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6" w:name="page417"/>
    <w:bookmarkEnd w:id="41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8" w:lineRule="auto"/>
        <w:rPr>
          <w:sz w:val="20"/>
          <w:szCs w:val="20"/>
          <w:color w:val="auto"/>
        </w:rPr>
      </w:pPr>
      <w:r>
        <w:rPr>
          <w:rFonts w:ascii="Arial" w:cs="Arial" w:eastAsia="Arial" w:hAnsi="Arial"/>
          <w:sz w:val="18"/>
          <w:szCs w:val="18"/>
          <w:color w:val="auto"/>
        </w:rPr>
        <w:t xml:space="preserve">to participate in any discussions with Holdings’ independent public accountants. Notwithstanding anything to the contrary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6.09</w:t>
      </w:r>
      <w:r>
        <w:rPr>
          <w:rFonts w:ascii="Arial" w:cs="Arial" w:eastAsia="Arial" w:hAnsi="Arial"/>
          <w:sz w:val="18"/>
          <w:szCs w:val="18"/>
          <w:color w:val="auto"/>
        </w:rPr>
        <w:t>, none of Holdings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205"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Covenant to Guarantee Secured Obligations and Give Security</w:t>
      </w:r>
      <w:r>
        <w:rPr>
          <w:rFonts w:ascii="Arial" w:cs="Arial" w:eastAsia="Arial" w:hAnsi="Arial"/>
          <w:sz w:val="20"/>
          <w:szCs w:val="20"/>
          <w:color w:val="auto"/>
        </w:rPr>
        <w:t>. At the Borrower’s expense, take all action necessary or reasonably requested by the Administrative Agent to ensure that the Collateral and Guarantee Requirement continues to be satisfied, including:</w:t>
      </w:r>
    </w:p>
    <w:p>
      <w:pPr>
        <w:spacing w:after="0" w:line="213" w:lineRule="exact"/>
        <w:rPr>
          <w:sz w:val="20"/>
          <w:szCs w:val="20"/>
          <w:color w:val="auto"/>
        </w:rPr>
      </w:pPr>
    </w:p>
    <w:p>
      <w:pPr>
        <w:jc w:val="both"/>
        <w:ind w:left="780" w:firstLine="649"/>
        <w:spacing w:after="0" w:line="291" w:lineRule="auto"/>
        <w:tabs>
          <w:tab w:leader="none" w:pos="194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upon the formation or acquisition of any new direct or indirect Wholly Owned Subsidiary (in each case, other than an Excluded Subsidiary) by any Loan Party, the designation in accordance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of any existing direct or indirect Wholly Owned Subsidiary as a Restricted Subsidiary or any Excluded Subsidiary ceasing to be an Excluded Subsidiary:</w:t>
      </w:r>
    </w:p>
    <w:p>
      <w:pPr>
        <w:spacing w:after="0" w:line="192" w:lineRule="exact"/>
        <w:rPr>
          <w:rFonts w:ascii="Arial" w:cs="Arial" w:eastAsia="Arial" w:hAnsi="Arial"/>
          <w:sz w:val="18"/>
          <w:szCs w:val="18"/>
          <w:color w:val="auto"/>
        </w:rPr>
      </w:pPr>
    </w:p>
    <w:p>
      <w:pPr>
        <w:ind w:left="1440" w:firstLine="839"/>
        <w:spacing w:after="0" w:line="260" w:lineRule="auto"/>
        <w:tabs>
          <w:tab w:leader="none" w:pos="2602" w:val="left"/>
        </w:tabs>
        <w:numPr>
          <w:ilvl w:val="1"/>
          <w:numId w:val="299"/>
        </w:numPr>
        <w:rPr>
          <w:rFonts w:ascii="Arial" w:cs="Arial" w:eastAsia="Arial" w:hAnsi="Arial"/>
          <w:sz w:val="20"/>
          <w:szCs w:val="20"/>
          <w:color w:val="auto"/>
        </w:rPr>
      </w:pPr>
      <w:r>
        <w:rPr>
          <w:rFonts w:ascii="Arial" w:cs="Arial" w:eastAsia="Arial" w:hAnsi="Arial"/>
          <w:sz w:val="20"/>
          <w:szCs w:val="20"/>
          <w:color w:val="auto"/>
        </w:rPr>
        <w:t>within sixty (60) days after such formation, acquisition, designation or occurrence or such longer period as the Administrative Agent may agree in its reasonable discretion:</w:t>
      </w:r>
    </w:p>
    <w:p>
      <w:pPr>
        <w:spacing w:after="0" w:line="217" w:lineRule="exact"/>
        <w:rPr>
          <w:rFonts w:ascii="Arial" w:cs="Arial" w:eastAsia="Arial" w:hAnsi="Arial"/>
          <w:sz w:val="20"/>
          <w:szCs w:val="20"/>
          <w:color w:val="auto"/>
        </w:rPr>
      </w:pPr>
    </w:p>
    <w:p>
      <w:pPr>
        <w:jc w:val="both"/>
        <w:ind w:left="2080" w:firstLine="540"/>
        <w:spacing w:after="0" w:line="278" w:lineRule="auto"/>
        <w:tabs>
          <w:tab w:leader="none" w:pos="324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cause each such Restricted Subsidiary to deliver any and all certificates representing Capital Stock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spacing w:after="0" w:line="191" w:lineRule="exact"/>
        <w:rPr>
          <w:rFonts w:ascii="Arial" w:cs="Arial" w:eastAsia="Arial" w:hAnsi="Arial"/>
          <w:sz w:val="18"/>
          <w:szCs w:val="18"/>
          <w:color w:val="auto"/>
        </w:rPr>
      </w:pPr>
    </w:p>
    <w:p>
      <w:pPr>
        <w:jc w:val="both"/>
        <w:ind w:left="2080" w:firstLine="486"/>
        <w:spacing w:after="0" w:line="257" w:lineRule="auto"/>
        <w:tabs>
          <w:tab w:leader="none" w:pos="3240" w:val="left"/>
        </w:tabs>
        <w:numPr>
          <w:ilvl w:val="2"/>
          <w:numId w:val="299"/>
        </w:numPr>
        <w:rPr>
          <w:rFonts w:ascii="Arial" w:cs="Arial" w:eastAsia="Arial" w:hAnsi="Arial"/>
          <w:sz w:val="19"/>
          <w:szCs w:val="19"/>
          <w:color w:val="auto"/>
        </w:rPr>
      </w:pPr>
      <w:r>
        <w:rPr>
          <w:rFonts w:ascii="Arial" w:cs="Arial" w:eastAsia="Arial" w:hAnsi="Arial"/>
          <w:sz w:val="19"/>
          <w:szCs w:val="19"/>
          <w:color w:val="auto"/>
        </w:rPr>
        <w:t>take and cause such Restricted Subsidiary and each direct or indirect parent of such Restricted Subsidiary that is required to become a Guarantor pursuant to the Collateral and Guarantee Requirement to take whatever action may be necessary in the reasonable opinion of the Collateral Agent to vest in the Collateral Agent (or in any representative of the Collateral Agent designated by it) valid and perfected first priority Liens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w:t>
      </w:r>
    </w:p>
    <w:p>
      <w:pPr>
        <w:spacing w:after="0" w:line="225"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Credit Extension (i) on the Closing Date, whether directly or indirectly, in a manner consistent with the uses set forth in the Preliminary Statements to this Agreement and (ii) after the Closing Date, whether directly or indirectly, for working capital, capital expenditures, other general corporate purposes (including the financing of Permitted Acquisitions, other Permitted Investments, working capital and/or purchase price adjustments, prepayments of Specified Indebtedness and related fees and expenses, and dividends and other distributions permitted under this Agreement) and any other use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-287-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7" w:name="page418"/>
    <w:bookmarkEnd w:id="41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6"/>
          <w:szCs w:val="16"/>
          <w:u w:val="single" w:color="auto"/>
          <w:color w:val="auto"/>
        </w:rPr>
        <w:t>Further Assurances and Post-Closing Covenants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70" w:lineRule="auto"/>
        <w:tabs>
          <w:tab w:leader="none" w:pos="195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set forth in clause (e) of the Collateral and Guarantee Requirement, notwithstanding anything to the contrary contained in this Agreement, nothing in this Agreement or any other Loan Document shall require the Borrower or Loan Party (A) to make any filings or take any actions to record or to perfect the Collateral Agent’s lien on or security interest in (x) any IP Rights other than UCC filings and the filing of documents effecting the recordation of security interests in the United States Copyright Office and United States Patent and Trademark Office or (y) any IP Rights subsisting outside of the United States or (B) to reimburse the Administrative Agent for any costs or expenses incurred in connection with making such filings or taking any other such action;</w:t>
      </w:r>
    </w:p>
    <w:p>
      <w:pPr>
        <w:spacing w:after="0" w:line="216" w:lineRule="exact"/>
        <w:rPr>
          <w:rFonts w:ascii="Arial" w:cs="Arial" w:eastAsia="Arial" w:hAnsi="Arial"/>
          <w:sz w:val="18"/>
          <w:szCs w:val="18"/>
          <w:color w:val="auto"/>
        </w:rPr>
      </w:pPr>
    </w:p>
    <w:p>
      <w:pPr>
        <w:ind w:left="220" w:firstLine="1291"/>
        <w:spacing w:after="0" w:line="260" w:lineRule="auto"/>
        <w:tabs>
          <w:tab w:leader="none" w:pos="1949" w:val="left"/>
        </w:tabs>
        <w:numPr>
          <w:ilvl w:val="0"/>
          <w:numId w:val="300"/>
        </w:numPr>
        <w:rPr>
          <w:rFonts w:ascii="Arial" w:cs="Arial" w:eastAsia="Arial" w:hAnsi="Arial"/>
          <w:sz w:val="20"/>
          <w:szCs w:val="20"/>
          <w:color w:val="auto"/>
        </w:rPr>
      </w:pPr>
      <w:r>
        <w:rPr>
          <w:rFonts w:ascii="Arial" w:cs="Arial" w:eastAsia="Arial" w:hAnsi="Arial"/>
          <w:sz w:val="20"/>
          <w:szCs w:val="20"/>
          <w:color w:val="auto"/>
        </w:rPr>
        <w:t xml:space="preserve">Within the time periods specified on </w:t>
      </w:r>
      <w:r>
        <w:rPr>
          <w:rFonts w:ascii="Arial" w:cs="Arial" w:eastAsia="Arial" w:hAnsi="Arial"/>
          <w:sz w:val="20"/>
          <w:szCs w:val="20"/>
          <w:u w:val="single" w:color="auto"/>
          <w:color w:val="auto"/>
        </w:rPr>
        <w:t>Schedule 6.12</w:t>
      </w:r>
      <w:r>
        <w:rPr>
          <w:rFonts w:ascii="Arial" w:cs="Arial" w:eastAsia="Arial" w:hAnsi="Arial"/>
          <w:sz w:val="20"/>
          <w:szCs w:val="20"/>
          <w:color w:val="auto"/>
        </w:rPr>
        <w:t xml:space="preserve"> hereto (as each may be extended by the Administrative Agent in its reasonable discretion), complete such undertakings as are set forth on </w:t>
      </w:r>
      <w:r>
        <w:rPr>
          <w:rFonts w:ascii="Arial" w:cs="Arial" w:eastAsia="Arial" w:hAnsi="Arial"/>
          <w:sz w:val="20"/>
          <w:szCs w:val="20"/>
          <w:u w:val="single" w:color="auto"/>
          <w:color w:val="auto"/>
        </w:rPr>
        <w:t>Schedule 6.12</w:t>
      </w:r>
      <w:r>
        <w:rPr>
          <w:rFonts w:ascii="Arial" w:cs="Arial" w:eastAsia="Arial" w:hAnsi="Arial"/>
          <w:sz w:val="20"/>
          <w:szCs w:val="20"/>
          <w:color w:val="auto"/>
        </w:rPr>
        <w:t xml:space="preserve"> hereto.</w:t>
      </w:r>
    </w:p>
    <w:p>
      <w:pPr>
        <w:spacing w:after="0" w:line="285"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6"/>
          <w:szCs w:val="16"/>
          <w:u w:val="single" w:color="auto"/>
          <w:color w:val="auto"/>
        </w:rPr>
        <w:t>Designation of Restricted and Unrestricted Subsidiaries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57" w:lineRule="auto"/>
        <w:tabs>
          <w:tab w:leader="none" w:pos="1952"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The Borrower may designate any Restricted Subsidiary to be an Unrestricted Subsidiary if that designation would not cause an Event of Default. If a Restricted Subsidiary is designated as an Unrestricted Subsidiary, the aggregate fair market value of all outstanding Investments owned by Holdings and its Restricted Subsidiaries in the Subsidiary designated as an Unrestricted Subsidiary will be deemed to be an Investment made as of the time of the designation and will reduce the amount available for Restricted Payments pursuant to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or under one or more clauses of the definition of Permitted Investments, as determined by the Borrower. That designation will only be permitted if the Investment would be permitted at that time and if the Restricted Subsidiary otherwise meets the definition of an Unrestricted Subsidiary. Notwithstanding the foregoing, no Subsidiary may be designated an Unrestricted Subsidiary if such Subsidiary owns any Material Intellectual Property.</w:t>
      </w:r>
    </w:p>
    <w:p>
      <w:pPr>
        <w:spacing w:after="0" w:line="207" w:lineRule="exact"/>
        <w:rPr>
          <w:rFonts w:ascii="Arial" w:cs="Arial" w:eastAsia="Arial" w:hAnsi="Arial"/>
          <w:sz w:val="19"/>
          <w:szCs w:val="19"/>
          <w:color w:val="auto"/>
        </w:rPr>
      </w:pPr>
    </w:p>
    <w:p>
      <w:pPr>
        <w:jc w:val="both"/>
        <w:ind w:left="220" w:firstLine="1290"/>
        <w:spacing w:after="0" w:line="250" w:lineRule="auto"/>
        <w:tabs>
          <w:tab w:leader="none" w:pos="1948"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Any designation of a Subsidiary of the Borrower as an Unrestricted Subsidiary will be evidenced to the Administrative Agent by an Officer’s Certificate certifying that such designation complies with the preceding conditions and was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93" w:lineRule="exact"/>
        <w:rPr>
          <w:rFonts w:ascii="Arial" w:cs="Arial" w:eastAsia="Arial" w:hAnsi="Arial"/>
          <w:sz w:val="20"/>
          <w:szCs w:val="20"/>
          <w:color w:val="auto"/>
        </w:rPr>
      </w:pPr>
    </w:p>
    <w:p>
      <w:pPr>
        <w:jc w:val="both"/>
        <w:ind w:left="220" w:firstLine="1290"/>
        <w:spacing w:after="0" w:line="274" w:lineRule="auto"/>
        <w:tabs>
          <w:tab w:leader="none" w:pos="19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Borrower may at any time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will be deemed to be an incurrence of Indebtedness by a Restricted Subsidiary of any outstanding Indebtedness of such Unrestricted Subsidiary, and such designation will only be permitted if (1) such Indebtedness is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(including pursuant to </w:t>
      </w:r>
      <w:r>
        <w:rPr>
          <w:rFonts w:ascii="Arial" w:cs="Arial" w:eastAsia="Arial" w:hAnsi="Arial"/>
          <w:sz w:val="18"/>
          <w:szCs w:val="18"/>
          <w:u w:val="single" w:color="auto"/>
          <w:color w:val="auto"/>
        </w:rPr>
        <w:t>Section 7.03(b)(v)</w:t>
      </w:r>
      <w:r>
        <w:rPr>
          <w:rFonts w:ascii="Arial" w:cs="Arial" w:eastAsia="Arial" w:hAnsi="Arial"/>
          <w:sz w:val="18"/>
          <w:szCs w:val="18"/>
          <w:color w:val="auto"/>
        </w:rPr>
        <w:t xml:space="preserve"> treating such redesignation as an acquisition for the purpose of such clause (v)), calculated on a pro forma basis as if such designation had occurred at the beginning of the applicable reference period; and (2) no Event of Default would be in existence following such designation. Any such designation by the Borrower shall be evidenced to the Administrative Agent by an Officer’s Certificate certifying that such designation complies with the preceding conditions.</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-288-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-289-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19" w:name="page420"/>
    <w:bookmarkEnd w:id="41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Holdings will pay and discharge or cause to paid and discharged,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Holdings or any of the Restricted Subsidiaries not otherwise permitted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Holdings nor any of the Restricted Subsidiaries shall be required to pay or cause to be paid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w:t>
      </w:r>
    </w:p>
    <w:p>
      <w:pPr>
        <w:spacing w:after="0" w:line="209"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Lender Calls</w:t>
      </w:r>
      <w:r>
        <w:rPr>
          <w:rFonts w:ascii="Arial" w:cs="Arial" w:eastAsia="Arial" w:hAnsi="Arial"/>
          <w:sz w:val="19"/>
          <w:szCs w:val="19"/>
          <w:color w:val="auto"/>
        </w:rPr>
        <w:t xml:space="preserve">. Holdings will hold a conference call (at a time mutually agreed upon by Holdings and the Administrative Agent but, in any event, no earlier than the Business Day following the delivery of applicable financial information pursuant to Sections 6.01(a) and (b) above) with all Lenders who choose to attend such conference call to discuss the results of the previous fiscal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the requirement set forth in this Section 6.16 may be satisfied with an earnings call held for the benefit of the Borrower’s securities holders that is open to the Lenders.</w:t>
      </w:r>
    </w:p>
    <w:p>
      <w:pPr>
        <w:spacing w:after="0" w:line="207"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Section 6.16 </w:t>
      </w:r>
      <w:r>
        <w:rPr>
          <w:rFonts w:ascii="Arial" w:cs="Arial" w:eastAsia="Arial" w:hAnsi="Arial"/>
          <w:sz w:val="20"/>
          <w:szCs w:val="20"/>
          <w:u w:val="single" w:color="auto"/>
          <w:color w:val="auto"/>
        </w:rPr>
        <w:t>Maintenance of Ratings</w:t>
      </w:r>
      <w:r>
        <w:rPr>
          <w:rFonts w:ascii="Arial" w:cs="Arial" w:eastAsia="Arial" w:hAnsi="Arial"/>
          <w:sz w:val="20"/>
          <w:szCs w:val="20"/>
          <w:color w:val="auto"/>
        </w:rPr>
        <w:t xml:space="preserve">. The Borrower will use commercially reasonable efforts to obtain and to maintain public corporate credit facility ratings in respect of the Initial Term Loans and corporate family ratings in respect of the Borrower, in each case, from Moody’s and S&amp;P; </w:t>
      </w:r>
      <w:r>
        <w:rPr>
          <w:rFonts w:ascii="Arial" w:cs="Arial" w:eastAsia="Arial" w:hAnsi="Arial"/>
          <w:sz w:val="20"/>
          <w:szCs w:val="20"/>
          <w:i w:val="1"/>
          <w:iCs w:val="1"/>
          <w:color w:val="auto"/>
        </w:rPr>
        <w:t>provided, however</w:t>
      </w:r>
      <w:r>
        <w:rPr>
          <w:rFonts w:ascii="Arial" w:cs="Arial" w:eastAsia="Arial" w:hAnsi="Arial"/>
          <w:sz w:val="20"/>
          <w:szCs w:val="20"/>
          <w:color w:val="auto"/>
        </w:rPr>
        <w:t>, in each case, that the Borrower shall not be required to obtain or maintain any specific rating.</w:t>
      </w:r>
    </w:p>
    <w:p>
      <w:pPr>
        <w:spacing w:after="0" w:line="232" w:lineRule="exact"/>
        <w:rPr>
          <w:sz w:val="20"/>
          <w:szCs w:val="20"/>
          <w:color w:val="auto"/>
        </w:rPr>
      </w:pPr>
    </w:p>
    <w:p>
      <w:pPr>
        <w:jc w:val="both"/>
        <w:ind w:left="140" w:firstLine="1296"/>
        <w:spacing w:after="0" w:line="272"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Anti-Terrorism; Sanctions; Anti-Corruption.</w:t>
      </w:r>
      <w:r>
        <w:rPr>
          <w:rFonts w:ascii="Arial" w:cs="Arial" w:eastAsia="Arial" w:hAnsi="Arial"/>
          <w:sz w:val="18"/>
          <w:szCs w:val="18"/>
          <w:color w:val="auto"/>
        </w:rPr>
        <w:t>Comply in all material respects with all applicable Sanctions, Anti-Corruption Laws and Anti-Terrorism Laws;(i) Not repay the Loans, or make any other payment to any Lender, using funds or properties of Holdings, the Borrower or any Restricted Subsidiaries that are, to the knowledge of the Borrower, the property of any Person that is the subject or target of applicable Sanctions or that are, to the knowledge of the Borrower, beneficially owned, directly or indirectly, by any Person that is the subject or target of applicable Sanctions, in each case, that would cause a violation of Anti-Terrorism Laws or applicable Sanctions or any other applicable Requirement of Law by any Person participating in the Loans or Letters of Credit, or (ii) to the knowledge of Borrower, not permit any Person that is the subject of Sanctions to have any direct or indirect interest, in Holdings, the Borrower or any of the Subsidiaries, with the result that the investment in Holdings, the Borrower or any of the Subsidiaries (whether directly or indirectly) or the Loans made by the Lenders would be in violation of any applicable Sanctions.</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VII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Negative Covenants</w:t>
      </w:r>
    </w:p>
    <w:p>
      <w:pPr>
        <w:spacing w:after="0" w:line="324" w:lineRule="exact"/>
        <w:rPr>
          <w:sz w:val="20"/>
          <w:szCs w:val="20"/>
          <w:color w:val="auto"/>
        </w:rPr>
      </w:pPr>
    </w:p>
    <w:p>
      <w:pPr>
        <w:jc w:val="both"/>
        <w:ind w:left="140" w:firstLine="1295"/>
        <w:spacing w:after="0" w:line="244" w:lineRule="auto"/>
        <w:rPr>
          <w:sz w:val="20"/>
          <w:szCs w:val="20"/>
          <w:color w:val="auto"/>
        </w:rPr>
      </w:pPr>
      <w:r>
        <w:rPr>
          <w:rFonts w:ascii="Arial" w:cs="Arial" w:eastAsia="Arial" w:hAnsi="Arial"/>
          <w:sz w:val="20"/>
          <w:szCs w:val="20"/>
          <w:color w:val="auto"/>
        </w:rPr>
        <w:t>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w:t>
      </w:r>
    </w:p>
    <w:p>
      <w:pPr>
        <w:spacing w:after="0" w:line="235"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-290-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-291-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21" w:name="page422"/>
    <w:bookmarkEnd w:id="42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49"/>
        <w:spacing w:after="0" w:line="250" w:lineRule="auto"/>
        <w:tabs>
          <w:tab w:leader="none" w:pos="1945"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Borrower shall not, and shall not permit any Restricted Subsidiary to, directly or indirectly, create, Incur or permit to exist any Lien on any asset or property of the Borrower or any Restricted Subsidiary, unless such Lien is a Permitted Lien.</w:t>
      </w:r>
    </w:p>
    <w:p>
      <w:pPr>
        <w:spacing w:after="0" w:line="226" w:lineRule="exact"/>
        <w:rPr>
          <w:rFonts w:ascii="Arial" w:cs="Arial" w:eastAsia="Arial" w:hAnsi="Arial"/>
          <w:sz w:val="20"/>
          <w:szCs w:val="20"/>
          <w:color w:val="auto"/>
        </w:rPr>
      </w:pPr>
    </w:p>
    <w:p>
      <w:pPr>
        <w:jc w:val="both"/>
        <w:ind w:left="780" w:firstLine="650"/>
        <w:spacing w:after="0" w:line="243" w:lineRule="auto"/>
        <w:tabs>
          <w:tab w:leader="none" w:pos="194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0"/>
          <w:szCs w:val="20"/>
          <w:u w:val="single" w:color="auto"/>
          <w:color w:val="auto"/>
        </w:rPr>
        <w:t>Increased Amount</w:t>
      </w:r>
      <w:r>
        <w:rPr>
          <w:rFonts w:ascii="Arial" w:cs="Arial" w:eastAsia="Arial" w:hAnsi="Arial"/>
          <w:sz w:val="20"/>
          <w:szCs w:val="20"/>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220"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2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337" w:lineRule="exact"/>
        <w:rPr>
          <w:sz w:val="20"/>
          <w:szCs w:val="20"/>
          <w:color w:val="auto"/>
        </w:rPr>
      </w:pPr>
    </w:p>
    <w:p>
      <w:pPr>
        <w:jc w:val="both"/>
        <w:ind w:left="780" w:firstLine="649"/>
        <w:spacing w:after="0" w:line="268" w:lineRule="auto"/>
        <w:tabs>
          <w:tab w:leader="none" w:pos="1945"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Borrower shall not, and shall not permit any of the Restricted Subsidiaries to, Incur any Indebtedness (including Acquired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Borrower and any of the Restricted Subsidiaries may Incur additional Indebtedness (including Acquired Indebtedness) for any purpose, in an aggregate principal amount equal to the sum of any unused portion of the (1) Unrestricted Incremental Amount and (2) additional unlimited amounts, if on the date of such Incurrence and after giving pro forma effect thereto (including pro forma application of the proceeds thereof)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Indebtedness and without giving effect to any amount incurred simultaneously under (x) the Unrestricted Incremental Amount, (y) any other fixed dollar incurrence basket or</w:t>
      </w:r>
    </w:p>
    <w:p>
      <w:pPr>
        <w:spacing w:after="0" w:line="1" w:lineRule="exact"/>
        <w:rPr>
          <w:rFonts w:ascii="Arial" w:cs="Arial" w:eastAsia="Arial" w:hAnsi="Arial"/>
          <w:sz w:val="18"/>
          <w:szCs w:val="18"/>
          <w:color w:val="auto"/>
        </w:rPr>
      </w:pPr>
    </w:p>
    <w:p>
      <w:pPr>
        <w:jc w:val="both"/>
        <w:ind w:left="780" w:firstLine="1"/>
        <w:spacing w:after="0" w:line="304" w:lineRule="auto"/>
        <w:tabs>
          <w:tab w:leader="none" w:pos="105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the Revolving Credit Facility) (and, in each case, for the avoidance of doubt, for purposes of calculating the Interest Coverage Ratio, without giving effect to any interest expense attributable to any such Indebtedness in connection therewith), (A) if such Indebtedness is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Initial Term Loans, the Consolidated First Lien Secured Leverage Ratio for the most recently ended Test Period does not exceed 2.55:1.00 (or, to the extent such Indebtedness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 (B) if such Indebtedness is secured by a Lien on the Collateral that is junior to the Liens securing the Initial Term Loans, the Consolidated Total Senior Secured Leverage Ratio for the most recently ended Test Period does not exceed 3.05:1.00 (or, to the extent such Indebtedness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Indebtedness is secured by assets not constituting Collateral or is unsecured, Consolidated Total Leverage Ratio for the most recently ended Test Period does not exceed 3.05:1.00 (or, to the extent such Indebtedness is incurred in connection with any Permitted Investment, the Consolidated Total Leverage Ratio for the most recently ended Test Period does not exceed the greater of 3.05:1.00 and the Consolidated Total Leverage Ratio immediately prior to such Permitted Investment) 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-292-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2" w:name="page423"/>
    <w:bookmarkEnd w:id="42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u w:val="single" w:color="auto"/>
          <w:color w:val="auto"/>
        </w:rPr>
        <w:t>,</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further</w:t>
      </w:r>
      <w:r>
        <w:rPr>
          <w:rFonts w:ascii="Arial" w:cs="Arial" w:eastAsia="Arial" w:hAnsi="Arial"/>
          <w:sz w:val="20"/>
          <w:szCs w:val="20"/>
          <w:color w:val="auto"/>
        </w:rPr>
        <w:t>, that to the extent so utilized, such incurrence pursuant to</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7.03(a)(1)</w:t>
      </w:r>
      <w:r>
        <w:rPr>
          <w:rFonts w:ascii="Arial" w:cs="Arial" w:eastAsia="Arial" w:hAnsi="Arial"/>
          <w:sz w:val="20"/>
          <w:szCs w:val="20"/>
          <w:i w:val="1"/>
          <w:iCs w:val="1"/>
          <w:color w:val="auto"/>
        </w:rPr>
        <w:t xml:space="preserve"> </w:t>
      </w:r>
      <w:r>
        <w:rPr>
          <w:rFonts w:ascii="Arial" w:cs="Arial" w:eastAsia="Arial" w:hAnsi="Arial"/>
          <w:sz w:val="20"/>
          <w:szCs w:val="20"/>
          <w:color w:val="auto"/>
        </w:rPr>
        <w:t>above shall reduce, dollar for dollar,</w:t>
      </w:r>
      <w:r>
        <w:rPr>
          <w:rFonts w:ascii="Arial" w:cs="Arial" w:eastAsia="Arial" w:hAnsi="Arial"/>
          <w:sz w:val="20"/>
          <w:szCs w:val="20"/>
          <w:i w:val="1"/>
          <w:iCs w:val="1"/>
          <w:color w:val="auto"/>
        </w:rPr>
        <w:t xml:space="preserve"> </w:t>
      </w:r>
      <w:r>
        <w:rPr>
          <w:rFonts w:ascii="Arial" w:cs="Arial" w:eastAsia="Arial" w:hAnsi="Arial"/>
          <w:sz w:val="20"/>
          <w:szCs w:val="20"/>
          <w:color w:val="auto"/>
        </w:rPr>
        <w:t>the availability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-293-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3" w:name="page424"/>
    <w:bookmarkEnd w:id="42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rPr>
        <w:t xml:space="preserve">under the Unrestricted Incremental Amount for all other purposes (provided, that such amounts may be reclassified at any time, as the Borrower may elect from time to time, as incurred under the applicable incurrence ratio set forth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if the Borrower meets the applicable leverage (or coverage) ratio at such time on a pro forma basis;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(A) upon the effectiveness of such Indebtedness, except in connection with a Limited Condition Transaction (in which case no Specified Default shall have occurred and is continuing or would result therefrom), no Default or Event of Default has occurred and is continuing or shall result therefrom (or, in the case of incurrences in connection with a Permitted Investment or other Investment not prohibited hereunder, no Specified Default shall have occurred and is continuing or would result therefrom),</w:t>
      </w:r>
    </w:p>
    <w:p>
      <w:pPr>
        <w:spacing w:after="0" w:line="5" w:lineRule="exact"/>
        <w:rPr>
          <w:sz w:val="20"/>
          <w:szCs w:val="20"/>
          <w:color w:val="auto"/>
        </w:rPr>
      </w:pPr>
    </w:p>
    <w:p>
      <w:pPr>
        <w:jc w:val="both"/>
        <w:ind w:left="780" w:firstLine="1"/>
        <w:spacing w:after="0" w:line="268" w:lineRule="auto"/>
        <w:tabs>
          <w:tab w:leader="none" w:pos="10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such Indebtedness shall not mature earlier than the Maturity Date applicable to the Initial Term Loans, (C) as of the date of the incurrence of such Indebtedness, the Weighted Average Life to Maturity of such Indebtedness shall not be shorter than that of the Term Loans, (D) the other terms and conditions of such Indebtedness (excluding pricing, optional prepayment or redemption terms) reflect market terms on the date of incurrence or issuance of such Indebtedness (as reasonably determined by the Borrower in good faith), (E) if such Indebtedness is secured by the Collateral, such Indebtedness shall be subject to a Customary Intercreditor Agreement (which, to the extent such Indebtedness is funded into escrow, may be effective (or entered into) only immediately after the proceeds thereof are released from such escrow), (F) if such Indebtedness is in the form of MFN Qualifying Term Loans, then the MFN Adjustment shall be made to the Initial Term Loans to the extent otherwise required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(other than to the extent such Indebtedness constitutes a customary bridge facility, so long as the long-term Indebtedness into which such customary bridge facility is to be converted or exchanged would not otherwise be subject to the MFN Adjustments) and (G) the aggregate principal amount of such Indebtedness incurred by Restricted Subsidiaries that are not Loan Parties shall not exceed the greater of (x) $107.0 million and (y) 50.0% of LTM EBITDA at the time of Incurrence.</w:t>
      </w:r>
    </w:p>
    <w:p>
      <w:pPr>
        <w:spacing w:after="0" w:line="220" w:lineRule="exact"/>
        <w:rPr>
          <w:rFonts w:ascii="Arial" w:cs="Arial" w:eastAsia="Arial" w:hAnsi="Arial"/>
          <w:sz w:val="18"/>
          <w:szCs w:val="18"/>
          <w:color w:val="auto"/>
        </w:rPr>
      </w:pPr>
    </w:p>
    <w:p>
      <w:pPr>
        <w:ind w:left="2060" w:hanging="631"/>
        <w:spacing w:after="0"/>
        <w:tabs>
          <w:tab w:leader="none" w:pos="2060" w:val="left"/>
        </w:tabs>
        <w:numPr>
          <w:ilvl w:val="1"/>
          <w:numId w:val="305"/>
        </w:numPr>
        <w:rPr>
          <w:rFonts w:ascii="Arial" w:cs="Arial" w:eastAsia="Arial" w:hAnsi="Arial"/>
          <w:sz w:val="20"/>
          <w:szCs w:val="20"/>
          <w:color w:val="auto"/>
        </w:rPr>
      </w:pP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shall not prohibit the Incurrence of the following Indebtedness;</w:t>
      </w:r>
    </w:p>
    <w:p>
      <w:pPr>
        <w:spacing w:after="0" w:line="323" w:lineRule="exact"/>
        <w:rPr>
          <w:rFonts w:ascii="Arial" w:cs="Arial" w:eastAsia="Arial" w:hAnsi="Arial"/>
          <w:sz w:val="20"/>
          <w:szCs w:val="20"/>
          <w:color w:val="auto"/>
        </w:rPr>
      </w:pPr>
    </w:p>
    <w:p>
      <w:pPr>
        <w:jc w:val="both"/>
        <w:ind w:left="780" w:firstLine="722"/>
        <w:spacing w:after="0" w:line="269" w:lineRule="auto"/>
        <w:tabs>
          <w:tab w:leader="none" w:pos="1943" w:val="left"/>
        </w:tabs>
        <w:numPr>
          <w:ilvl w:val="2"/>
          <w:numId w:val="305"/>
        </w:numPr>
        <w:rPr>
          <w:rFonts w:ascii="Arial" w:cs="Arial" w:eastAsia="Arial" w:hAnsi="Arial"/>
          <w:sz w:val="19"/>
          <w:szCs w:val="19"/>
          <w:color w:val="auto"/>
        </w:rPr>
      </w:pPr>
      <w:r>
        <w:rPr>
          <w:rFonts w:ascii="Arial" w:cs="Arial" w:eastAsia="Arial" w:hAnsi="Arial"/>
          <w:sz w:val="19"/>
          <w:szCs w:val="19"/>
          <w:color w:val="auto"/>
        </w:rPr>
        <w:t xml:space="preserve">Indebtedness of Borrower and any of the Restricted Subsidiaries under the Loan Documents, including any refinancing thereof incurred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Indebtedness incurred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and in each case, any Refinancing Indebtedness thereof (or successive Refinancing Indebtedness thereof);</w:t>
      </w:r>
    </w:p>
    <w:p>
      <w:pPr>
        <w:spacing w:after="0" w:line="196" w:lineRule="exact"/>
        <w:rPr>
          <w:rFonts w:ascii="Arial" w:cs="Arial" w:eastAsia="Arial" w:hAnsi="Arial"/>
          <w:sz w:val="19"/>
          <w:szCs w:val="19"/>
          <w:color w:val="auto"/>
        </w:rPr>
      </w:pPr>
    </w:p>
    <w:p>
      <w:pPr>
        <w:jc w:val="both"/>
        <w:ind w:left="780" w:right="20" w:firstLine="667"/>
        <w:spacing w:after="0" w:line="250" w:lineRule="auto"/>
        <w:tabs>
          <w:tab w:leader="none" w:pos="1943" w:val="left"/>
        </w:tabs>
        <w:numPr>
          <w:ilvl w:val="2"/>
          <w:numId w:val="305"/>
        </w:numPr>
        <w:rPr>
          <w:rFonts w:ascii="Arial" w:cs="Arial" w:eastAsia="Arial" w:hAnsi="Arial"/>
          <w:sz w:val="20"/>
          <w:szCs w:val="20"/>
          <w:color w:val="auto"/>
        </w:rPr>
      </w:pPr>
      <w:r>
        <w:rPr>
          <w:rFonts w:ascii="Arial" w:cs="Arial" w:eastAsia="Arial" w:hAnsi="Arial"/>
          <w:sz w:val="20"/>
          <w:szCs w:val="20"/>
          <w:color w:val="auto"/>
        </w:rPr>
        <w:t>Guarantees by the Borrower or any Restricted Subsidiary of Indebtedness or other obligations of Borrower or any Restricted Subsidiary so long as the Incurrence of such Indebtedness or other obligations is not prohibited by the terms of this Agreement;</w:t>
      </w:r>
    </w:p>
    <w:p>
      <w:pPr>
        <w:spacing w:after="0" w:line="226" w:lineRule="exact"/>
        <w:rPr>
          <w:rFonts w:ascii="Arial" w:cs="Arial" w:eastAsia="Arial" w:hAnsi="Arial"/>
          <w:sz w:val="20"/>
          <w:szCs w:val="20"/>
          <w:color w:val="auto"/>
        </w:rPr>
      </w:pPr>
    </w:p>
    <w:p>
      <w:pPr>
        <w:jc w:val="both"/>
        <w:ind w:left="780" w:firstLine="611"/>
        <w:spacing w:after="0" w:line="244" w:lineRule="auto"/>
        <w:tabs>
          <w:tab w:leader="none" w:pos="1943" w:val="left"/>
        </w:tabs>
        <w:numPr>
          <w:ilvl w:val="2"/>
          <w:numId w:val="305"/>
        </w:numPr>
        <w:rPr>
          <w:rFonts w:ascii="Arial" w:cs="Arial" w:eastAsia="Arial" w:hAnsi="Arial"/>
          <w:sz w:val="20"/>
          <w:szCs w:val="20"/>
          <w:color w:val="auto"/>
        </w:rPr>
      </w:pPr>
      <w:r>
        <w:rPr>
          <w:rFonts w:ascii="Arial" w:cs="Arial" w:eastAsia="Arial" w:hAnsi="Arial"/>
          <w:sz w:val="20"/>
          <w:szCs w:val="20"/>
          <w:color w:val="auto"/>
        </w:rPr>
        <w:t xml:space="preserve">Indebtedness of Borrower to any Restricted Subsidiary or Indebtedness of a Restricted Subsidiary to Borrower or any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Indebtedness owed by any Loan Party to any Restricted Subsidiary that is not a Loan Party incurred pursuant to this clause (iii) shall be subordinated in right of payment to the Secured Obligations on terms reasonably satisfactory to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for the avoidance of doubt a Global Intercompany Note shall be reasonably satisfactory);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w:t>
      </w:r>
    </w:p>
    <w:p>
      <w:pPr>
        <w:spacing w:after="0" w:line="234" w:lineRule="exact"/>
        <w:rPr>
          <w:rFonts w:ascii="Arial" w:cs="Arial" w:eastAsia="Arial" w:hAnsi="Arial"/>
          <w:sz w:val="20"/>
          <w:szCs w:val="20"/>
          <w:color w:val="auto"/>
        </w:rPr>
      </w:pPr>
    </w:p>
    <w:p>
      <w:pPr>
        <w:ind w:left="2080" w:hanging="3"/>
        <w:spacing w:after="0" w:line="287" w:lineRule="auto"/>
        <w:tabs>
          <w:tab w:leader="none" w:pos="2594" w:val="left"/>
        </w:tabs>
        <w:numPr>
          <w:ilvl w:val="3"/>
          <w:numId w:val="305"/>
        </w:numPr>
        <w:rPr>
          <w:rFonts w:ascii="Arial" w:cs="Arial" w:eastAsia="Arial" w:hAnsi="Arial"/>
          <w:sz w:val="19"/>
          <w:szCs w:val="19"/>
          <w:color w:val="auto"/>
        </w:rPr>
      </w:pPr>
      <w:r>
        <w:rPr>
          <w:rFonts w:ascii="Arial" w:cs="Arial" w:eastAsia="Arial" w:hAnsi="Arial"/>
          <w:sz w:val="19"/>
          <w:szCs w:val="19"/>
          <w:color w:val="auto"/>
        </w:rPr>
        <w:t>any subsequent issuance or transfer of Capital Stock or any other event which results in any such Indebtedness being beneficially held by a Person other than Holdings or a Restricted Subsidiary; and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-294-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4" w:name="page425"/>
    <w:bookmarkEnd w:id="42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hanging="3"/>
        <w:spacing w:after="0" w:line="260" w:lineRule="auto"/>
        <w:tabs>
          <w:tab w:leader="none" w:pos="2594"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any sale or other transfer of any such Indebtedness to a Person other than Holdings or a Restricted Subsidiary,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-295-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5" w:name="page426"/>
    <w:bookmarkEnd w:id="42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80" w:right="300"/>
        <w:spacing w:after="0" w:line="260" w:lineRule="auto"/>
        <w:rPr>
          <w:sz w:val="20"/>
          <w:szCs w:val="20"/>
          <w:color w:val="auto"/>
        </w:rPr>
      </w:pPr>
      <w:r>
        <w:rPr>
          <w:rFonts w:ascii="Arial" w:cs="Arial" w:eastAsia="Arial" w:hAnsi="Arial"/>
          <w:sz w:val="20"/>
          <w:szCs w:val="20"/>
          <w:color w:val="auto"/>
        </w:rPr>
        <w:t>shall be deemed, in each case, to constitute an Incurrence of such Indebtedness by Holdings or such Restricted Subsidiary, as the case may be;</w:t>
      </w:r>
    </w:p>
    <w:p>
      <w:pPr>
        <w:spacing w:after="0" w:line="217" w:lineRule="exact"/>
        <w:rPr>
          <w:sz w:val="20"/>
          <w:szCs w:val="20"/>
          <w:color w:val="auto"/>
        </w:rPr>
      </w:pPr>
    </w:p>
    <w:p>
      <w:pPr>
        <w:jc w:val="both"/>
        <w:ind w:left="780" w:firstLine="622"/>
        <w:spacing w:after="0" w:line="291" w:lineRule="auto"/>
        <w:tabs>
          <w:tab w:leader="none" w:pos="195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Indebtedness represented by (i) any Indebtedness outstanding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Indebtedness in a principal amount in excess of $3.0 million is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to the Closing Date Certificate, (ii) Refinancing Indebtedness Incurred in respect of any Indebtedness described in clause (iv)(i) and (iii) Management Advances;</w:t>
      </w:r>
    </w:p>
    <w:p>
      <w:pPr>
        <w:spacing w:after="0" w:line="178" w:lineRule="exact"/>
        <w:rPr>
          <w:rFonts w:ascii="Arial" w:cs="Arial" w:eastAsia="Arial" w:hAnsi="Arial"/>
          <w:sz w:val="18"/>
          <w:szCs w:val="18"/>
          <w:color w:val="auto"/>
        </w:rPr>
      </w:pPr>
    </w:p>
    <w:p>
      <w:pPr>
        <w:jc w:val="both"/>
        <w:ind w:left="780" w:firstLine="678"/>
        <w:spacing w:after="0" w:line="260" w:lineRule="auto"/>
        <w:tabs>
          <w:tab w:leader="none" w:pos="1939" w:val="left"/>
        </w:tabs>
        <w:numPr>
          <w:ilvl w:val="1"/>
          <w:numId w:val="307"/>
        </w:numPr>
        <w:rPr>
          <w:rFonts w:ascii="Arial" w:cs="Arial" w:eastAsia="Arial" w:hAnsi="Arial"/>
          <w:sz w:val="19"/>
          <w:szCs w:val="19"/>
          <w:color w:val="auto"/>
        </w:rPr>
      </w:pPr>
      <w:r>
        <w:rPr>
          <w:rFonts w:ascii="Arial" w:cs="Arial" w:eastAsia="Arial" w:hAnsi="Arial"/>
          <w:sz w:val="19"/>
          <w:szCs w:val="19"/>
          <w:color w:val="auto"/>
        </w:rPr>
        <w:t xml:space="preserve">Indebtedness of (x) the Borrower or any Restricted Subsidiary incurred or issued to finance a Permitted Investment or (y) Persons that are acquired by Holdings or any Restricted Subsidiary in accordance with the terms of this Agreement or merged into, amalgamated or consolidated with the Borrower or a Restricted Subsidiary in accordance with the terms of the this Agreement (including designating an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pro forma effect to such acquisition, merger, amalgamation or consolidation, either:</w:t>
      </w:r>
    </w:p>
    <w:p>
      <w:pPr>
        <w:spacing w:after="0" w:line="220" w:lineRule="exact"/>
        <w:rPr>
          <w:rFonts w:ascii="Arial" w:cs="Arial" w:eastAsia="Arial" w:hAnsi="Arial"/>
          <w:sz w:val="19"/>
          <w:szCs w:val="19"/>
          <w:color w:val="auto"/>
        </w:rPr>
      </w:pPr>
    </w:p>
    <w:p>
      <w:pPr>
        <w:ind w:left="2600" w:hanging="474"/>
        <w:spacing w:after="0"/>
        <w:tabs>
          <w:tab w:leader="none" w:pos="2600" w:val="left"/>
        </w:tabs>
        <w:numPr>
          <w:ilvl w:val="3"/>
          <w:numId w:val="307"/>
        </w:numPr>
        <w:rPr>
          <w:rFonts w:ascii="Arial" w:cs="Arial" w:eastAsia="Arial" w:hAnsi="Arial"/>
          <w:sz w:val="20"/>
          <w:szCs w:val="20"/>
          <w:color w:val="auto"/>
        </w:rPr>
      </w:pPr>
      <w:r>
        <w:rPr>
          <w:rFonts w:ascii="Arial" w:cs="Arial" w:eastAsia="Arial" w:hAnsi="Arial"/>
          <w:sz w:val="20"/>
          <w:szCs w:val="20"/>
          <w:color w:val="auto"/>
        </w:rPr>
        <w:t xml:space="preserve">the Borrower would be permitted to incur such Indebtedness pursuant to </w:t>
      </w:r>
      <w:r>
        <w:rPr>
          <w:rFonts w:ascii="Arial" w:cs="Arial" w:eastAsia="Arial" w:hAnsi="Arial"/>
          <w:sz w:val="20"/>
          <w:szCs w:val="20"/>
          <w:u w:val="single" w:color="auto"/>
          <w:color w:val="auto"/>
        </w:rPr>
        <w:t>Section 7.03(a)</w:t>
      </w:r>
      <w:r>
        <w:rPr>
          <w:rFonts w:ascii="Arial" w:cs="Arial" w:eastAsia="Arial" w:hAnsi="Arial"/>
          <w:sz w:val="20"/>
          <w:szCs w:val="20"/>
          <w:color w:val="auto"/>
        </w:rPr>
        <w:t>; or</w:t>
      </w:r>
    </w:p>
    <w:p>
      <w:pPr>
        <w:spacing w:after="0" w:line="323" w:lineRule="exact"/>
        <w:rPr>
          <w:rFonts w:ascii="Arial" w:cs="Arial" w:eastAsia="Arial" w:hAnsi="Arial"/>
          <w:sz w:val="20"/>
          <w:szCs w:val="20"/>
          <w:color w:val="auto"/>
        </w:rPr>
      </w:pPr>
    </w:p>
    <w:p>
      <w:pPr>
        <w:jc w:val="both"/>
        <w:ind w:left="2080" w:hanging="3"/>
        <w:spacing w:after="0" w:line="270" w:lineRule="auto"/>
        <w:tabs>
          <w:tab w:leader="none" w:pos="2593" w:val="left"/>
        </w:tabs>
        <w:numPr>
          <w:ilvl w:val="2"/>
          <w:numId w:val="307"/>
        </w:numPr>
        <w:rPr>
          <w:rFonts w:ascii="Arial" w:cs="Arial" w:eastAsia="Arial" w:hAnsi="Arial"/>
          <w:sz w:val="18"/>
          <w:szCs w:val="18"/>
          <w:color w:val="auto"/>
        </w:rPr>
      </w:pPr>
      <w:r>
        <w:rPr>
          <w:rFonts w:ascii="Arial" w:cs="Arial" w:eastAsia="Arial" w:hAnsi="Arial"/>
          <w:sz w:val="18"/>
          <w:szCs w:val="18"/>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Holdings or a Restricted Subsidiary), and after giving pro forma effect to such Acquired Indebtedness, (A) if such Indebtedness is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securing the Initial Term Loans, the Consolidated First Lien Secured Leverage Ratio for the most recently ended Test Period does not exceed the Consolidated First Lien Secured Leverage Ratio immediately prior to the acquisition of such Acquired Indebtedness, (B) if such Indebtedness is secured by a Lien on the Collateral that is junior to the Liens securing the Initial Term Loans, the Consolidated Total Senior Secured Leverage Ratio for the most recently ended Test Period does not exceed the Consolidated Total Senior Secured Leverage Ratio immediately prior to the acquisition of such Acquired Indebtedness or (C) if such Indebtedness is secured by assets not constituting Collateral or is unsecured, Consolidated Total Leverage Ratio for the most recently ended Test Period does not exceed the Consolidated Total Leverage Ratio immediately prior to the acquisition of such Acquired Indebtedness;</w:t>
      </w:r>
    </w:p>
    <w:p>
      <w:pPr>
        <w:spacing w:after="0" w:line="212" w:lineRule="exact"/>
        <w:rPr>
          <w:rFonts w:ascii="Arial" w:cs="Arial" w:eastAsia="Arial" w:hAnsi="Arial"/>
          <w:sz w:val="18"/>
          <w:szCs w:val="18"/>
          <w:color w:val="auto"/>
        </w:rPr>
      </w:pPr>
    </w:p>
    <w:p>
      <w:pPr>
        <w:ind w:left="1940" w:hanging="539"/>
        <w:spacing w:after="0"/>
        <w:tabs>
          <w:tab w:leader="none" w:pos="194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Hedging Obligations (excluding Hedging Obligations entered into for speculative purposes);</w:t>
      </w:r>
    </w:p>
    <w:p>
      <w:pPr>
        <w:spacing w:after="0" w:line="243" w:lineRule="exact"/>
        <w:rPr>
          <w:sz w:val="20"/>
          <w:szCs w:val="20"/>
          <w:color w:val="auto"/>
        </w:rPr>
      </w:pPr>
    </w:p>
    <w:p>
      <w:pPr>
        <w:jc w:val="both"/>
        <w:ind w:left="780" w:firstLine="566"/>
        <w:spacing w:after="0" w:line="243" w:lineRule="auto"/>
        <w:tabs>
          <w:tab w:leader="none" w:pos="1927"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incurrence of (i) Indebtedness (including Indebtedness represented by Capitalized Lease Obligations or Purchase Money Obligations) Incurred to finance the purchase, lease, expansion, construction, installation, replacement, repair or improvement of property (real or personal), equipment or other assets, whether through the direct purchase of assets or the Capital Stock of any Person owning such assets in an aggregate outstanding principal amount which, when taken together with the principal amount of all other Indebtedness Incurred pursuant to this subclause (i) and then outstanding, does not exceed the greater of (x) $54.0 million and (y) 25.0% of LTM EBITDA at the time of Incurrence and any Refinancing Indebtedness in respect</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-296-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6" w:name="page427"/>
    <w:bookmarkEnd w:id="42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thereof and (ii) arising out of Sale and Leaseback Transactions in an aggregate outstanding principal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-297-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27" w:name="page428"/>
    <w:bookmarkEnd w:id="42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320"/>
        <w:spacing w:after="0" w:line="260" w:lineRule="auto"/>
        <w:rPr>
          <w:sz w:val="20"/>
          <w:szCs w:val="20"/>
          <w:color w:val="auto"/>
        </w:rPr>
      </w:pPr>
      <w:r>
        <w:rPr>
          <w:rFonts w:ascii="Arial" w:cs="Arial" w:eastAsia="Arial" w:hAnsi="Arial"/>
          <w:sz w:val="20"/>
          <w:szCs w:val="20"/>
          <w:color w:val="auto"/>
        </w:rPr>
        <w:t>amount, which does not exceed the greater of (a) $54.0 million and (b) 25.0 % of LTM EBITDA at the time of incurrence, and any Refinancing Indebtedness in respect thereof;</w:t>
      </w:r>
    </w:p>
    <w:p>
      <w:pPr>
        <w:spacing w:after="0" w:line="217" w:lineRule="exact"/>
        <w:rPr>
          <w:sz w:val="20"/>
          <w:szCs w:val="20"/>
          <w:color w:val="auto"/>
        </w:rPr>
      </w:pPr>
    </w:p>
    <w:p>
      <w:pPr>
        <w:jc w:val="both"/>
        <w:ind w:left="780" w:firstLine="511"/>
        <w:spacing w:after="0" w:line="255" w:lineRule="auto"/>
        <w:tabs>
          <w:tab w:leader="none" w:pos="1948" w:val="left"/>
        </w:tabs>
        <w:numPr>
          <w:ilvl w:val="1"/>
          <w:numId w:val="309"/>
        </w:numPr>
        <w:rPr>
          <w:rFonts w:ascii="Arial" w:cs="Arial" w:eastAsia="Arial" w:hAnsi="Arial"/>
          <w:sz w:val="19"/>
          <w:szCs w:val="19"/>
          <w:color w:val="auto"/>
        </w:rPr>
      </w:pPr>
      <w:r>
        <w:rPr>
          <w:rFonts w:ascii="Arial" w:cs="Arial" w:eastAsia="Arial" w:hAnsi="Arial"/>
          <w:sz w:val="19"/>
          <w:szCs w:val="19"/>
          <w:color w:val="auto"/>
        </w:rPr>
        <w:t>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and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w:t>
      </w:r>
    </w:p>
    <w:p>
      <w:pPr>
        <w:spacing w:after="0" w:line="211" w:lineRule="exact"/>
        <w:rPr>
          <w:rFonts w:ascii="Arial" w:cs="Arial" w:eastAsia="Arial" w:hAnsi="Arial"/>
          <w:sz w:val="19"/>
          <w:szCs w:val="19"/>
          <w:color w:val="auto"/>
        </w:rPr>
      </w:pPr>
    </w:p>
    <w:p>
      <w:pPr>
        <w:jc w:val="both"/>
        <w:ind w:left="780" w:firstLine="622"/>
        <w:spacing w:after="0" w:line="260" w:lineRule="auto"/>
        <w:tabs>
          <w:tab w:leader="none" w:pos="1937" w:val="left"/>
        </w:tabs>
        <w:numPr>
          <w:ilvl w:val="3"/>
          <w:numId w:val="309"/>
        </w:numPr>
        <w:rPr>
          <w:rFonts w:ascii="Arial" w:cs="Arial" w:eastAsia="Arial" w:hAnsi="Arial"/>
          <w:sz w:val="19"/>
          <w:szCs w:val="19"/>
          <w:color w:val="auto"/>
        </w:rPr>
      </w:pPr>
      <w:r>
        <w:rPr>
          <w:rFonts w:ascii="Arial" w:cs="Arial" w:eastAsia="Arial" w:hAnsi="Arial"/>
          <w:sz w:val="19"/>
          <w:szCs w:val="19"/>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w:t>
      </w:r>
    </w:p>
    <w:p>
      <w:pPr>
        <w:spacing w:after="0" w:line="220" w:lineRule="exact"/>
        <w:rPr>
          <w:rFonts w:ascii="Arial" w:cs="Arial" w:eastAsia="Arial" w:hAnsi="Arial"/>
          <w:sz w:val="19"/>
          <w:szCs w:val="19"/>
          <w:color w:val="auto"/>
        </w:rPr>
      </w:pPr>
    </w:p>
    <w:p>
      <w:pPr>
        <w:jc w:val="both"/>
        <w:ind w:left="780" w:firstLine="678"/>
        <w:spacing w:after="0" w:line="255" w:lineRule="auto"/>
        <w:tabs>
          <w:tab w:leader="none" w:pos="1940" w:val="left"/>
        </w:tabs>
        <w:numPr>
          <w:ilvl w:val="5"/>
          <w:numId w:val="309"/>
        </w:numPr>
        <w:rPr>
          <w:rFonts w:ascii="Arial" w:cs="Arial" w:eastAsia="Arial" w:hAnsi="Arial"/>
          <w:sz w:val="19"/>
          <w:szCs w:val="19"/>
          <w:color w:val="auto"/>
        </w:rPr>
      </w:pPr>
      <w:r>
        <w:rPr>
          <w:rFonts w:ascii="Arial" w:cs="Arial" w:eastAsia="Arial" w:hAnsi="Arial"/>
          <w:sz w:val="19"/>
          <w:szCs w:val="19"/>
          <w:color w:val="auto"/>
        </w:rPr>
        <w:t xml:space="preserve">Indebtedness in an aggregate outstanding principal amount which, when taken together with the principal amount of all other Indebtedness Incurred pursuant to this clause (x) and then outstanding, will not exceed 100.0% of the Net Cash Proceeds received by Holdings from the issuance or sale (other than to a Restricted Subsidiary) of its Capital Stock or otherwise contributed to the equity (in each case, other than through the issuance of Disqualified Stock, Designated Preferred Stock or an Excluded Contribution or Cure Amount) of Holdings, in each case, subsequent to the Closing Date, and any Refinancing Indebtedness in respect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any such Net Cash Proceeds that are so received or contributed shall not increase the amount available for making Restricted Payments to the extent Holdings and its Restricted Subsidiaries Incur Indebtedness in reliance thereon and (ii) any Net Cash Proceeds that are so received or contributed shall be excluded for purposes of Incurring Indebtedness pursuant to this clause (x) to the extent such Net Cash Proceeds or cash have been applied to make Restricted Payments;</w:t>
      </w:r>
    </w:p>
    <w:p>
      <w:pPr>
        <w:spacing w:after="0" w:line="230" w:lineRule="exact"/>
        <w:rPr>
          <w:rFonts w:ascii="Arial" w:cs="Arial" w:eastAsia="Arial" w:hAnsi="Arial"/>
          <w:sz w:val="19"/>
          <w:szCs w:val="19"/>
          <w:color w:val="auto"/>
        </w:rPr>
      </w:pPr>
    </w:p>
    <w:p>
      <w:pPr>
        <w:ind w:left="1940" w:hanging="537"/>
        <w:spacing w:after="0"/>
        <w:tabs>
          <w:tab w:leader="none" w:pos="1940" w:val="left"/>
        </w:tabs>
        <w:numPr>
          <w:ilvl w:val="4"/>
          <w:numId w:val="309"/>
        </w:numPr>
        <w:rPr>
          <w:rFonts w:ascii="Arial" w:cs="Arial" w:eastAsia="Arial" w:hAnsi="Arial"/>
          <w:sz w:val="18"/>
          <w:szCs w:val="18"/>
          <w:color w:val="auto"/>
        </w:rPr>
      </w:pPr>
      <w:r>
        <w:rPr>
          <w:rFonts w:ascii="Arial" w:cs="Arial" w:eastAsia="Arial" w:hAnsi="Arial"/>
          <w:sz w:val="18"/>
          <w:szCs w:val="18"/>
          <w:color w:val="auto"/>
        </w:rPr>
        <w:t>Indebtedness of Non-Loan Parties and joint ventures in an aggregate principal amount not to exceed the greater of</w:t>
      </w:r>
    </w:p>
    <w:p>
      <w:pPr>
        <w:spacing w:after="0" w:line="38" w:lineRule="exact"/>
        <w:rPr>
          <w:rFonts w:ascii="Arial" w:cs="Arial" w:eastAsia="Arial" w:hAnsi="Arial"/>
          <w:sz w:val="18"/>
          <w:szCs w:val="18"/>
          <w:color w:val="auto"/>
        </w:rPr>
      </w:pPr>
    </w:p>
    <w:p>
      <w:pPr>
        <w:ind w:left="1020" w:hanging="238"/>
        <w:spacing w:after="0"/>
        <w:tabs>
          <w:tab w:leader="none" w:pos="10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$96.0 million and (ii) 45.0% of LTM EBITDA at the time of incurrence, and any Refinancing Indebtedness in respect thereof;</w:t>
      </w:r>
    </w:p>
    <w:p>
      <w:pPr>
        <w:spacing w:after="0" w:line="249" w:lineRule="exact"/>
        <w:rPr>
          <w:rFonts w:ascii="Arial" w:cs="Arial" w:eastAsia="Arial" w:hAnsi="Arial"/>
          <w:sz w:val="18"/>
          <w:szCs w:val="18"/>
          <w:color w:val="auto"/>
        </w:rPr>
      </w:pPr>
    </w:p>
    <w:p>
      <w:pPr>
        <w:jc w:val="both"/>
        <w:ind w:left="780" w:firstLine="566"/>
        <w:spacing w:after="0" w:line="291" w:lineRule="auto"/>
        <w:tabs>
          <w:tab w:leader="none" w:pos="1926" w:val="left"/>
        </w:tabs>
        <w:numPr>
          <w:ilvl w:val="2"/>
          <w:numId w:val="310"/>
        </w:numPr>
        <w:rPr>
          <w:rFonts w:ascii="Arial" w:cs="Arial" w:eastAsia="Arial" w:hAnsi="Arial"/>
          <w:sz w:val="18"/>
          <w:szCs w:val="18"/>
          <w:color w:val="auto"/>
        </w:rPr>
      </w:pPr>
      <w:r>
        <w:rPr>
          <w:rFonts w:ascii="Arial" w:cs="Arial" w:eastAsia="Arial" w:hAnsi="Arial"/>
          <w:sz w:val="18"/>
          <w:szCs w:val="18"/>
          <w:color w:val="auto"/>
        </w:rPr>
        <w:t>(i) Indebtedness issued by Borrower or any of its Subsidiaries to any future, present or former employee, director, officer, manager, contractor, consultant or advisor (or their respective Controlled Investment Affiliates or Immediate Family Members) of Holdings, any of its Subsidiaries or any Parent Entity (or permitted transferees, assigns, estates, or heirs of such</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-298-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8" w:name="page429"/>
    <w:bookmarkEnd w:id="42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 xml:space="preserve">employee, director, contractor or consultant), in each case to finance the purchase or redemption of Capital Stock of Holdings or any Parent Entity that is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hereof and (ii)</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-299-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29" w:name="page430"/>
    <w:bookmarkEnd w:id="42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right="20"/>
        <w:spacing w:after="0" w:line="250" w:lineRule="auto"/>
        <w:rPr>
          <w:sz w:val="20"/>
          <w:szCs w:val="20"/>
          <w:color w:val="auto"/>
        </w:rPr>
      </w:pPr>
      <w:r>
        <w:rPr>
          <w:rFonts w:ascii="Arial" w:cs="Arial" w:eastAsia="Arial" w:hAnsi="Arial"/>
          <w:sz w:val="20"/>
          <w:szCs w:val="20"/>
          <w:color w:val="auto"/>
        </w:rPr>
        <w:t>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226" w:lineRule="exact"/>
        <w:rPr>
          <w:sz w:val="20"/>
          <w:szCs w:val="20"/>
          <w:color w:val="auto"/>
        </w:rPr>
      </w:pPr>
    </w:p>
    <w:p>
      <w:pPr>
        <w:jc w:val="both"/>
        <w:ind w:left="780" w:firstLine="512"/>
        <w:spacing w:after="0" w:line="250" w:lineRule="auto"/>
        <w:tabs>
          <w:tab w:leader="none" w:pos="1948" w:val="left"/>
        </w:tabs>
        <w:numPr>
          <w:ilvl w:val="0"/>
          <w:numId w:val="311"/>
        </w:numPr>
        <w:rPr>
          <w:rFonts w:ascii="Arial" w:cs="Arial" w:eastAsia="Arial" w:hAnsi="Arial"/>
          <w:sz w:val="20"/>
          <w:szCs w:val="20"/>
          <w:color w:val="auto"/>
        </w:rPr>
      </w:pPr>
      <w:r>
        <w:rPr>
          <w:rFonts w:ascii="Arial" w:cs="Arial" w:eastAsia="Arial" w:hAnsi="Arial"/>
          <w:sz w:val="20"/>
          <w:szCs w:val="20"/>
          <w:color w:val="auto"/>
        </w:rPr>
        <w:t>Indebtedness of Borrower or any of the Restricted Subsidiaries consisting of (i) the financing of insurance premiums or (ii) take-or-pay obligations contained in supply arrangements, in each case Incurred in the ordinary course of business or consistent with past practice;</w:t>
      </w:r>
    </w:p>
    <w:p>
      <w:pPr>
        <w:spacing w:after="0" w:line="212" w:lineRule="exact"/>
        <w:rPr>
          <w:rFonts w:ascii="Arial" w:cs="Arial" w:eastAsia="Arial" w:hAnsi="Arial"/>
          <w:sz w:val="20"/>
          <w:szCs w:val="20"/>
          <w:color w:val="auto"/>
        </w:rPr>
      </w:pPr>
    </w:p>
    <w:p>
      <w:pPr>
        <w:jc w:val="both"/>
        <w:ind w:left="780" w:firstLine="524"/>
        <w:spacing w:after="0" w:line="244" w:lineRule="auto"/>
        <w:tabs>
          <w:tab w:leader="none" w:pos="1948" w:val="left"/>
        </w:tabs>
        <w:numPr>
          <w:ilvl w:val="1"/>
          <w:numId w:val="311"/>
        </w:numPr>
        <w:rPr>
          <w:rFonts w:ascii="Arial" w:cs="Arial" w:eastAsia="Arial" w:hAnsi="Arial"/>
          <w:sz w:val="20"/>
          <w:szCs w:val="20"/>
          <w:color w:val="auto"/>
        </w:rPr>
      </w:pPr>
      <w:r>
        <w:rPr>
          <w:rFonts w:ascii="Arial" w:cs="Arial" w:eastAsia="Arial" w:hAnsi="Arial"/>
          <w:sz w:val="20"/>
          <w:szCs w:val="20"/>
          <w:color w:val="auto"/>
        </w:rPr>
        <w:t xml:space="preserve">Indebtedness in an aggregate outstanding principal amount which, when taken together with the principal amount of all other Indebtedness Incurred pursuant to this clause (xiv) and then outstanding, will not exceed the greater of (a) $96.0 million and (b) 45.0% of LTM EBITDA and, any Refinancing Indebtedness in respect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if secured by a Lien on the Collateral, Indebtedness incurred pursuant to </w:t>
      </w:r>
      <w:r>
        <w:rPr>
          <w:rFonts w:ascii="Arial" w:cs="Arial" w:eastAsia="Arial" w:hAnsi="Arial"/>
          <w:sz w:val="20"/>
          <w:szCs w:val="20"/>
          <w:u w:val="single" w:color="auto"/>
          <w:color w:val="auto"/>
        </w:rPr>
        <w:t>clause (xiv)</w:t>
      </w:r>
      <w:r>
        <w:rPr>
          <w:rFonts w:ascii="Arial" w:cs="Arial" w:eastAsia="Arial" w:hAnsi="Arial"/>
          <w:sz w:val="20"/>
          <w:szCs w:val="20"/>
          <w:color w:val="auto"/>
        </w:rPr>
        <w:t xml:space="preserve"> shall be secured on a junior basis to the Liens on securing the Facilities;</w:t>
      </w:r>
    </w:p>
    <w:p>
      <w:pPr>
        <w:spacing w:after="0" w:line="234" w:lineRule="exact"/>
        <w:rPr>
          <w:rFonts w:ascii="Arial" w:cs="Arial" w:eastAsia="Arial" w:hAnsi="Arial"/>
          <w:sz w:val="20"/>
          <w:szCs w:val="20"/>
          <w:color w:val="auto"/>
        </w:rPr>
      </w:pPr>
    </w:p>
    <w:p>
      <w:pPr>
        <w:ind w:left="1960" w:hanging="601"/>
        <w:spacing w:after="0"/>
        <w:tabs>
          <w:tab w:leader="none" w:pos="1960" w:val="left"/>
        </w:tabs>
        <w:numPr>
          <w:ilvl w:val="2"/>
          <w:numId w:val="311"/>
        </w:numPr>
        <w:rPr>
          <w:rFonts w:ascii="Arial" w:cs="Arial" w:eastAsia="Arial" w:hAnsi="Arial"/>
          <w:sz w:val="20"/>
          <w:szCs w:val="20"/>
          <w:color w:val="auto"/>
        </w:rPr>
      </w:pPr>
      <w:r>
        <w:rPr>
          <w:rFonts w:ascii="Arial" w:cs="Arial" w:eastAsia="Arial" w:hAnsi="Arial"/>
          <w:sz w:val="20"/>
          <w:szCs w:val="20"/>
          <w:color w:val="auto"/>
        </w:rPr>
        <w:t>Indebtedness in respect of any Qualified Securitization Financing or any Receivables Facility;</w:t>
      </w:r>
    </w:p>
    <w:p>
      <w:pPr>
        <w:spacing w:after="0" w:line="256" w:lineRule="exact"/>
        <w:rPr>
          <w:sz w:val="20"/>
          <w:szCs w:val="20"/>
          <w:color w:val="auto"/>
        </w:rPr>
      </w:pPr>
    </w:p>
    <w:p>
      <w:pPr>
        <w:jc w:val="both"/>
        <w:ind w:left="780" w:right="20" w:firstLine="523"/>
        <w:spacing w:after="0" w:line="291" w:lineRule="auto"/>
        <w:tabs>
          <w:tab w:leader="none" w:pos="193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obligation, or guaranty of any obligation, of Borrower or any Restricted Subsidiary to reimburse or indemnify a Person extending credit to customers of Holdings or a Restricted Subsidiary incurred in the ordinary course of business or consistent with past practice for all or any portion of the amounts payable by such customers to the Person extending such credit;</w:t>
      </w:r>
    </w:p>
    <w:p>
      <w:pPr>
        <w:spacing w:after="0" w:line="178" w:lineRule="exact"/>
        <w:rPr>
          <w:rFonts w:ascii="Arial" w:cs="Arial" w:eastAsia="Arial" w:hAnsi="Arial"/>
          <w:sz w:val="18"/>
          <w:szCs w:val="18"/>
          <w:color w:val="auto"/>
        </w:rPr>
      </w:pPr>
    </w:p>
    <w:p>
      <w:pPr>
        <w:jc w:val="both"/>
        <w:ind w:left="780" w:firstLine="468"/>
        <w:spacing w:after="0" w:line="244" w:lineRule="auto"/>
        <w:tabs>
          <w:tab w:leader="none" w:pos="193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 xml:space="preserve">Indebtedness to a customer to finance the acquisition of any equipment necessary to perform services for such customer;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terms of such Indebtedness are consistent with those entered into with respect to similar Indebtedness prior to the Closing Date, including, if so consistent, that (1) the repayment of such Indebtedness is conditional upon such customer ordering a specific amount of goods or services and (2) such Indebtedness does not bear interest or provide for scheduled amortization or maturity;</w:t>
      </w:r>
    </w:p>
    <w:p>
      <w:pPr>
        <w:spacing w:after="0" w:line="235" w:lineRule="exact"/>
        <w:rPr>
          <w:sz w:val="20"/>
          <w:szCs w:val="20"/>
          <w:color w:val="auto"/>
        </w:rPr>
      </w:pPr>
    </w:p>
    <w:p>
      <w:pPr>
        <w:ind w:left="780" w:right="20" w:firstLine="413"/>
        <w:spacing w:after="0" w:line="260" w:lineRule="auto"/>
        <w:tabs>
          <w:tab w:leader="none" w:pos="1949" w:val="left"/>
        </w:tabs>
        <w:numPr>
          <w:ilvl w:val="0"/>
          <w:numId w:val="314"/>
        </w:numPr>
        <w:rPr>
          <w:rFonts w:ascii="Arial" w:cs="Arial" w:eastAsia="Arial" w:hAnsi="Arial"/>
          <w:sz w:val="20"/>
          <w:szCs w:val="20"/>
          <w:color w:val="auto"/>
        </w:rPr>
      </w:pPr>
      <w:r>
        <w:rPr>
          <w:rFonts w:ascii="Arial" w:cs="Arial" w:eastAsia="Arial" w:hAnsi="Arial"/>
          <w:sz w:val="20"/>
          <w:szCs w:val="20"/>
          <w:color w:val="auto"/>
        </w:rPr>
        <w:t>Indebtedness of Borrower or any of the Restricted Subsidiaries arising pursuant to any Permitted Intercompany Activities, Permitted IPO Reorganization and Permitted Tax Restructuring or related transaction;</w:t>
      </w:r>
    </w:p>
    <w:p>
      <w:pPr>
        <w:spacing w:after="0" w:line="217" w:lineRule="exact"/>
        <w:rPr>
          <w:rFonts w:ascii="Arial" w:cs="Arial" w:eastAsia="Arial" w:hAnsi="Arial"/>
          <w:sz w:val="20"/>
          <w:szCs w:val="20"/>
          <w:color w:val="auto"/>
        </w:rPr>
      </w:pPr>
    </w:p>
    <w:p>
      <w:pPr>
        <w:ind w:left="2080" w:hanging="777"/>
        <w:spacing w:after="0"/>
        <w:tabs>
          <w:tab w:leader="none" w:pos="208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left="780" w:firstLine="579"/>
        <w:spacing w:after="0" w:line="272" w:lineRule="auto"/>
        <w:tabs>
          <w:tab w:leader="none" w:pos="1941" w:val="left"/>
        </w:tabs>
        <w:numPr>
          <w:ilvl w:val="2"/>
          <w:numId w:val="314"/>
        </w:numPr>
        <w:rPr>
          <w:rFonts w:ascii="Arial" w:cs="Arial" w:eastAsia="Arial" w:hAnsi="Arial"/>
          <w:sz w:val="18"/>
          <w:szCs w:val="18"/>
          <w:color w:val="auto"/>
        </w:rPr>
      </w:pPr>
      <w:r>
        <w:rPr>
          <w:rFonts w:ascii="Arial" w:cs="Arial" w:eastAsia="Arial" w:hAnsi="Arial"/>
          <w:sz w:val="18"/>
          <w:szCs w:val="18"/>
          <w:color w:val="auto"/>
        </w:rPr>
        <w:t xml:space="preserve">(i) Indebtedness (in the form of senior secured, senior unsecured, senior subordinated, or subordinated notes (issued in a public offering, Rule 144A offering or other private placement or a bridge financing in lieu of the foregoing) or loans) (such Indebtedness incurred pursuant to this </w:t>
      </w:r>
      <w:r>
        <w:rPr>
          <w:rFonts w:ascii="Arial" w:cs="Arial" w:eastAsia="Arial" w:hAnsi="Arial"/>
          <w:sz w:val="18"/>
          <w:szCs w:val="18"/>
          <w:u w:val="single" w:color="auto"/>
          <w:color w:val="auto"/>
        </w:rPr>
        <w:t>clause (xx)</w:t>
      </w:r>
      <w:r>
        <w:rPr>
          <w:rFonts w:ascii="Arial" w:cs="Arial" w:eastAsia="Arial" w:hAnsi="Arial"/>
          <w:sz w:val="18"/>
          <w:szCs w:val="18"/>
          <w:color w:val="auto"/>
        </w:rPr>
        <w:t xml:space="preserve"> being referred to as “</w:t>
      </w:r>
      <w:r>
        <w:rPr>
          <w:rFonts w:ascii="Arial" w:cs="Arial" w:eastAsia="Arial" w:hAnsi="Arial"/>
          <w:sz w:val="18"/>
          <w:szCs w:val="18"/>
          <w:u w:val="single" w:color="auto"/>
          <w:color w:val="auto"/>
        </w:rPr>
        <w:t>Permitted Alternative Incremental Facilities Debt</w:t>
      </w:r>
      <w:r>
        <w:rPr>
          <w:rFonts w:ascii="Arial" w:cs="Arial" w:eastAsia="Arial" w:hAnsi="Arial"/>
          <w:sz w:val="18"/>
          <w:szCs w:val="18"/>
          <w:color w:val="auto"/>
        </w:rPr>
        <w:t xml:space="preserve">”) incurred by Borrower or any Restricted Subsidiary to the extent that the Borrower could establish such Permitted Alternative Incremental Facilities Debt under the Unrestricted Incremental Amount or satisfy the Incremental Incurrence Test were such Permitted Alternative Incremental Facilities Debt an Incremental Facility, and such Indebtedness shall be deemed to be incurred in reliance on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solely to the extent incurred in reliance on the Unrestricted Incremental Amount, result in a dollar-for-dollar reduction of the amount of Indebtedness that may be incurred under the Unrestricted Incremental Amount;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upon the effectiveness of such Indebtedness, except in connection with a Limited Condition</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-300-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0" w:name="page431"/>
    <w:bookmarkEnd w:id="43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316" w:lineRule="auto"/>
        <w:rPr>
          <w:sz w:val="20"/>
          <w:szCs w:val="20"/>
          <w:color w:val="auto"/>
        </w:rPr>
      </w:pPr>
      <w:r>
        <w:rPr>
          <w:rFonts w:ascii="Arial" w:cs="Arial" w:eastAsia="Arial" w:hAnsi="Arial"/>
          <w:sz w:val="18"/>
          <w:szCs w:val="18"/>
          <w:color w:val="auto"/>
        </w:rPr>
        <w:t>Transaction (in which case no Specified Default shall have occurred and is continuing or would result therefrom), no Default or Event of Default has occurred and is continuing or shall result therefrom (or, in the case of incurrences in connection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-301-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1" w:name="page432"/>
    <w:bookmarkEnd w:id="43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42" w:lineRule="auto"/>
        <w:rPr>
          <w:sz w:val="20"/>
          <w:szCs w:val="20"/>
          <w:color w:val="auto"/>
        </w:rPr>
      </w:pPr>
      <w:r>
        <w:rPr>
          <w:rFonts w:ascii="Arial" w:cs="Arial" w:eastAsia="Arial" w:hAnsi="Arial"/>
          <w:sz w:val="20"/>
          <w:szCs w:val="20"/>
          <w:color w:val="auto"/>
        </w:rPr>
        <w:t>with a Permitted Investment or other Investment not prohibited hereunder, no Specified Default shall have occurred and is continuing or would result therefrom), (B) such Indebtedness shall not mature earlier than the Maturity Date applicable to the Initial Term Loans, (C) as of the date of the incurrence of such Indebtedness, the Weighted Average Life to Maturity of such Indebtedness shall not be shorter than that of the Term Loans (without giving effect to any prepayments), (D) no Subsidiary is an obligor with respect to such Indebtedness unless such Subsidiary is a Loan Party which shall have previously or substantially concurrently guaranteed the Secured Obligations,</w:t>
      </w:r>
    </w:p>
    <w:p>
      <w:pPr>
        <w:spacing w:after="0" w:line="2" w:lineRule="exact"/>
        <w:rPr>
          <w:sz w:val="20"/>
          <w:szCs w:val="20"/>
          <w:color w:val="auto"/>
        </w:rPr>
      </w:pPr>
    </w:p>
    <w:p>
      <w:pPr>
        <w:jc w:val="both"/>
        <w:ind w:left="780" w:firstLine="1"/>
        <w:spacing w:after="0" w:line="267" w:lineRule="auto"/>
        <w:tabs>
          <w:tab w:leader="none" w:pos="1083"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the other terms and conditions of such Indebtedness (excluding pricing, interest rate margins, rate floors, discounts, premiums, fees and prepayment or redemption terms and provisions, which shall be determined by the Borrower) either, at the option of the Borrower, (x) reflect market terms and conditions (taken as a whole) on the date of incurrence, issuance or effectiveness of such Indebtedness (as determined by the Borrower in good faith) or are reasonably acceptable to the Administrative Agent or (y) are not materially more restrictive of Holdings and its Restricted Subsidiaries (when taken as a whole) than the terms and conditions of this Agreement (when taken as a whole) (except, in the case of either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for covenants or other provisions applicable only to periods after the Maturity Date applicable to the Initial Term Loans) (it being understood that (A) to the extent that any financial maintenance covenant is added for the benefit of any such Indebtedness, the terms and conditions of such Indebtedness shall be deemed not to be more restrictive than the terms and conditions of this Agreement if such financial maintenance covenant is also added for the benefit of all Facilities hereunder, and (B) no consent shall be required from the Administrative Agent for terms or conditions that are not market terms or are more restrictive than this Agreement if such terms are added to this Agreement), (F) such Indebtedness shall not be secured by any assets that are not Collateral and shall be subject to a Customary Intercreditor Agreement (which, to the extent such Indebtedness is funded into escrow, may be effective (or entered into) only immediately after the proceeds thereof are released from such escrow), (G) if such Indebtedness is in the form of MFN Qualifying Term Loans, then the MFN Adjustment shall be made to the Initial Term Loans to the extent otherwise required under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(other than to the extent such Indebtedness constitutes a customary bridge facility, so long as the long-term Indebtedness into which such customary bridge facility is to be converted or exchanged would not otherwise be subject to the MFN Adjustments) and (H) any Indebtedness incurred pursuant to this </w:t>
      </w:r>
      <w:r>
        <w:rPr>
          <w:rFonts w:ascii="Arial" w:cs="Arial" w:eastAsia="Arial" w:hAnsi="Arial"/>
          <w:sz w:val="18"/>
          <w:szCs w:val="18"/>
          <w:u w:val="single" w:color="auto"/>
          <w:color w:val="auto"/>
        </w:rPr>
        <w:t>clause (xx)(i)</w:t>
      </w:r>
      <w:r>
        <w:rPr>
          <w:rFonts w:ascii="Arial" w:cs="Arial" w:eastAsia="Arial" w:hAnsi="Arial"/>
          <w:sz w:val="18"/>
          <w:szCs w:val="18"/>
          <w:color w:val="auto"/>
        </w:rPr>
        <w:t xml:space="preserve"> in the form of notes shall not have any mandatory prepayment or redemption features (other than customary asset sale events, insurance and condemnation proceeds events, change of control offers or events of default and, if applicable, AHYDO Catch-Up Payments) that could result in prepayments or redemptions of such Indebtedness prior to the Maturity Date applicable to the Initial Term Loans and (ii) any Refinancing Indebtedness incurred under the foregoing </w:t>
      </w:r>
      <w:r>
        <w:rPr>
          <w:rFonts w:ascii="Arial" w:cs="Arial" w:eastAsia="Arial" w:hAnsi="Arial"/>
          <w:sz w:val="18"/>
          <w:szCs w:val="18"/>
          <w:u w:val="single" w:color="auto"/>
          <w:color w:val="auto"/>
        </w:rPr>
        <w:t>clause (xx)(i)</w:t>
      </w:r>
      <w:r>
        <w:rPr>
          <w:rFonts w:ascii="Arial" w:cs="Arial" w:eastAsia="Arial" w:hAnsi="Arial"/>
          <w:sz w:val="18"/>
          <w:szCs w:val="18"/>
          <w:color w:val="auto"/>
        </w:rPr>
        <w:t>;</w:t>
      </w:r>
    </w:p>
    <w:p>
      <w:pPr>
        <w:spacing w:after="0" w:line="304" w:lineRule="exact"/>
        <w:rPr>
          <w:rFonts w:ascii="Arial" w:cs="Arial" w:eastAsia="Arial" w:hAnsi="Arial"/>
          <w:sz w:val="18"/>
          <w:szCs w:val="18"/>
          <w:color w:val="auto"/>
        </w:rPr>
      </w:pPr>
    </w:p>
    <w:p>
      <w:pPr>
        <w:ind w:left="1940" w:hanging="636"/>
        <w:spacing w:after="0"/>
        <w:tabs>
          <w:tab w:leader="none" w:pos="194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seller paper or other indebtedness incurred to finance the payment of earn-out obligations with respect to Permitted</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Investments;</w:t>
      </w:r>
    </w:p>
    <w:p>
      <w:pPr>
        <w:spacing w:after="0" w:line="226" w:lineRule="exact"/>
        <w:rPr>
          <w:rFonts w:ascii="Arial" w:cs="Arial" w:eastAsia="Arial" w:hAnsi="Arial"/>
          <w:sz w:val="18"/>
          <w:szCs w:val="18"/>
          <w:color w:val="auto"/>
        </w:rPr>
      </w:pPr>
    </w:p>
    <w:p>
      <w:pPr>
        <w:ind w:left="2060" w:hanging="812"/>
        <w:spacing w:after="0"/>
        <w:tabs>
          <w:tab w:leader="none" w:pos="2060" w:val="left"/>
        </w:tabs>
        <w:numPr>
          <w:ilvl w:val="2"/>
          <w:numId w:val="315"/>
        </w:numPr>
        <w:rPr>
          <w:rFonts w:ascii="Arial" w:cs="Arial" w:eastAsia="Arial" w:hAnsi="Arial"/>
          <w:sz w:val="20"/>
          <w:szCs w:val="20"/>
          <w:color w:val="auto"/>
        </w:rPr>
      </w:pPr>
      <w:r>
        <w:rPr>
          <w:rFonts w:ascii="Arial" w:cs="Arial" w:eastAsia="Arial" w:hAnsi="Arial"/>
          <w:sz w:val="20"/>
          <w:szCs w:val="20"/>
          <w:color w:val="auto"/>
        </w:rPr>
        <w:t>trade letters of credit in an amount not to exceed the greater of (a) $25 million and</w:t>
      </w:r>
    </w:p>
    <w:p>
      <w:pPr>
        <w:spacing w:after="0" w:line="15" w:lineRule="exact"/>
        <w:rPr>
          <w:rFonts w:ascii="Arial" w:cs="Arial" w:eastAsia="Arial" w:hAnsi="Arial"/>
          <w:sz w:val="20"/>
          <w:szCs w:val="20"/>
          <w:color w:val="auto"/>
        </w:rPr>
      </w:pPr>
    </w:p>
    <w:p>
      <w:pPr>
        <w:ind w:left="1060" w:hanging="280"/>
        <w:spacing w:after="0"/>
        <w:tabs>
          <w:tab w:leader="none" w:pos="106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10.0% of LTM EBITDA at any one time outstanding; and</w:t>
      </w:r>
    </w:p>
    <w:p>
      <w:pPr>
        <w:spacing w:after="0" w:line="240" w:lineRule="exact"/>
        <w:rPr>
          <w:rFonts w:ascii="Arial" w:cs="Arial" w:eastAsia="Arial" w:hAnsi="Arial"/>
          <w:sz w:val="20"/>
          <w:szCs w:val="20"/>
          <w:color w:val="auto"/>
        </w:rPr>
      </w:pPr>
    </w:p>
    <w:p>
      <w:pPr>
        <w:ind w:left="1940" w:hanging="747"/>
        <w:spacing w:after="0"/>
        <w:tabs>
          <w:tab w:leader="none" w:pos="19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Disqualified Stock so long as on a pro forma basis the Interest Coverage Ratio is greater than or equal to 2.00 to</w:t>
      </w:r>
    </w:p>
    <w:p>
      <w:pPr>
        <w:spacing w:after="0" w:line="3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1.00.</w:t>
      </w:r>
    </w:p>
    <w:p>
      <w:pPr>
        <w:spacing w:after="0" w:line="240" w:lineRule="exact"/>
        <w:rPr>
          <w:sz w:val="20"/>
          <w:szCs w:val="20"/>
          <w:color w:val="auto"/>
        </w:rPr>
      </w:pPr>
    </w:p>
    <w:p>
      <w:pPr>
        <w:ind w:left="780" w:right="20" w:firstLine="649"/>
        <w:spacing w:after="0" w:line="260" w:lineRule="auto"/>
        <w:tabs>
          <w:tab w:leader="none" w:pos="1942"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and the outstanding principal amount of any particular Indebtedness Incurred pursuant to and in compliance with, this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-302-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-303-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33" w:name="page434"/>
    <w:bookmarkEnd w:id="43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721"/>
        <w:spacing w:after="0" w:line="246" w:lineRule="auto"/>
        <w:tabs>
          <w:tab w:leader="none" w:pos="19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in the event that all or any portion of any item of Indebtedness meets the criteria of more than one of the types of Indebtedness described in </w:t>
      </w:r>
      <w:r>
        <w:rPr>
          <w:rFonts w:ascii="Arial" w:cs="Arial" w:eastAsia="Arial" w:hAnsi="Arial"/>
          <w:sz w:val="20"/>
          <w:szCs w:val="20"/>
          <w:u w:val="single" w:color="auto"/>
          <w:color w:val="auto"/>
        </w:rPr>
        <w:t>Sections 7.03(a)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Borrower, in its sole discretion, will classify, and may from time to time reclassify, such item of Indebtedness (or any portion thereof) and only be required to include the amount and type of such Indebtedness in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or in one of the clauses of </w:t>
      </w:r>
      <w:r>
        <w:rPr>
          <w:rFonts w:ascii="Arial" w:cs="Arial" w:eastAsia="Arial" w:hAnsi="Arial"/>
          <w:sz w:val="20"/>
          <w:szCs w:val="20"/>
          <w:u w:val="single" w:color="auto"/>
          <w:color w:val="auto"/>
        </w:rPr>
        <w:t>Section 7.03(b)</w:t>
      </w:r>
      <w:r>
        <w:rPr>
          <w:rFonts w:ascii="Arial" w:cs="Arial" w:eastAsia="Arial" w:hAnsi="Arial"/>
          <w:sz w:val="20"/>
          <w:szCs w:val="20"/>
          <w:color w:val="auto"/>
        </w:rPr>
        <w:t>;</w:t>
      </w:r>
    </w:p>
    <w:p>
      <w:pPr>
        <w:spacing w:after="0" w:line="312" w:lineRule="exact"/>
        <w:rPr>
          <w:rFonts w:ascii="Arial" w:cs="Arial" w:eastAsia="Arial" w:hAnsi="Arial"/>
          <w:sz w:val="20"/>
          <w:szCs w:val="20"/>
          <w:color w:val="auto"/>
        </w:rPr>
      </w:pPr>
    </w:p>
    <w:p>
      <w:pPr>
        <w:jc w:val="both"/>
        <w:ind w:left="780" w:firstLine="667"/>
        <w:spacing w:after="0" w:line="243" w:lineRule="auto"/>
        <w:tabs>
          <w:tab w:leader="none" w:pos="19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additionally, all or any portion of any item of Indebtedness may later be reclassified as having been Incurred pursuant to any type of Indebtedness described in </w:t>
      </w:r>
      <w:r>
        <w:rPr>
          <w:rFonts w:ascii="Arial" w:cs="Arial" w:eastAsia="Arial" w:hAnsi="Arial"/>
          <w:sz w:val="20"/>
          <w:szCs w:val="20"/>
          <w:u w:val="single" w:color="auto"/>
          <w:color w:val="auto"/>
        </w:rPr>
        <w:t>Sections 7.03(a)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so long as such Indebtedness is permitted to be Incurred pursuant to such provision and any related Liens are permitted to be incurred at the time of reclassification (it being understood that any Indebtedness incurred pursuant to one of the clauses of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shall cease to be deemed incurred or outstanding for purposes of such clause but shall be deemed incurred for the purposes of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from and after the first date on which the Borrower or the Restricted Subsidiaries could have incurred such Indebtedness under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without reliance on such clause);</w:t>
      </w:r>
    </w:p>
    <w:p>
      <w:pPr>
        <w:spacing w:after="0" w:line="219" w:lineRule="exact"/>
        <w:rPr>
          <w:rFonts w:ascii="Arial" w:cs="Arial" w:eastAsia="Arial" w:hAnsi="Arial"/>
          <w:sz w:val="20"/>
          <w:szCs w:val="20"/>
          <w:color w:val="auto"/>
        </w:rPr>
      </w:pPr>
    </w:p>
    <w:p>
      <w:pPr>
        <w:ind w:left="780" w:firstLine="612"/>
        <w:spacing w:after="0" w:line="260" w:lineRule="auto"/>
        <w:tabs>
          <w:tab w:leader="none" w:pos="19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all Indebtedness under this Agreement shall be deemed to have been incurred under </w:t>
      </w:r>
      <w:r>
        <w:rPr>
          <w:rFonts w:ascii="Arial" w:cs="Arial" w:eastAsia="Arial" w:hAnsi="Arial"/>
          <w:sz w:val="20"/>
          <w:szCs w:val="20"/>
          <w:u w:val="single" w:color="auto"/>
          <w:color w:val="auto"/>
        </w:rPr>
        <w:t>Section 7.03(b)(i)</w:t>
      </w:r>
      <w:r>
        <w:rPr>
          <w:rFonts w:ascii="Arial" w:cs="Arial" w:eastAsia="Arial" w:hAnsi="Arial"/>
          <w:sz w:val="20"/>
          <w:szCs w:val="20"/>
          <w:color w:val="auto"/>
        </w:rPr>
        <w:t xml:space="preserve"> and such Indebtedness shall at all times be deemed incurred under such clause and shall not be reclassified;</w:t>
      </w:r>
    </w:p>
    <w:p>
      <w:pPr>
        <w:spacing w:after="0" w:line="217" w:lineRule="exact"/>
        <w:rPr>
          <w:rFonts w:ascii="Arial" w:cs="Arial" w:eastAsia="Arial" w:hAnsi="Arial"/>
          <w:sz w:val="20"/>
          <w:szCs w:val="20"/>
          <w:color w:val="auto"/>
        </w:rPr>
      </w:pPr>
    </w:p>
    <w:p>
      <w:pPr>
        <w:jc w:val="both"/>
        <w:ind w:left="780" w:right="20" w:firstLine="622"/>
        <w:spacing w:after="0" w:line="246" w:lineRule="auto"/>
        <w:tabs>
          <w:tab w:leader="none" w:pos="194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231" w:lineRule="exact"/>
        <w:rPr>
          <w:rFonts w:ascii="Arial" w:cs="Arial" w:eastAsia="Arial" w:hAnsi="Arial"/>
          <w:sz w:val="20"/>
          <w:szCs w:val="20"/>
          <w:color w:val="auto"/>
        </w:rPr>
      </w:pPr>
    </w:p>
    <w:p>
      <w:pPr>
        <w:jc w:val="both"/>
        <w:ind w:left="780" w:firstLine="678"/>
        <w:spacing w:after="0" w:line="250" w:lineRule="auto"/>
        <w:tabs>
          <w:tab w:leader="none" w:pos="194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212" w:lineRule="exact"/>
        <w:rPr>
          <w:rFonts w:ascii="Arial" w:cs="Arial" w:eastAsia="Arial" w:hAnsi="Arial"/>
          <w:sz w:val="20"/>
          <w:szCs w:val="20"/>
          <w:color w:val="auto"/>
        </w:rPr>
      </w:pPr>
    </w:p>
    <w:p>
      <w:pPr>
        <w:ind w:left="2060" w:hanging="658"/>
        <w:spacing w:after="0"/>
        <w:tabs>
          <w:tab w:leader="none" w:pos="206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780" w:firstLine="567"/>
        <w:spacing w:after="0" w:line="250" w:lineRule="auto"/>
        <w:tabs>
          <w:tab w:leader="none" w:pos="194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principal amount of any Disqualified Stock of Borrower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226" w:lineRule="exact"/>
        <w:rPr>
          <w:rFonts w:ascii="Arial" w:cs="Arial" w:eastAsia="Arial" w:hAnsi="Arial"/>
          <w:sz w:val="20"/>
          <w:szCs w:val="20"/>
          <w:color w:val="auto"/>
        </w:rPr>
      </w:pPr>
    </w:p>
    <w:p>
      <w:pPr>
        <w:jc w:val="both"/>
        <w:ind w:left="780" w:firstLine="512"/>
        <w:spacing w:after="0" w:line="250" w:lineRule="auto"/>
        <w:tabs>
          <w:tab w:leader="none" w:pos="194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Indebtedness permitted by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need not be permitted solely by reference to one provision permitting such Indebtedness but may be permitted in part by one such provision and in part by one or more other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permitting such Indebtedness;</w:t>
      </w:r>
    </w:p>
    <w:p>
      <w:pPr>
        <w:spacing w:after="0" w:line="212" w:lineRule="exact"/>
        <w:rPr>
          <w:rFonts w:ascii="Arial" w:cs="Arial" w:eastAsia="Arial" w:hAnsi="Arial"/>
          <w:sz w:val="20"/>
          <w:szCs w:val="20"/>
          <w:color w:val="auto"/>
        </w:rPr>
      </w:pPr>
    </w:p>
    <w:p>
      <w:pPr>
        <w:jc w:val="both"/>
        <w:ind w:left="780" w:firstLine="622"/>
        <w:spacing w:after="0" w:line="316" w:lineRule="auto"/>
        <w:tabs>
          <w:tab w:leader="none" w:pos="194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for all purposes under this Agreement, including for purposes of calculating the Interest Coverage Ratio, the Consolidated First Lien Secured Leverage Ratio, the Consolidated Total Senior Secured Leverage Ratio or the Consolidated Total Leverage Ratio, as applicable, in connection with the incurrence, issuance or assumption of any Indebtedness pursuant to Sections 7.03(a) or (b) or the incurrence or creation of any Lien pursuant to the definition of “Permitted Liens,” the Borrower may elect, at its option, to treat all or any portion of the committed amount of any Indebtedness (and the issuance and creation of letters of credit and bankers’ acceptances thereunder) which is to be incurred (or any commitment in respect thereof) or secured by such</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-304-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4" w:name="page435"/>
    <w:bookmarkEnd w:id="43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Lien, as the case may be (any such committed amount elected until revoked as described below,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-305-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35" w:name="page436"/>
    <w:bookmarkEnd w:id="43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70" w:lineRule="auto"/>
        <w:rPr>
          <w:sz w:val="20"/>
          <w:szCs w:val="20"/>
          <w:color w:val="auto"/>
        </w:rPr>
      </w:pPr>
      <w:r>
        <w:rPr>
          <w:rFonts w:ascii="Arial" w:cs="Arial" w:eastAsia="Arial" w:hAnsi="Arial"/>
          <w:sz w:val="18"/>
          <w:szCs w:val="18"/>
          <w:color w:val="auto"/>
        </w:rPr>
        <w:t>“Reserved Indebtedness Amount”), as being incurred as of such election date, and, if such Interest Coverage Ratio, the Consolidated First Lien Secured Leverage Ratio, the Consolidated Total Leverage Ratio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Section 7.03 or the definition of “Permitted Liens,” as applicable, whether or not the Interest Coverage Ratio, the Consolidated First Lien Secured Leverage Ratio, the Consolidated Total Senior Secured Leverage Ratio, the Consolidated Total Leverage Ratio or other provision of 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Interest Coverage Ratio, the Consolidated First Lien Secured Leverage Ratio, the Consolidated Total Senior Secured Leverage Ratio, the Consolidated Total Leverage Ratio or other provision of this Agreement, as applicable, the Reserved Indebtedness Amount shall be deemed to be outstanding, whether or not such amount is actually outstanding, for so long as such commitments are outstanding or until the Borrower revokes an election of a Reserved Indebtedness Amount;</w:t>
      </w:r>
    </w:p>
    <w:p>
      <w:pPr>
        <w:spacing w:after="0" w:line="213" w:lineRule="exact"/>
        <w:rPr>
          <w:sz w:val="20"/>
          <w:szCs w:val="20"/>
          <w:color w:val="auto"/>
        </w:rPr>
      </w:pPr>
    </w:p>
    <w:p>
      <w:pPr>
        <w:ind w:left="2080" w:hanging="624"/>
        <w:spacing w:after="0"/>
        <w:tabs>
          <w:tab w:leader="none" w:pos="208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left="780" w:firstLine="623"/>
        <w:spacing w:after="0" w:line="257" w:lineRule="auto"/>
        <w:tabs>
          <w:tab w:leader="none" w:pos="1938" w:val="left"/>
        </w:tabs>
        <w:numPr>
          <w:ilvl w:val="0"/>
          <w:numId w:val="319"/>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to the contrary, in the case of any Indebtedness incurred to refinance Indebtedness initially incurred in reliance on a clause of </w:t>
      </w:r>
      <w:r>
        <w:rPr>
          <w:rFonts w:ascii="Arial" w:cs="Arial" w:eastAsia="Arial" w:hAnsi="Arial"/>
          <w:sz w:val="19"/>
          <w:szCs w:val="19"/>
          <w:u w:val="single" w:color="auto"/>
          <w:color w:val="auto"/>
        </w:rPr>
        <w:t>Section 7.03(b)</w:t>
      </w:r>
      <w:r>
        <w:rPr>
          <w:rFonts w:ascii="Arial" w:cs="Arial" w:eastAsia="Arial" w:hAnsi="Arial"/>
          <w:sz w:val="19"/>
          <w:szCs w:val="19"/>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220" w:lineRule="exact"/>
        <w:rPr>
          <w:rFonts w:ascii="Arial" w:cs="Arial" w:eastAsia="Arial" w:hAnsi="Arial"/>
          <w:sz w:val="19"/>
          <w:szCs w:val="19"/>
          <w:color w:val="auto"/>
        </w:rPr>
      </w:pPr>
    </w:p>
    <w:p>
      <w:pPr>
        <w:ind w:left="780" w:firstLine="567"/>
        <w:spacing w:after="0" w:line="260" w:lineRule="auto"/>
        <w:tabs>
          <w:tab w:leader="none" w:pos="1937"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amount of Indebtedness issued at a price that is less than the principal amount thereof will be equal to the amount of the liability in respect thereof determined in accordance with GAAP.</w:t>
      </w:r>
    </w:p>
    <w:p>
      <w:pPr>
        <w:spacing w:after="0" w:line="217" w:lineRule="exact"/>
        <w:rPr>
          <w:rFonts w:ascii="Arial" w:cs="Arial" w:eastAsia="Arial" w:hAnsi="Arial"/>
          <w:sz w:val="20"/>
          <w:szCs w:val="20"/>
          <w:color w:val="auto"/>
        </w:rPr>
      </w:pPr>
    </w:p>
    <w:p>
      <w:pPr>
        <w:jc w:val="both"/>
        <w:ind w:left="780" w:firstLine="649"/>
        <w:spacing w:after="0" w:line="282" w:lineRule="auto"/>
        <w:tabs>
          <w:tab w:leader="none" w:pos="19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jc w:val="both"/>
        <w:ind w:left="780" w:firstLine="649"/>
        <w:spacing w:after="0" w:line="291" w:lineRule="auto"/>
        <w:tabs>
          <w:tab w:leader="none" w:pos="194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If at any time an Unrestricted Subsidiary becomes a Restricted Subsidiary, any Indebtedness of such Subsidiary shall be deemed to be Incurred by a Restricted Subsidiary of the Borrower as of such date (and, if such Indebtedness is not permitted to be Incurred as of such date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the Borrower shall be in default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59" w:lineRule="exact"/>
        <w:rPr>
          <w:rFonts w:ascii="Arial" w:cs="Arial" w:eastAsia="Arial" w:hAnsi="Arial"/>
          <w:sz w:val="18"/>
          <w:szCs w:val="18"/>
          <w:color w:val="auto"/>
        </w:rPr>
      </w:pPr>
    </w:p>
    <w:p>
      <w:pPr>
        <w:ind w:left="780" w:firstLine="649"/>
        <w:spacing w:after="0" w:line="260" w:lineRule="auto"/>
        <w:tabs>
          <w:tab w:leader="none" w:pos="194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For purposes of determining compliance with any U.S. Dollar-denominated restriction on the incurrence of Indebtedness, the U.S. Dollar equivalent principal amount of</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-306-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6" w:name="page437"/>
    <w:bookmarkEnd w:id="43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Indebtedness denominated in a foreign currency shall be calculated based on the relevant currency exchange rate in effect on the date such Indebtedness was Incurred, in the case of term debt, or first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-307-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37" w:name="page438"/>
    <w:bookmarkEnd w:id="43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74" w:lineRule="auto"/>
        <w:rPr>
          <w:sz w:val="20"/>
          <w:szCs w:val="20"/>
          <w:color w:val="auto"/>
        </w:rPr>
      </w:pPr>
      <w:r>
        <w:rPr>
          <w:rFonts w:ascii="Arial" w:cs="Arial" w:eastAsia="Arial" w:hAnsi="Arial"/>
          <w:sz w:val="18"/>
          <w:szCs w:val="18"/>
          <w:color w:val="auto"/>
        </w:rPr>
        <w:t xml:space="preserve">committed, in the case of revolving credit debt; </w:t>
      </w:r>
      <w:r>
        <w:rPr>
          <w:rFonts w:ascii="Arial" w:cs="Arial" w:eastAsia="Arial" w:hAnsi="Arial"/>
          <w:sz w:val="18"/>
          <w:szCs w:val="18"/>
          <w:i w:val="1"/>
          <w:iCs w:val="1"/>
          <w:color w:val="auto"/>
        </w:rPr>
        <w:t>provided</w:t>
      </w:r>
      <w:r>
        <w:rPr>
          <w:rFonts w:ascii="Arial" w:cs="Arial" w:eastAsia="Arial" w:hAnsi="Arial"/>
          <w:sz w:val="18"/>
          <w:szCs w:val="18"/>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209" w:lineRule="exact"/>
        <w:rPr>
          <w:sz w:val="20"/>
          <w:szCs w:val="20"/>
          <w:color w:val="auto"/>
        </w:rPr>
      </w:pPr>
    </w:p>
    <w:p>
      <w:pPr>
        <w:jc w:val="both"/>
        <w:ind w:left="780" w:firstLine="650"/>
        <w:spacing w:after="0" w:line="243" w:lineRule="auto"/>
        <w:tabs>
          <w:tab w:leader="none" w:pos="1943"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the maximum amount of Indebtedness that the Borrower or a Restricted Subsidiary may Incur pursuant to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222" w:lineRule="exact"/>
        <w:rPr>
          <w:rFonts w:ascii="Arial" w:cs="Arial" w:eastAsia="Arial" w:hAnsi="Arial"/>
          <w:sz w:val="20"/>
          <w:szCs w:val="20"/>
          <w:color w:val="auto"/>
        </w:rPr>
      </w:pPr>
    </w:p>
    <w:p>
      <w:pPr>
        <w:jc w:val="both"/>
        <w:ind w:left="780" w:firstLine="649"/>
        <w:spacing w:after="0" w:line="244" w:lineRule="auto"/>
        <w:tabs>
          <w:tab w:leader="none" w:pos="19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Borrower shall not, and shall not permit any Guarantor to Incur any Indebtedness (including Acquired Indebtedness) that is subordinated or junior in right of payment to any Indebtedness of the Borrower or such Guarantor, as the case may be, unless such Indebtedness is expressly subordinated in right of payment to the Secured Obligations or such Guarantor’s Guarantee to the extent and in the same manner as such Indebtedness is subordinated to other Indebtedness of the Borrower or such Guarantor, as the case may be.</w:t>
      </w:r>
    </w:p>
    <w:p>
      <w:pPr>
        <w:spacing w:after="0" w:line="235"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7.04</w:t>
      </w:r>
      <w:r>
        <w:rPr>
          <w:sz w:val="20"/>
          <w:szCs w:val="20"/>
          <w:color w:val="auto"/>
        </w:rPr>
        <w:tab/>
      </w:r>
      <w:r>
        <w:rPr>
          <w:rFonts w:ascii="Arial" w:cs="Arial" w:eastAsia="Arial" w:hAnsi="Arial"/>
          <w:sz w:val="18"/>
          <w:szCs w:val="18"/>
          <w:u w:val="single" w:color="auto"/>
          <w:color w:val="auto"/>
        </w:rPr>
        <w:t>Merger and Consolidation</w:t>
      </w:r>
      <w:r>
        <w:rPr>
          <w:rFonts w:ascii="Arial" w:cs="Arial" w:eastAsia="Arial" w:hAnsi="Arial"/>
          <w:sz w:val="18"/>
          <w:szCs w:val="18"/>
          <w:color w:val="auto"/>
        </w:rPr>
        <w:t>:</w:t>
      </w:r>
    </w:p>
    <w:p>
      <w:pPr>
        <w:spacing w:after="0" w:line="324" w:lineRule="exact"/>
        <w:rPr>
          <w:sz w:val="20"/>
          <w:szCs w:val="20"/>
          <w:color w:val="auto"/>
        </w:rPr>
      </w:pPr>
    </w:p>
    <w:p>
      <w:pPr>
        <w:ind w:left="780" w:right="100" w:firstLine="649"/>
        <w:spacing w:after="0" w:line="260" w:lineRule="auto"/>
        <w:tabs>
          <w:tab w:leader="none" w:pos="1945"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Borrower will not consolidate with or merge with or into, or convey, transfer or lease all or substantially all its assets to, any Person, unless either:</w:t>
      </w:r>
    </w:p>
    <w:p>
      <w:pPr>
        <w:spacing w:after="0" w:line="217" w:lineRule="exact"/>
        <w:rPr>
          <w:rFonts w:ascii="Arial" w:cs="Arial" w:eastAsia="Arial" w:hAnsi="Arial"/>
          <w:sz w:val="20"/>
          <w:szCs w:val="20"/>
          <w:color w:val="auto"/>
        </w:rPr>
      </w:pPr>
    </w:p>
    <w:p>
      <w:pPr>
        <w:ind w:left="2060" w:hanging="559"/>
        <w:spacing w:after="0"/>
        <w:tabs>
          <w:tab w:leader="none" w:pos="20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the Borrower is the surviving Person or</w:t>
      </w:r>
    </w:p>
    <w:p>
      <w:pPr>
        <w:spacing w:after="0" w:line="242" w:lineRule="exact"/>
        <w:rPr>
          <w:rFonts w:ascii="Arial" w:cs="Arial" w:eastAsia="Arial" w:hAnsi="Arial"/>
          <w:sz w:val="20"/>
          <w:szCs w:val="20"/>
          <w:color w:val="auto"/>
        </w:rPr>
      </w:pPr>
    </w:p>
    <w:p>
      <w:pPr>
        <w:ind w:left="2060" w:hanging="614"/>
        <w:spacing w:after="0"/>
        <w:tabs>
          <w:tab w:leader="none" w:pos="20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if the Borrower is not the surviving Person,</w:t>
      </w:r>
    </w:p>
    <w:p>
      <w:pPr>
        <w:spacing w:after="0" w:line="256" w:lineRule="exact"/>
        <w:rPr>
          <w:rFonts w:ascii="Arial" w:cs="Arial" w:eastAsia="Arial" w:hAnsi="Arial"/>
          <w:sz w:val="20"/>
          <w:szCs w:val="20"/>
          <w:color w:val="auto"/>
        </w:rPr>
      </w:pPr>
    </w:p>
    <w:p>
      <w:pPr>
        <w:jc w:val="both"/>
        <w:ind w:left="1440" w:firstLine="638"/>
        <w:spacing w:after="0" w:line="246" w:lineRule="auto"/>
        <w:tabs>
          <w:tab w:leader="none" w:pos="2602" w:val="left"/>
        </w:tabs>
        <w:numPr>
          <w:ilvl w:val="2"/>
          <w:numId w:val="321"/>
        </w:numPr>
        <w:rPr>
          <w:rFonts w:ascii="Arial" w:cs="Arial" w:eastAsia="Arial" w:hAnsi="Arial"/>
          <w:sz w:val="20"/>
          <w:szCs w:val="20"/>
          <w:color w:val="auto"/>
        </w:rPr>
      </w:pPr>
      <w:r>
        <w:rPr>
          <w:rFonts w:ascii="Arial" w:cs="Arial" w:eastAsia="Arial" w:hAnsi="Arial"/>
          <w:sz w:val="20"/>
          <w:szCs w:val="20"/>
          <w:color w:val="auto"/>
        </w:rPr>
        <w:t>the resulting, surviving or transferee Person (the “</w:t>
      </w:r>
      <w:r>
        <w:rPr>
          <w:rFonts w:ascii="Arial" w:cs="Arial" w:eastAsia="Arial" w:hAnsi="Arial"/>
          <w:sz w:val="20"/>
          <w:szCs w:val="20"/>
          <w:u w:val="single" w:color="auto"/>
          <w:color w:val="auto"/>
        </w:rPr>
        <w:t>Successor Company</w:t>
      </w:r>
      <w:r>
        <w:rPr>
          <w:rFonts w:ascii="Arial" w:cs="Arial" w:eastAsia="Arial" w:hAnsi="Arial"/>
          <w:sz w:val="20"/>
          <w:szCs w:val="20"/>
          <w:color w:val="auto"/>
        </w:rPr>
        <w:t>”) will be a Person organized or existing under the laws of the jurisdiction of the Borrower or the United States of America, any State of the United States or the District of Columbia or any territory thereof and the Successor Company (if not the Borrower) will expressly assume all the obligations of the Borrower hereunder;</w:t>
      </w:r>
    </w:p>
    <w:p>
      <w:pPr>
        <w:spacing w:after="0" w:line="231" w:lineRule="exact"/>
        <w:rPr>
          <w:rFonts w:ascii="Arial" w:cs="Arial" w:eastAsia="Arial" w:hAnsi="Arial"/>
          <w:sz w:val="20"/>
          <w:szCs w:val="20"/>
          <w:color w:val="auto"/>
        </w:rPr>
      </w:pPr>
    </w:p>
    <w:p>
      <w:pPr>
        <w:jc w:val="both"/>
        <w:ind w:left="1440" w:firstLine="637"/>
        <w:spacing w:after="0" w:line="246" w:lineRule="auto"/>
        <w:tabs>
          <w:tab w:leader="none" w:pos="2601" w:val="left"/>
        </w:tabs>
        <w:numPr>
          <w:ilvl w:val="2"/>
          <w:numId w:val="321"/>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w:t>
      </w:r>
    </w:p>
    <w:p>
      <w:pPr>
        <w:spacing w:after="0" w:line="218" w:lineRule="exact"/>
        <w:rPr>
          <w:rFonts w:ascii="Arial" w:cs="Arial" w:eastAsia="Arial" w:hAnsi="Arial"/>
          <w:sz w:val="20"/>
          <w:szCs w:val="20"/>
          <w:color w:val="auto"/>
        </w:rPr>
      </w:pPr>
    </w:p>
    <w:p>
      <w:pPr>
        <w:jc w:val="both"/>
        <w:ind w:left="1440" w:firstLine="638"/>
        <w:spacing w:after="0" w:line="250" w:lineRule="auto"/>
        <w:tabs>
          <w:tab w:leader="none" w:pos="2602" w:val="left"/>
        </w:tabs>
        <w:numPr>
          <w:ilvl w:val="2"/>
          <w:numId w:val="321"/>
        </w:numPr>
        <w:rPr>
          <w:rFonts w:ascii="Arial" w:cs="Arial" w:eastAsia="Arial" w:hAnsi="Arial"/>
          <w:sz w:val="20"/>
          <w:szCs w:val="20"/>
          <w:color w:val="auto"/>
        </w:rPr>
      </w:pPr>
      <w:r>
        <w:rPr>
          <w:rFonts w:ascii="Arial" w:cs="Arial" w:eastAsia="Arial" w:hAnsi="Arial"/>
          <w:sz w:val="20"/>
          <w:szCs w:val="20"/>
          <w:color w:val="auto"/>
        </w:rPr>
        <w:t>immediately after giving pro forma effect to such transaction, either (a) the Consolidated Total Leverage Ratio for the most recently ended Test Period does not exceed 2.80:1.00 or (b) the Consolidated Total Leverage Ratio of the Borrower and the</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-308-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38" w:name="page439"/>
    <w:bookmarkEnd w:id="43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Restricted Subsidiaries would not be higher than it was immediately prior to giving effect to such transaction;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-309-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440"/>
          </w:cols>
          <w:pgMar w:left="320" w:top="121" w:right="1139" w:bottom="1440" w:gutter="0" w:footer="0" w:header="0"/>
        </w:sectPr>
      </w:pPr>
    </w:p>
    <w:bookmarkStart w:id="439" w:name="page440"/>
    <w:bookmarkEnd w:id="43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20" w:firstLine="657"/>
        <w:spacing w:after="0" w:line="246" w:lineRule="auto"/>
        <w:tabs>
          <w:tab w:leader="none" w:pos="2581" w:val="left"/>
        </w:tabs>
        <w:numPr>
          <w:ilvl w:val="5"/>
          <w:numId w:val="322"/>
        </w:numPr>
        <w:rPr>
          <w:rFonts w:ascii="Arial" w:cs="Arial" w:eastAsia="Arial" w:hAnsi="Arial"/>
          <w:sz w:val="20"/>
          <w:szCs w:val="20"/>
          <w:color w:val="auto"/>
        </w:rPr>
      </w:pPr>
      <w:r>
        <w:rPr>
          <w:rFonts w:ascii="Arial" w:cs="Arial" w:eastAsia="Arial" w:hAnsi="Arial"/>
          <w:sz w:val="20"/>
          <w:szCs w:val="20"/>
          <w:color w:val="auto"/>
        </w:rPr>
        <w:t>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 including a beneficial ownership certificate;</w:t>
      </w:r>
    </w:p>
    <w:p>
      <w:pPr>
        <w:spacing w:after="0" w:line="231" w:lineRule="exact"/>
        <w:rPr>
          <w:rFonts w:ascii="Arial" w:cs="Arial" w:eastAsia="Arial" w:hAnsi="Arial"/>
          <w:sz w:val="20"/>
          <w:szCs w:val="20"/>
          <w:color w:val="auto"/>
        </w:rPr>
      </w:pPr>
    </w:p>
    <w:p>
      <w:pPr>
        <w:jc w:val="both"/>
        <w:ind w:left="780" w:firstLine="650"/>
        <w:spacing w:after="0" w:line="282" w:lineRule="auto"/>
        <w:tabs>
          <w:tab w:leader="none" w:pos="1943" w:val="left"/>
        </w:tabs>
        <w:numPr>
          <w:ilvl w:val="2"/>
          <w:numId w:val="32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7.04</w:t>
      </w:r>
      <w:r>
        <w:rPr>
          <w:rFonts w:ascii="Arial" w:cs="Arial" w:eastAsia="Arial" w:hAnsi="Arial"/>
          <w:sz w:val="18"/>
          <w:szCs w:val="18"/>
          <w:color w:val="auto"/>
        </w:rPr>
        <w:t>, the sale, lease, conveyance, assignment, transfer or other disposition of all or substantially all of the properties and assets of one or more Subsidiaries of the Borrower, which properties and assets, if held by the Borrower instead of such Subsidiaries, would constitute all or substantially all of the properties and assets of the Borrower on a consolidated basis, shall be deemed to be a transfer of all or substantially all of the properties and assets of the Borrower.</w:t>
      </w:r>
    </w:p>
    <w:p>
      <w:pPr>
        <w:spacing w:after="0" w:line="188" w:lineRule="exact"/>
        <w:rPr>
          <w:rFonts w:ascii="Arial" w:cs="Arial" w:eastAsia="Arial" w:hAnsi="Arial"/>
          <w:sz w:val="18"/>
          <w:szCs w:val="18"/>
          <w:color w:val="auto"/>
        </w:rPr>
      </w:pPr>
    </w:p>
    <w:p>
      <w:pPr>
        <w:ind w:left="2080" w:hanging="651"/>
        <w:spacing w:after="0"/>
        <w:tabs>
          <w:tab w:leader="none" w:pos="2080" w:val="left"/>
        </w:tabs>
        <w:numPr>
          <w:ilvl w:val="2"/>
          <w:numId w:val="323"/>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060" w:hanging="632"/>
        <w:spacing w:after="0"/>
        <w:tabs>
          <w:tab w:leader="none" w:pos="2060" w:val="left"/>
        </w:tabs>
        <w:numPr>
          <w:ilvl w:val="2"/>
          <w:numId w:val="323"/>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220" w:firstLine="1290"/>
        <w:spacing w:after="0" w:line="278" w:lineRule="auto"/>
        <w:tabs>
          <w:tab w:leader="none" w:pos="1948" w:val="left"/>
        </w:tabs>
        <w:numPr>
          <w:ilvl w:val="4"/>
          <w:numId w:val="32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7.04</w:t>
      </w:r>
      <w:r>
        <w:rPr>
          <w:rFonts w:ascii="Arial" w:cs="Arial" w:eastAsia="Arial" w:hAnsi="Arial"/>
          <w:sz w:val="18"/>
          <w:szCs w:val="18"/>
          <w:color w:val="auto"/>
        </w:rPr>
        <w:t>, (i) any Restricted Subsidiary may consolidate, amalgamate or otherwise combine with, merge into or transfer all or part of its properties and assets to the Borrower or a Guarantor, (ii) any Restricted Subsidiary may consolidate, amalgamate or otherwise combine with, merge into or transfer all or part of its properties and assets to any other Restricted Subsidiary and (iii) the Borrower and the Restricted Subsidiaries may complete any Disposition permitted under this Agreement, Permitted Investment, Permitted IPO Reorganization or Permitted Tax Restructuring.</w:t>
      </w:r>
    </w:p>
    <w:p>
      <w:pPr>
        <w:spacing w:after="0" w:line="191" w:lineRule="exact"/>
        <w:rPr>
          <w:rFonts w:ascii="Arial" w:cs="Arial" w:eastAsia="Arial" w:hAnsi="Arial"/>
          <w:sz w:val="18"/>
          <w:szCs w:val="18"/>
          <w:color w:val="auto"/>
        </w:rPr>
      </w:pPr>
    </w:p>
    <w:p>
      <w:pPr>
        <w:ind w:left="220" w:right="20" w:firstLine="1291"/>
        <w:spacing w:after="0" w:line="260" w:lineRule="auto"/>
        <w:tabs>
          <w:tab w:leader="none" w:pos="1950" w:val="left"/>
        </w:tabs>
        <w:numPr>
          <w:ilvl w:val="4"/>
          <w:numId w:val="323"/>
        </w:numPr>
        <w:rPr>
          <w:rFonts w:ascii="Arial" w:cs="Arial" w:eastAsia="Arial" w:hAnsi="Arial"/>
          <w:sz w:val="20"/>
          <w:szCs w:val="20"/>
          <w:color w:val="auto"/>
        </w:rPr>
      </w:pPr>
      <w:r>
        <w:rPr>
          <w:rFonts w:ascii="Arial" w:cs="Arial" w:eastAsia="Arial" w:hAnsi="Arial"/>
          <w:sz w:val="20"/>
          <w:szCs w:val="20"/>
          <w:color w:val="auto"/>
        </w:rPr>
        <w:t xml:space="preserve">The foregoing provisions (other than the requirements of </w:t>
      </w:r>
      <w:r>
        <w:rPr>
          <w:rFonts w:ascii="Arial" w:cs="Arial" w:eastAsia="Arial" w:hAnsi="Arial"/>
          <w:sz w:val="20"/>
          <w:szCs w:val="20"/>
          <w:u w:val="single" w:color="auto"/>
          <w:color w:val="auto"/>
        </w:rPr>
        <w:t>Section 7.04(b)</w:t>
      </w:r>
      <w:r>
        <w:rPr>
          <w:rFonts w:ascii="Arial" w:cs="Arial" w:eastAsia="Arial" w:hAnsi="Arial"/>
          <w:sz w:val="20"/>
          <w:szCs w:val="20"/>
          <w:color w:val="auto"/>
        </w:rPr>
        <w:t>) shall not apply to the creation of a new Subsidiary as a Restricted Subsidiary of the Borrower.</w:t>
      </w:r>
    </w:p>
    <w:p>
      <w:pPr>
        <w:spacing w:after="0" w:line="217" w:lineRule="exact"/>
        <w:rPr>
          <w:rFonts w:ascii="Arial" w:cs="Arial" w:eastAsia="Arial" w:hAnsi="Arial"/>
          <w:sz w:val="20"/>
          <w:szCs w:val="20"/>
          <w:color w:val="auto"/>
        </w:rPr>
      </w:pPr>
    </w:p>
    <w:p>
      <w:pPr>
        <w:ind w:left="220" w:firstLine="1290"/>
        <w:spacing w:after="0" w:line="260" w:lineRule="auto"/>
        <w:tabs>
          <w:tab w:leader="none" w:pos="1954" w:val="left"/>
        </w:tabs>
        <w:numPr>
          <w:ilvl w:val="4"/>
          <w:numId w:val="323"/>
        </w:numPr>
        <w:rPr>
          <w:rFonts w:ascii="Arial" w:cs="Arial" w:eastAsia="Arial" w:hAnsi="Arial"/>
          <w:sz w:val="20"/>
          <w:szCs w:val="20"/>
          <w:color w:val="auto"/>
        </w:rPr>
      </w:pPr>
      <w:r>
        <w:rPr>
          <w:rFonts w:ascii="Arial" w:cs="Arial" w:eastAsia="Arial" w:hAnsi="Arial"/>
          <w:sz w:val="20"/>
          <w:szCs w:val="20"/>
          <w:color w:val="auto"/>
        </w:rPr>
        <w:t>No Guarantor may consolidate with or merge or amalgamate with or into, or convey, transfer or lease all or substantially all its assets, in one or a series of related transactions, to any Person, unless:</w:t>
      </w:r>
    </w:p>
    <w:p>
      <w:pPr>
        <w:spacing w:after="0" w:line="217" w:lineRule="exact"/>
        <w:rPr>
          <w:rFonts w:ascii="Arial" w:cs="Arial" w:eastAsia="Arial" w:hAnsi="Arial"/>
          <w:sz w:val="20"/>
          <w:szCs w:val="20"/>
          <w:color w:val="auto"/>
        </w:rPr>
      </w:pPr>
    </w:p>
    <w:p>
      <w:pPr>
        <w:ind w:left="780" w:firstLine="722"/>
        <w:spacing w:after="0" w:line="260" w:lineRule="auto"/>
        <w:tabs>
          <w:tab w:leader="none" w:pos="1943" w:val="left"/>
        </w:tabs>
        <w:numPr>
          <w:ilvl w:val="3"/>
          <w:numId w:val="323"/>
        </w:numPr>
        <w:rPr>
          <w:rFonts w:ascii="Arial" w:cs="Arial" w:eastAsia="Arial" w:hAnsi="Arial"/>
          <w:sz w:val="20"/>
          <w:szCs w:val="20"/>
          <w:color w:val="auto"/>
        </w:rPr>
      </w:pPr>
      <w:r>
        <w:rPr>
          <w:rFonts w:ascii="Arial" w:cs="Arial" w:eastAsia="Arial" w:hAnsi="Arial"/>
          <w:sz w:val="20"/>
          <w:szCs w:val="20"/>
          <w:color w:val="auto"/>
        </w:rPr>
        <w:t>the other Person is the Borrower or any Restricted Subsidiary that is Guarantor or becomes a Guarantor concurrently with the transaction; or</w:t>
      </w:r>
    </w:p>
    <w:p>
      <w:pPr>
        <w:spacing w:after="0" w:line="203" w:lineRule="exact"/>
        <w:rPr>
          <w:rFonts w:ascii="Arial" w:cs="Arial" w:eastAsia="Arial" w:hAnsi="Arial"/>
          <w:sz w:val="20"/>
          <w:szCs w:val="20"/>
          <w:color w:val="auto"/>
        </w:rPr>
      </w:pPr>
    </w:p>
    <w:p>
      <w:pPr>
        <w:jc w:val="both"/>
        <w:ind w:left="780" w:firstLine="667"/>
        <w:spacing w:after="0" w:line="245" w:lineRule="auto"/>
        <w:tabs>
          <w:tab w:leader="none" w:pos="1943" w:val="left"/>
        </w:tabs>
        <w:numPr>
          <w:ilvl w:val="3"/>
          <w:numId w:val="323"/>
        </w:numPr>
        <w:rPr>
          <w:rFonts w:ascii="Arial" w:cs="Arial" w:eastAsia="Arial" w:hAnsi="Arial"/>
          <w:sz w:val="20"/>
          <w:szCs w:val="20"/>
          <w:color w:val="auto"/>
        </w:rPr>
      </w:pPr>
      <w:r>
        <w:rPr>
          <w:rFonts w:ascii="Arial" w:cs="Arial" w:eastAsia="Arial" w:hAnsi="Arial"/>
          <w:sz w:val="20"/>
          <w:szCs w:val="20"/>
          <w:color w:val="auto"/>
        </w:rPr>
        <w:t>(A) either (x) the Borrower or a Guarantor is the continuing Person or (y) the resulting, surviving or transferee Person expressly assumes all of the obligations of the Guarantor under its Guarantee of the Secured Obligations, this Agreement and the Collateral Documents; and</w:t>
      </w:r>
    </w:p>
    <w:p>
      <w:pPr>
        <w:ind w:left="1100" w:hanging="318"/>
        <w:spacing w:after="0"/>
        <w:tabs>
          <w:tab w:leader="none" w:pos="1100" w:val="left"/>
        </w:tabs>
        <w:numPr>
          <w:ilvl w:val="1"/>
          <w:numId w:val="324"/>
        </w:numPr>
        <w:rPr>
          <w:rFonts w:ascii="Arial" w:cs="Arial" w:eastAsia="Arial" w:hAnsi="Arial"/>
          <w:sz w:val="20"/>
          <w:szCs w:val="20"/>
          <w:color w:val="auto"/>
        </w:rPr>
      </w:pPr>
      <w:r>
        <w:rPr>
          <w:rFonts w:ascii="Arial" w:cs="Arial" w:eastAsia="Arial" w:hAnsi="Arial"/>
          <w:sz w:val="20"/>
          <w:szCs w:val="20"/>
          <w:color w:val="auto"/>
        </w:rPr>
        <w:t>immediately after giving effect to the transaction, no Event of Default shall have occurred and be continuing; or</w:t>
      </w:r>
    </w:p>
    <w:p>
      <w:pPr>
        <w:spacing w:after="0" w:line="240" w:lineRule="exact"/>
        <w:rPr>
          <w:rFonts w:ascii="Arial" w:cs="Arial" w:eastAsia="Arial" w:hAnsi="Arial"/>
          <w:sz w:val="20"/>
          <w:szCs w:val="20"/>
          <w:color w:val="auto"/>
        </w:rPr>
      </w:pPr>
    </w:p>
    <w:p>
      <w:pPr>
        <w:jc w:val="both"/>
        <w:ind w:left="780" w:firstLine="611"/>
        <w:spacing w:after="0" w:line="269" w:lineRule="auto"/>
        <w:tabs>
          <w:tab w:leader="none" w:pos="1942" w:val="left"/>
        </w:tabs>
        <w:numPr>
          <w:ilvl w:val="3"/>
          <w:numId w:val="324"/>
        </w:numPr>
        <w:rPr>
          <w:rFonts w:ascii="Arial" w:cs="Arial" w:eastAsia="Arial" w:hAnsi="Arial"/>
          <w:sz w:val="19"/>
          <w:szCs w:val="19"/>
          <w:color w:val="auto"/>
        </w:rPr>
      </w:pPr>
      <w:r>
        <w:rPr>
          <w:rFonts w:ascii="Arial" w:cs="Arial" w:eastAsia="Arial" w:hAnsi="Arial"/>
          <w:sz w:val="19"/>
          <w:szCs w:val="19"/>
          <w:color w:val="auto"/>
        </w:rPr>
        <w:t>the transaction constitutes a sale, disposition (including by way of consolidation, merger or amalgamation) or transfer of the Guarantor or the sale, disposition, conveyance, transfer or lease of all or substantially all of the assets of the Guarantor (in each case other than to the Borrower or a Restricted Subsidiary) otherwise permitted by this Agreement.</w:t>
      </w:r>
    </w:p>
    <w:p>
      <w:pPr>
        <w:spacing w:after="0" w:line="196" w:lineRule="exact"/>
        <w:rPr>
          <w:rFonts w:ascii="Arial" w:cs="Arial" w:eastAsia="Arial" w:hAnsi="Arial"/>
          <w:sz w:val="19"/>
          <w:szCs w:val="19"/>
          <w:color w:val="auto"/>
        </w:rPr>
      </w:pPr>
    </w:p>
    <w:p>
      <w:pPr>
        <w:ind w:left="2160" w:hanging="650"/>
        <w:spacing w:after="0"/>
        <w:tabs>
          <w:tab w:leader="none" w:pos="2160" w:val="left"/>
        </w:tabs>
        <w:numPr>
          <w:ilvl w:val="4"/>
          <w:numId w:val="324"/>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of this </w:t>
      </w:r>
      <w:r>
        <w:rPr>
          <w:rFonts w:ascii="Arial" w:cs="Arial" w:eastAsia="Arial" w:hAnsi="Arial"/>
          <w:sz w:val="20"/>
          <w:szCs w:val="20"/>
          <w:u w:val="single" w:color="auto"/>
          <w:color w:val="auto"/>
        </w:rPr>
        <w:t>Section 7.04</w:t>
      </w:r>
      <w:r>
        <w:rPr>
          <w:rFonts w:ascii="Arial" w:cs="Arial" w:eastAsia="Arial" w:hAnsi="Arial"/>
          <w:sz w:val="20"/>
          <w:szCs w:val="20"/>
          <w:color w:val="auto"/>
        </w:rPr>
        <w:t>, any Guarantor may</w:t>
      </w:r>
    </w:p>
    <w:p>
      <w:pPr>
        <w:spacing w:after="0" w:line="15" w:lineRule="exact"/>
        <w:rPr>
          <w:rFonts w:ascii="Arial" w:cs="Arial" w:eastAsia="Arial" w:hAnsi="Arial"/>
          <w:sz w:val="20"/>
          <w:szCs w:val="20"/>
          <w:color w:val="auto"/>
        </w:rPr>
      </w:pPr>
    </w:p>
    <w:p>
      <w:pPr>
        <w:ind w:left="220" w:hanging="6"/>
        <w:spacing w:after="0" w:line="244" w:lineRule="auto"/>
        <w:tabs>
          <w:tab w:leader="none" w:pos="49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consolidate, amalgamate or otherwise combine with, merge into or transfer all or part of its properties and assets to another Guarantor or the Borrower, (b) consolidate, amalgamate or otherwise combine with</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-310-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0" w:name="page441"/>
    <w:bookmarkEnd w:id="44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or merge into an Affiliate incorporated or organized for the purpose of changing the legal domicile of the Guarantor, reincorporating the Guarantor in another jurisdiction, or changing the legal form of the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-311-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1" w:name="page442"/>
    <w:bookmarkEnd w:id="44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20"/>
        <w:spacing w:after="0" w:line="247" w:lineRule="auto"/>
        <w:rPr>
          <w:sz w:val="20"/>
          <w:szCs w:val="20"/>
          <w:color w:val="auto"/>
        </w:rPr>
      </w:pPr>
      <w:r>
        <w:rPr>
          <w:rFonts w:ascii="Arial" w:cs="Arial" w:eastAsia="Arial" w:hAnsi="Arial"/>
          <w:sz w:val="20"/>
          <w:szCs w:val="20"/>
          <w:color w:val="auto"/>
        </w:rPr>
        <w:t>Guarantor, (c) convert into a corporation, partnership, limited partnership, limited liability company or trust organized or existing under the laws of the jurisdiction of organization of such Guarantor,</w:t>
      </w:r>
    </w:p>
    <w:p>
      <w:pPr>
        <w:spacing w:after="0" w:line="2" w:lineRule="exact"/>
        <w:rPr>
          <w:sz w:val="20"/>
          <w:szCs w:val="20"/>
          <w:color w:val="auto"/>
        </w:rPr>
      </w:pPr>
    </w:p>
    <w:p>
      <w:pPr>
        <w:jc w:val="both"/>
        <w:ind w:left="220" w:hanging="6"/>
        <w:spacing w:after="0" w:line="241" w:lineRule="auto"/>
        <w:tabs>
          <w:tab w:leader="none" w:pos="653" w:val="left"/>
        </w:tabs>
        <w:numPr>
          <w:ilvl w:val="0"/>
          <w:numId w:val="326"/>
        </w:numPr>
        <w:rPr>
          <w:rFonts w:ascii="Arial" w:cs="Arial" w:eastAsia="Arial" w:hAnsi="Arial"/>
          <w:sz w:val="20"/>
          <w:szCs w:val="20"/>
          <w:color w:val="auto"/>
        </w:rPr>
      </w:pPr>
      <w:r>
        <w:rPr>
          <w:rFonts w:ascii="Arial" w:cs="Arial" w:eastAsia="Arial" w:hAnsi="Arial"/>
          <w:sz w:val="20"/>
          <w:szCs w:val="20"/>
          <w:color w:val="auto"/>
        </w:rPr>
        <w:t xml:space="preserve">liquidate or dissolve or change its legal form if the Borrower determines in good faith that such action is in the best interests of the Borrower and (e) complete any Disposition permitted under this Agreement, Permitted Investment, Permitted IPO Reorganization or Permitted Tax Restructuring. Notwithstanding anything to the contrary in this </w:t>
      </w:r>
      <w:r>
        <w:rPr>
          <w:rFonts w:ascii="Arial" w:cs="Arial" w:eastAsia="Arial" w:hAnsi="Arial"/>
          <w:sz w:val="20"/>
          <w:szCs w:val="20"/>
          <w:u w:val="single" w:color="auto"/>
          <w:color w:val="auto"/>
        </w:rPr>
        <w:t>Section 7.04</w:t>
      </w:r>
      <w:r>
        <w:rPr>
          <w:rFonts w:ascii="Arial" w:cs="Arial" w:eastAsia="Arial" w:hAnsi="Arial"/>
          <w:sz w:val="20"/>
          <w:szCs w:val="20"/>
          <w:color w:val="auto"/>
        </w:rPr>
        <w:t>, the Borrower may contribute Capital Stock of any or all of its Subsidiaries to any Guarantor.</w:t>
      </w:r>
    </w:p>
    <w:p>
      <w:pPr>
        <w:spacing w:after="0" w:line="234" w:lineRule="exact"/>
        <w:rPr>
          <w:rFonts w:ascii="Arial" w:cs="Arial" w:eastAsia="Arial" w:hAnsi="Arial"/>
          <w:sz w:val="20"/>
          <w:szCs w:val="20"/>
          <w:color w:val="auto"/>
        </w:rPr>
      </w:pPr>
    </w:p>
    <w:p>
      <w:pPr>
        <w:ind w:left="2160" w:hanging="837"/>
        <w:spacing w:after="0"/>
        <w:tabs>
          <w:tab w:leader="none" w:pos="21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left="220" w:firstLine="1290"/>
        <w:spacing w:after="0" w:line="257" w:lineRule="auto"/>
        <w:tabs>
          <w:tab w:leader="none" w:pos="1770" w:val="left"/>
        </w:tabs>
        <w:numPr>
          <w:ilvl w:val="2"/>
          <w:numId w:val="326"/>
        </w:numPr>
        <w:rPr>
          <w:rFonts w:ascii="Arial" w:cs="Arial" w:eastAsia="Arial" w:hAnsi="Arial"/>
          <w:sz w:val="19"/>
          <w:szCs w:val="19"/>
          <w:color w:val="auto"/>
        </w:rPr>
      </w:pPr>
      <w:r>
        <w:rPr>
          <w:rFonts w:ascii="Arial" w:cs="Arial" w:eastAsia="Arial" w:hAnsi="Arial"/>
          <w:sz w:val="19"/>
          <w:szCs w:val="19"/>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225" w:lineRule="exact"/>
        <w:rPr>
          <w:sz w:val="20"/>
          <w:szCs w:val="20"/>
          <w:color w:val="auto"/>
        </w:rPr>
      </w:pPr>
    </w:p>
    <w:p>
      <w:pPr>
        <w:jc w:val="center"/>
        <w:ind w:right="-139"/>
        <w:spacing w:after="0"/>
        <w:tabs>
          <w:tab w:leader="none" w:pos="18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u w:val="single" w:color="auto"/>
          <w:color w:val="auto"/>
        </w:rPr>
        <w:t>Limitation on Sales of Assets and Subsidiary Stock</w:t>
      </w:r>
      <w:r>
        <w:rPr>
          <w:rFonts w:ascii="Arial" w:cs="Arial" w:eastAsia="Arial" w:hAnsi="Arial"/>
          <w:sz w:val="18"/>
          <w:szCs w:val="18"/>
          <w:color w:val="auto"/>
        </w:rPr>
        <w:t>.</w:t>
      </w:r>
    </w:p>
    <w:p>
      <w:pPr>
        <w:spacing w:after="0" w:line="337" w:lineRule="exact"/>
        <w:rPr>
          <w:sz w:val="20"/>
          <w:szCs w:val="20"/>
          <w:color w:val="auto"/>
        </w:rPr>
      </w:pPr>
    </w:p>
    <w:p>
      <w:pPr>
        <w:jc w:val="both"/>
        <w:ind w:left="780" w:right="20" w:firstLine="649"/>
        <w:spacing w:after="0" w:line="245" w:lineRule="auto"/>
        <w:tabs>
          <w:tab w:leader="none" w:pos="1945" w:val="left"/>
        </w:tabs>
        <w:numPr>
          <w:ilvl w:val="0"/>
          <w:numId w:val="327"/>
        </w:numPr>
        <w:rPr>
          <w:rFonts w:ascii="Arial" w:cs="Arial" w:eastAsia="Arial" w:hAnsi="Arial"/>
          <w:sz w:val="20"/>
          <w:szCs w:val="20"/>
          <w:color w:val="auto"/>
        </w:rPr>
      </w:pPr>
      <w:r>
        <w:rPr>
          <w:rFonts w:ascii="Arial" w:cs="Arial" w:eastAsia="Arial" w:hAnsi="Arial"/>
          <w:sz w:val="20"/>
          <w:szCs w:val="20"/>
          <w:color w:val="auto"/>
        </w:rPr>
        <w:t xml:space="preserve">The Borrower shall not, and shall not permit any of the Restricted Subsidiaries to, make any Asset Disposition other than Dispositions contemplated on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Dispositions in a principal amount in excess of $3.0 million is set forth on </w:t>
      </w:r>
      <w:r>
        <w:rPr>
          <w:rFonts w:ascii="Arial" w:cs="Arial" w:eastAsia="Arial" w:hAnsi="Arial"/>
          <w:sz w:val="20"/>
          <w:szCs w:val="20"/>
          <w:u w:val="single" w:color="auto"/>
          <w:color w:val="auto"/>
        </w:rPr>
        <w:t>Schedule</w:t>
      </w:r>
    </w:p>
    <w:p>
      <w:pPr>
        <w:ind w:left="780"/>
        <w:spacing w:after="0"/>
        <w:rPr>
          <w:rFonts w:ascii="Arial" w:cs="Arial" w:eastAsia="Arial" w:hAnsi="Arial"/>
          <w:sz w:val="20"/>
          <w:szCs w:val="20"/>
          <w:color w:val="auto"/>
        </w:rPr>
      </w:pPr>
      <w:r>
        <w:rPr>
          <w:rFonts w:ascii="Arial" w:cs="Arial" w:eastAsia="Arial" w:hAnsi="Arial"/>
          <w:sz w:val="20"/>
          <w:szCs w:val="20"/>
          <w:u w:val="single" w:color="auto"/>
          <w:color w:val="auto"/>
        </w:rPr>
        <w:t>7.05</w:t>
      </w:r>
      <w:r>
        <w:rPr>
          <w:rFonts w:ascii="Arial" w:cs="Arial" w:eastAsia="Arial" w:hAnsi="Arial"/>
          <w:sz w:val="20"/>
          <w:szCs w:val="20"/>
          <w:color w:val="auto"/>
        </w:rPr>
        <w:t xml:space="preserve"> to the Closing Date Certificate, unless:</w:t>
      </w:r>
    </w:p>
    <w:p>
      <w:pPr>
        <w:spacing w:after="0" w:line="308" w:lineRule="exact"/>
        <w:rPr>
          <w:sz w:val="20"/>
          <w:szCs w:val="20"/>
          <w:color w:val="auto"/>
        </w:rPr>
      </w:pPr>
    </w:p>
    <w:p>
      <w:pPr>
        <w:jc w:val="both"/>
        <w:ind w:left="780" w:firstLine="722"/>
        <w:spacing w:after="0" w:line="244" w:lineRule="auto"/>
        <w:tabs>
          <w:tab w:leader="none" w:pos="1947" w:val="left"/>
        </w:tabs>
        <w:numPr>
          <w:ilvl w:val="2"/>
          <w:numId w:val="328"/>
        </w:numPr>
        <w:rPr>
          <w:rFonts w:ascii="Arial" w:cs="Arial" w:eastAsia="Arial" w:hAnsi="Arial"/>
          <w:sz w:val="20"/>
          <w:szCs w:val="20"/>
          <w:color w:val="auto"/>
        </w:rPr>
      </w:pPr>
      <w:r>
        <w:rPr>
          <w:rFonts w:ascii="Arial" w:cs="Arial" w:eastAsia="Arial" w:hAnsi="Arial"/>
          <w:sz w:val="20"/>
          <w:szCs w:val="20"/>
          <w:color w:val="auto"/>
        </w:rPr>
        <w:t>Holdings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Borrower, of the shares and assets subject to such Asset Disposition (including, for the avoidance of doubt, if such Asset Disposition is a Permitted Asset Swap);</w:t>
      </w:r>
    </w:p>
    <w:p>
      <w:pPr>
        <w:spacing w:after="0" w:line="221" w:lineRule="exact"/>
        <w:rPr>
          <w:rFonts w:ascii="Arial" w:cs="Arial" w:eastAsia="Arial" w:hAnsi="Arial"/>
          <w:sz w:val="20"/>
          <w:szCs w:val="20"/>
          <w:color w:val="auto"/>
        </w:rPr>
      </w:pPr>
    </w:p>
    <w:p>
      <w:pPr>
        <w:jc w:val="both"/>
        <w:ind w:left="780" w:firstLine="666"/>
        <w:spacing w:after="0" w:line="243" w:lineRule="auto"/>
        <w:tabs>
          <w:tab w:leader="none" w:pos="1944" w:val="left"/>
        </w:tabs>
        <w:numPr>
          <w:ilvl w:val="1"/>
          <w:numId w:val="329"/>
        </w:numPr>
        <w:rPr>
          <w:rFonts w:ascii="Arial" w:cs="Arial" w:eastAsia="Arial" w:hAnsi="Arial"/>
          <w:sz w:val="20"/>
          <w:szCs w:val="20"/>
          <w:color w:val="auto"/>
        </w:rPr>
      </w:pPr>
      <w:r>
        <w:rPr>
          <w:rFonts w:ascii="Arial" w:cs="Arial" w:eastAsia="Arial" w:hAnsi="Arial"/>
          <w:sz w:val="20"/>
          <w:szCs w:val="20"/>
          <w:color w:val="auto"/>
        </w:rPr>
        <w:t>any such Asset Disposition, or series of related Asset Dispositions (except to the extent the Asset Disposition is a Permitted Asset Swap) with a purchase price in excess of the greater of $32.0 million and 15.0% of LTM EBITDA, at least 75.0% of the consideration from such Asset Disposition, together with all other Asset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w:t>
      </w:r>
    </w:p>
    <w:p>
      <w:pPr>
        <w:spacing w:after="0" w:line="236" w:lineRule="exact"/>
        <w:rPr>
          <w:rFonts w:ascii="Arial" w:cs="Arial" w:eastAsia="Arial" w:hAnsi="Arial"/>
          <w:sz w:val="20"/>
          <w:szCs w:val="20"/>
          <w:color w:val="auto"/>
        </w:rPr>
      </w:pPr>
    </w:p>
    <w:p>
      <w:pPr>
        <w:ind w:left="2060" w:hanging="669"/>
        <w:spacing w:after="0"/>
        <w:tabs>
          <w:tab w:leader="none" w:pos="206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the Borrower complies with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337" w:lineRule="exact"/>
        <w:rPr>
          <w:sz w:val="20"/>
          <w:szCs w:val="20"/>
          <w:color w:val="auto"/>
        </w:rPr>
      </w:pPr>
    </w:p>
    <w:p>
      <w:pPr>
        <w:ind w:left="2060" w:hanging="631"/>
        <w:spacing w:after="0"/>
        <w:tabs>
          <w:tab w:leader="none" w:pos="206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2060" w:hanging="631"/>
        <w:spacing w:after="0"/>
        <w:tabs>
          <w:tab w:leader="none" w:pos="206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060" w:hanging="631"/>
        <w:spacing w:after="0"/>
        <w:tabs>
          <w:tab w:leader="none" w:pos="206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-312-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2" w:name="page443"/>
    <w:bookmarkEnd w:id="44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420"/>
        <w:spacing w:after="0"/>
        <w:tabs>
          <w:tab w:leader="none" w:pos="204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-313-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43" w:name="page444"/>
    <w:bookmarkEnd w:id="44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60" w:hanging="631"/>
        <w:spacing w:after="0"/>
        <w:tabs>
          <w:tab w:leader="none" w:pos="206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For the purposes of </w:t>
      </w:r>
      <w:r>
        <w:rPr>
          <w:rFonts w:ascii="Arial" w:cs="Arial" w:eastAsia="Arial" w:hAnsi="Arial"/>
          <w:sz w:val="20"/>
          <w:szCs w:val="20"/>
          <w:u w:val="single" w:color="auto"/>
          <w:color w:val="auto"/>
        </w:rPr>
        <w:t>Section 7.05(a)(ii)</w:t>
      </w:r>
      <w:r>
        <w:rPr>
          <w:rFonts w:ascii="Arial" w:cs="Arial" w:eastAsia="Arial" w:hAnsi="Arial"/>
          <w:sz w:val="20"/>
          <w:szCs w:val="20"/>
          <w:color w:val="auto"/>
        </w:rPr>
        <w:t xml:space="preserve"> hereof, the following shall be deemed to be</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cash:</w:t>
      </w:r>
    </w:p>
    <w:p>
      <w:pPr>
        <w:spacing w:after="0" w:line="321" w:lineRule="exact"/>
        <w:rPr>
          <w:sz w:val="20"/>
          <w:szCs w:val="20"/>
          <w:color w:val="auto"/>
        </w:rPr>
      </w:pPr>
    </w:p>
    <w:p>
      <w:pPr>
        <w:jc w:val="both"/>
        <w:ind w:left="780" w:firstLine="722"/>
        <w:spacing w:after="0" w:line="291" w:lineRule="auto"/>
        <w:tabs>
          <w:tab w:leader="none" w:pos="1943" w:val="left"/>
        </w:tabs>
        <w:numPr>
          <w:ilvl w:val="4"/>
          <w:numId w:val="333"/>
        </w:numPr>
        <w:rPr>
          <w:rFonts w:ascii="Arial" w:cs="Arial" w:eastAsia="Arial" w:hAnsi="Arial"/>
          <w:sz w:val="18"/>
          <w:szCs w:val="18"/>
          <w:color w:val="auto"/>
        </w:rPr>
      </w:pPr>
      <w:r>
        <w:rPr>
          <w:rFonts w:ascii="Arial" w:cs="Arial" w:eastAsia="Arial" w:hAnsi="Arial"/>
          <w:sz w:val="18"/>
          <w:szCs w:val="18"/>
          <w:color w:val="auto"/>
        </w:rPr>
        <w:t>the assumption by the transferee of Indebtedness or other liabilities contingent or otherwise of the Borrower or a Restricted Subsidiary (other than Subordinated Indebtedness of the Borrower or a Guarantor) and the release of the Borrower or such Restricted Subsidiary from all liability on such Indebtedness or other liability in connection with such Asset Disposition;</w:t>
      </w:r>
    </w:p>
    <w:p>
      <w:pPr>
        <w:spacing w:after="0" w:line="178" w:lineRule="exact"/>
        <w:rPr>
          <w:rFonts w:ascii="Arial" w:cs="Arial" w:eastAsia="Arial" w:hAnsi="Arial"/>
          <w:sz w:val="18"/>
          <w:szCs w:val="18"/>
          <w:color w:val="auto"/>
        </w:rPr>
      </w:pPr>
    </w:p>
    <w:p>
      <w:pPr>
        <w:jc w:val="both"/>
        <w:ind w:left="780" w:firstLine="667"/>
        <w:spacing w:after="0" w:line="246" w:lineRule="auto"/>
        <w:tabs>
          <w:tab w:leader="none" w:pos="1943" w:val="left"/>
        </w:tabs>
        <w:numPr>
          <w:ilvl w:val="4"/>
          <w:numId w:val="333"/>
        </w:numPr>
        <w:rPr>
          <w:rFonts w:ascii="Arial" w:cs="Arial" w:eastAsia="Arial" w:hAnsi="Arial"/>
          <w:sz w:val="20"/>
          <w:szCs w:val="20"/>
          <w:color w:val="auto"/>
        </w:rPr>
      </w:pPr>
      <w:r>
        <w:rPr>
          <w:rFonts w:ascii="Arial" w:cs="Arial" w:eastAsia="Arial" w:hAnsi="Arial"/>
          <w:sz w:val="20"/>
          <w:szCs w:val="20"/>
          <w:color w:val="auto"/>
        </w:rPr>
        <w:t>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270 days following the closing of such Asset Disposition;</w:t>
      </w:r>
    </w:p>
    <w:p>
      <w:pPr>
        <w:spacing w:after="0" w:line="299" w:lineRule="exact"/>
        <w:rPr>
          <w:rFonts w:ascii="Arial" w:cs="Arial" w:eastAsia="Arial" w:hAnsi="Arial"/>
          <w:sz w:val="20"/>
          <w:szCs w:val="20"/>
          <w:color w:val="auto"/>
        </w:rPr>
      </w:pPr>
    </w:p>
    <w:p>
      <w:pPr>
        <w:ind w:left="2060" w:hanging="669"/>
        <w:spacing w:after="0"/>
        <w:tabs>
          <w:tab w:leader="none" w:pos="2060" w:val="left"/>
        </w:tabs>
        <w:numPr>
          <w:ilvl w:val="4"/>
          <w:numId w:val="333"/>
        </w:numPr>
        <w:rPr>
          <w:rFonts w:ascii="Arial" w:cs="Arial" w:eastAsia="Arial" w:hAnsi="Arial"/>
          <w:sz w:val="20"/>
          <w:szCs w:val="20"/>
          <w:color w:val="auto"/>
        </w:rPr>
      </w:pPr>
      <w:r>
        <w:rPr>
          <w:rFonts w:ascii="Arial" w:cs="Arial" w:eastAsia="Arial" w:hAnsi="Arial"/>
          <w:sz w:val="20"/>
          <w:szCs w:val="20"/>
          <w:color w:val="auto"/>
        </w:rPr>
        <w:t xml:space="preserve">any Capital Stock or assets of the kind referred to in </w:t>
      </w:r>
      <w:r>
        <w:rPr>
          <w:rFonts w:ascii="Arial" w:cs="Arial" w:eastAsia="Arial" w:hAnsi="Arial"/>
          <w:sz w:val="20"/>
          <w:szCs w:val="20"/>
          <w:u w:val="single" w:color="auto"/>
          <w:color w:val="auto"/>
        </w:rPr>
        <w:t>Section 2.05(b)(ii)(B)(i)</w:t>
      </w:r>
      <w:r>
        <w:rPr>
          <w:rFonts w:ascii="Arial" w:cs="Arial" w:eastAsia="Arial" w:hAnsi="Arial"/>
          <w:sz w:val="20"/>
          <w:szCs w:val="20"/>
          <w:color w:val="auto"/>
        </w:rPr>
        <w:t xml:space="preserve"> and</w:t>
      </w:r>
    </w:p>
    <w:p>
      <w:pPr>
        <w:spacing w:after="0" w:line="20" w:lineRule="exact"/>
        <w:rPr>
          <w:rFonts w:ascii="Arial" w:cs="Arial" w:eastAsia="Arial" w:hAnsi="Arial"/>
          <w:sz w:val="20"/>
          <w:szCs w:val="20"/>
          <w:color w:val="auto"/>
        </w:rPr>
      </w:pPr>
    </w:p>
    <w:p>
      <w:pPr>
        <w:ind w:left="1020" w:hanging="239"/>
        <w:spacing w:after="0"/>
        <w:tabs>
          <w:tab w:leader="none" w:pos="1020" w:val="left"/>
        </w:tabs>
        <w:numPr>
          <w:ilvl w:val="0"/>
          <w:numId w:val="334"/>
        </w:numPr>
        <w:rPr>
          <w:rFonts w:ascii="Arial" w:cs="Arial" w:eastAsia="Arial" w:hAnsi="Arial"/>
          <w:sz w:val="18"/>
          <w:szCs w:val="18"/>
          <w:color w:val="auto"/>
        </w:rPr>
      </w:pPr>
      <w:r>
        <w:rPr>
          <w:rFonts w:ascii="Arial" w:cs="Arial" w:eastAsia="Arial" w:hAnsi="Arial"/>
          <w:sz w:val="20"/>
          <w:szCs w:val="20"/>
          <w:color w:val="auto"/>
        </w:rPr>
        <w:t>;</w:t>
      </w:r>
    </w:p>
    <w:p>
      <w:pPr>
        <w:spacing w:after="0" w:line="316" w:lineRule="exact"/>
        <w:rPr>
          <w:rFonts w:ascii="Arial" w:cs="Arial" w:eastAsia="Arial" w:hAnsi="Arial"/>
          <w:sz w:val="18"/>
          <w:szCs w:val="18"/>
          <w:color w:val="auto"/>
        </w:rPr>
      </w:pPr>
    </w:p>
    <w:p>
      <w:pPr>
        <w:jc w:val="both"/>
        <w:ind w:left="780" w:firstLine="622"/>
        <w:spacing w:after="0" w:line="250" w:lineRule="auto"/>
        <w:tabs>
          <w:tab w:leader="none" w:pos="1941" w:val="left"/>
        </w:tabs>
        <w:numPr>
          <w:ilvl w:val="1"/>
          <w:numId w:val="334"/>
        </w:numPr>
        <w:rPr>
          <w:rFonts w:ascii="Arial" w:cs="Arial" w:eastAsia="Arial" w:hAnsi="Arial"/>
          <w:sz w:val="20"/>
          <w:szCs w:val="20"/>
          <w:color w:val="auto"/>
        </w:rPr>
      </w:pPr>
      <w:r>
        <w:rPr>
          <w:rFonts w:ascii="Arial" w:cs="Arial" w:eastAsia="Arial" w:hAnsi="Arial"/>
          <w:sz w:val="20"/>
          <w:szCs w:val="20"/>
          <w:color w:val="auto"/>
        </w:rPr>
        <w:t>Indebtedness of any Restricted Subsidiary that is no longer a Restricted Subsidiary as a result of such Asset Disposition, to the extent that the Borrower and each other Restricted Subsidiary are released from any Guarantee of payment of such Indebtedness in connection with such Asset Disposition;</w:t>
      </w:r>
    </w:p>
    <w:p>
      <w:pPr>
        <w:spacing w:after="0" w:line="212" w:lineRule="exact"/>
        <w:rPr>
          <w:rFonts w:ascii="Arial" w:cs="Arial" w:eastAsia="Arial" w:hAnsi="Arial"/>
          <w:sz w:val="20"/>
          <w:szCs w:val="20"/>
          <w:color w:val="auto"/>
        </w:rPr>
      </w:pPr>
    </w:p>
    <w:p>
      <w:pPr>
        <w:ind w:left="780" w:right="20" w:firstLine="678"/>
        <w:spacing w:after="0" w:line="287" w:lineRule="auto"/>
        <w:tabs>
          <w:tab w:leader="none" w:pos="1943" w:val="left"/>
        </w:tabs>
        <w:numPr>
          <w:ilvl w:val="3"/>
          <w:numId w:val="334"/>
        </w:numPr>
        <w:rPr>
          <w:rFonts w:ascii="Arial" w:cs="Arial" w:eastAsia="Arial" w:hAnsi="Arial"/>
          <w:sz w:val="19"/>
          <w:szCs w:val="19"/>
          <w:color w:val="auto"/>
        </w:rPr>
      </w:pPr>
      <w:r>
        <w:rPr>
          <w:rFonts w:ascii="Arial" w:cs="Arial" w:eastAsia="Arial" w:hAnsi="Arial"/>
          <w:sz w:val="19"/>
          <w:szCs w:val="19"/>
          <w:color w:val="auto"/>
        </w:rPr>
        <w:t>consideration consisting of Indebtedness of the Borrower (other than Disqualified Stock or Subordinated Indebtedness) received after the Closing Date from Persons who are not Holdings or any Restricted Subsidiary; and</w:t>
      </w:r>
    </w:p>
    <w:p>
      <w:pPr>
        <w:spacing w:after="0" w:line="192" w:lineRule="exact"/>
        <w:rPr>
          <w:rFonts w:ascii="Arial" w:cs="Arial" w:eastAsia="Arial" w:hAnsi="Arial"/>
          <w:sz w:val="19"/>
          <w:szCs w:val="19"/>
          <w:color w:val="auto"/>
        </w:rPr>
      </w:pPr>
    </w:p>
    <w:p>
      <w:pPr>
        <w:jc w:val="both"/>
        <w:ind w:left="780" w:firstLine="622"/>
        <w:spacing w:after="0" w:line="244" w:lineRule="auto"/>
        <w:tabs>
          <w:tab w:leader="none" w:pos="1942" w:val="left"/>
        </w:tabs>
        <w:numPr>
          <w:ilvl w:val="2"/>
          <w:numId w:val="334"/>
        </w:numPr>
        <w:rPr>
          <w:rFonts w:ascii="Arial" w:cs="Arial" w:eastAsia="Arial" w:hAnsi="Arial"/>
          <w:sz w:val="20"/>
          <w:szCs w:val="20"/>
          <w:color w:val="auto"/>
        </w:rPr>
      </w:pPr>
      <w:r>
        <w:rPr>
          <w:rFonts w:ascii="Arial" w:cs="Arial" w:eastAsia="Arial" w:hAnsi="Arial"/>
          <w:sz w:val="20"/>
          <w:szCs w:val="20"/>
          <w:color w:val="auto"/>
        </w:rPr>
        <w:t xml:space="preserve">any Designated Non-Cash Consideration received by the Borrower or any Restricted Subsidiary in such Asset Dispositions having an aggregate fair market value, taken together with all other Designated Non-Cash Consideration received pursuant to this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that is at that time outstanding, not to exceed the greater of $64.0 million and 30.0% of LTM EBITDA (with the fair market value of each item of Designated Non-Cash Consideration being measured at the time received and without giving effect to subsequent changes in value).</w:t>
      </w:r>
    </w:p>
    <w:p>
      <w:pPr>
        <w:spacing w:after="0" w:line="221" w:lineRule="exact"/>
        <w:rPr>
          <w:sz w:val="20"/>
          <w:szCs w:val="20"/>
          <w:color w:val="auto"/>
        </w:rPr>
      </w:pPr>
    </w:p>
    <w:p>
      <w:pPr>
        <w:jc w:val="both"/>
        <w:ind w:left="140"/>
        <w:spacing w:after="0" w:line="282" w:lineRule="auto"/>
        <w:rPr>
          <w:sz w:val="20"/>
          <w:szCs w:val="20"/>
          <w:color w:val="auto"/>
        </w:rPr>
      </w:pPr>
      <w:r>
        <w:rPr>
          <w:rFonts w:ascii="Arial" w:cs="Arial" w:eastAsia="Arial" w:hAnsi="Arial"/>
          <w:sz w:val="18"/>
          <w:szCs w:val="18"/>
          <w:color w:val="auto"/>
        </w:rPr>
        <w:t xml:space="preserve">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 Restricted Subsidiary that is not a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Loan Parties shall be permitted to grant non-exclusive licenses to to any Unrestricted Subsidiary or any Restricted Subsidiary that is not a Loan Party in the ordinary course of business.</w:t>
      </w:r>
    </w:p>
    <w:p>
      <w:pPr>
        <w:spacing w:after="0" w:line="269"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7.06</w:t>
      </w:r>
      <w:r>
        <w:rPr>
          <w:sz w:val="20"/>
          <w:szCs w:val="20"/>
          <w:color w:val="auto"/>
        </w:rPr>
        <w:tab/>
      </w:r>
      <w:r>
        <w:rPr>
          <w:rFonts w:ascii="Arial" w:cs="Arial" w:eastAsia="Arial" w:hAnsi="Arial"/>
          <w:sz w:val="18"/>
          <w:szCs w:val="18"/>
          <w:u w:val="single" w:color="auto"/>
          <w:color w:val="auto"/>
        </w:rPr>
        <w:t>Restricted Payments &amp; Modification of Subordinated Indebtedness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Documents</w:t>
      </w:r>
      <w:r>
        <w:rPr>
          <w:rFonts w:ascii="Arial" w:cs="Arial" w:eastAsia="Arial" w:hAnsi="Arial"/>
          <w:sz w:val="20"/>
          <w:szCs w:val="20"/>
          <w:color w:val="auto"/>
        </w:rPr>
        <w:t>.</w:t>
      </w:r>
    </w:p>
    <w:p>
      <w:pPr>
        <w:spacing w:after="0" w:line="321" w:lineRule="exact"/>
        <w:rPr>
          <w:sz w:val="20"/>
          <w:szCs w:val="20"/>
          <w:color w:val="auto"/>
        </w:rPr>
      </w:pPr>
    </w:p>
    <w:p>
      <w:pPr>
        <w:ind w:left="1940" w:hanging="511"/>
        <w:spacing w:after="0"/>
        <w:tabs>
          <w:tab w:leader="none" w:pos="19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Holdings shall not, and shall not permit any of its Restricted Subsidiaries, directly or indirectly, to:</w:t>
      </w:r>
    </w:p>
    <w:p>
      <w:pPr>
        <w:spacing w:after="0" w:line="242" w:lineRule="exact"/>
        <w:rPr>
          <w:rFonts w:ascii="Arial" w:cs="Arial" w:eastAsia="Arial" w:hAnsi="Arial"/>
          <w:sz w:val="20"/>
          <w:szCs w:val="20"/>
          <w:color w:val="auto"/>
        </w:rPr>
      </w:pPr>
    </w:p>
    <w:p>
      <w:pPr>
        <w:ind w:left="780" w:right="20" w:firstLine="722"/>
        <w:spacing w:after="0" w:line="260" w:lineRule="auto"/>
        <w:tabs>
          <w:tab w:leader="none" w:pos="1943" w:val="left"/>
        </w:tabs>
        <w:numPr>
          <w:ilvl w:val="1"/>
          <w:numId w:val="335"/>
        </w:numPr>
        <w:rPr>
          <w:rFonts w:ascii="Arial" w:cs="Arial" w:eastAsia="Arial" w:hAnsi="Arial"/>
          <w:sz w:val="20"/>
          <w:szCs w:val="20"/>
          <w:color w:val="auto"/>
        </w:rPr>
      </w:pPr>
      <w:r>
        <w:rPr>
          <w:rFonts w:ascii="Arial" w:cs="Arial" w:eastAsia="Arial" w:hAnsi="Arial"/>
          <w:sz w:val="20"/>
          <w:szCs w:val="20"/>
          <w:color w:val="auto"/>
        </w:rPr>
        <w:t>declare or pay any dividend or make any distribution on or in respect of Holdings or any Restricted Subsidiary’s Capital Stock (including any such payment in connection with any</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-314-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4" w:name="page445"/>
    <w:bookmarkEnd w:id="44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merger, amalgamation or consolidation involving Holdings or any of its Restricted Subsidiaries) except: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-315-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45" w:name="page446"/>
    <w:bookmarkEnd w:id="44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80" w:hanging="2"/>
        <w:spacing w:after="0" w:line="287" w:lineRule="auto"/>
        <w:tabs>
          <w:tab w:leader="none" w:pos="2593" w:val="left"/>
        </w:tabs>
        <w:numPr>
          <w:ilvl w:val="2"/>
          <w:numId w:val="336"/>
        </w:numPr>
        <w:rPr>
          <w:rFonts w:ascii="Arial" w:cs="Arial" w:eastAsia="Arial" w:hAnsi="Arial"/>
          <w:sz w:val="19"/>
          <w:szCs w:val="19"/>
          <w:color w:val="auto"/>
        </w:rPr>
      </w:pPr>
      <w:r>
        <w:rPr>
          <w:rFonts w:ascii="Arial" w:cs="Arial" w:eastAsia="Arial" w:hAnsi="Arial"/>
          <w:sz w:val="19"/>
          <w:szCs w:val="19"/>
          <w:color w:val="auto"/>
        </w:rPr>
        <w:t>dividends, payments or distributions payable in Capital Stock of Holdings (other than Disqualified Stock) or in options, warrants or other rights to purchase such Capital Stock of Holdings; and</w:t>
      </w:r>
    </w:p>
    <w:p>
      <w:pPr>
        <w:spacing w:after="0" w:line="192" w:lineRule="exact"/>
        <w:rPr>
          <w:rFonts w:ascii="Arial" w:cs="Arial" w:eastAsia="Arial" w:hAnsi="Arial"/>
          <w:sz w:val="19"/>
          <w:szCs w:val="19"/>
          <w:color w:val="auto"/>
        </w:rPr>
      </w:pPr>
    </w:p>
    <w:p>
      <w:pPr>
        <w:jc w:val="both"/>
        <w:ind w:left="2080" w:hanging="3"/>
        <w:spacing w:after="0" w:line="250" w:lineRule="auto"/>
        <w:tabs>
          <w:tab w:leader="none" w:pos="2592" w:val="left"/>
        </w:tabs>
        <w:numPr>
          <w:ilvl w:val="2"/>
          <w:numId w:val="336"/>
        </w:numPr>
        <w:rPr>
          <w:rFonts w:ascii="Arial" w:cs="Arial" w:eastAsia="Arial" w:hAnsi="Arial"/>
          <w:sz w:val="20"/>
          <w:szCs w:val="20"/>
          <w:color w:val="auto"/>
        </w:rPr>
      </w:pPr>
      <w:r>
        <w:rPr>
          <w:rFonts w:ascii="Arial" w:cs="Arial" w:eastAsia="Arial" w:hAnsi="Arial"/>
          <w:sz w:val="20"/>
          <w:szCs w:val="20"/>
          <w:color w:val="auto"/>
        </w:rPr>
        <w:t xml:space="preserve">dividends, payments or distributions payable to Holdings or a Restricted Subsidiary (and, in the case of any such Restricted Subsidiary making such dividend or distribution, to holders of its Capital Stock other than Holdings or another Restricted Subsidiary on no more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w:t>
      </w:r>
    </w:p>
    <w:p>
      <w:pPr>
        <w:spacing w:after="0" w:line="212" w:lineRule="exact"/>
        <w:rPr>
          <w:rFonts w:ascii="Arial" w:cs="Arial" w:eastAsia="Arial" w:hAnsi="Arial"/>
          <w:sz w:val="20"/>
          <w:szCs w:val="20"/>
          <w:color w:val="auto"/>
        </w:rPr>
      </w:pPr>
    </w:p>
    <w:p>
      <w:pPr>
        <w:ind w:left="780" w:right="20" w:firstLine="667"/>
        <w:spacing w:after="0" w:line="260" w:lineRule="auto"/>
        <w:tabs>
          <w:tab w:leader="none" w:pos="1941" w:val="left"/>
        </w:tabs>
        <w:numPr>
          <w:ilvl w:val="0"/>
          <w:numId w:val="337"/>
        </w:numPr>
        <w:rPr>
          <w:rFonts w:ascii="Arial" w:cs="Arial" w:eastAsia="Arial" w:hAnsi="Arial"/>
          <w:sz w:val="20"/>
          <w:szCs w:val="20"/>
          <w:color w:val="auto"/>
        </w:rPr>
      </w:pPr>
      <w:r>
        <w:rPr>
          <w:rFonts w:ascii="Arial" w:cs="Arial" w:eastAsia="Arial" w:hAnsi="Arial"/>
          <w:sz w:val="20"/>
          <w:szCs w:val="20"/>
          <w:color w:val="auto"/>
        </w:rPr>
        <w:t>purchase, repurchase, redeem, retire or otherwise acquire or retire for value any Capital Stock of Holdings, the Borrower or any Parent Entity held by Persons other than Holdings or a Restricted Subsidiary;</w:t>
      </w:r>
    </w:p>
    <w:p>
      <w:pPr>
        <w:spacing w:after="0" w:line="217" w:lineRule="exact"/>
        <w:rPr>
          <w:rFonts w:ascii="Arial" w:cs="Arial" w:eastAsia="Arial" w:hAnsi="Arial"/>
          <w:sz w:val="20"/>
          <w:szCs w:val="20"/>
          <w:color w:val="auto"/>
        </w:rPr>
      </w:pPr>
    </w:p>
    <w:p>
      <w:pPr>
        <w:ind w:left="780" w:firstLine="611"/>
        <w:spacing w:after="0" w:line="287" w:lineRule="auto"/>
        <w:tabs>
          <w:tab w:leader="none" w:pos="194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purchase, repurchase, redeem, defease or otherwise acquire or retire for value, prior to scheduled maturity, scheduled repayment or scheduled sinking fund payment, any Subordinated Indebtedness in excess of $20,000,000, or</w:t>
      </w:r>
    </w:p>
    <w:p>
      <w:pPr>
        <w:spacing w:after="0" w:line="192" w:lineRule="exact"/>
        <w:rPr>
          <w:rFonts w:ascii="Arial" w:cs="Arial" w:eastAsia="Arial" w:hAnsi="Arial"/>
          <w:sz w:val="19"/>
          <w:szCs w:val="19"/>
          <w:color w:val="auto"/>
        </w:rPr>
      </w:pPr>
    </w:p>
    <w:p>
      <w:pPr>
        <w:ind w:left="2080" w:hanging="678"/>
        <w:spacing w:after="0"/>
        <w:tabs>
          <w:tab w:leader="none" w:pos="208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make any Restricted Investment;</w:t>
      </w:r>
    </w:p>
    <w:p>
      <w:pPr>
        <w:spacing w:after="0" w:line="243" w:lineRule="exact"/>
        <w:rPr>
          <w:sz w:val="20"/>
          <w:szCs w:val="20"/>
          <w:color w:val="auto"/>
        </w:rPr>
      </w:pPr>
    </w:p>
    <w:p>
      <w:pPr>
        <w:jc w:val="both"/>
        <w:ind w:left="780"/>
        <w:spacing w:after="0" w:line="259" w:lineRule="auto"/>
        <w:rPr>
          <w:sz w:val="20"/>
          <w:szCs w:val="20"/>
          <w:color w:val="auto"/>
        </w:rPr>
      </w:pPr>
      <w:r>
        <w:rPr>
          <w:rFonts w:ascii="Arial" w:cs="Arial" w:eastAsia="Arial" w:hAnsi="Arial"/>
          <w:sz w:val="19"/>
          <w:szCs w:val="19"/>
          <w:color w:val="auto"/>
        </w:rPr>
        <w:t>(any such dividend, distribution, payment, purchase, redemption, repurchase, defeasance, other acquisition, retirement or Restricted Investment referred to in clauses (i) through (iv) above are referred to herein as a “</w:t>
      </w:r>
      <w:r>
        <w:rPr>
          <w:rFonts w:ascii="Arial" w:cs="Arial" w:eastAsia="Arial" w:hAnsi="Arial"/>
          <w:sz w:val="19"/>
          <w:szCs w:val="19"/>
          <w:u w:val="single" w:color="auto"/>
          <w:color w:val="auto"/>
        </w:rPr>
        <w:t>Restricted Payment</w:t>
      </w:r>
      <w:r>
        <w:rPr>
          <w:rFonts w:ascii="Arial" w:cs="Arial" w:eastAsia="Arial" w:hAnsi="Arial"/>
          <w:sz w:val="19"/>
          <w:szCs w:val="19"/>
          <w:color w:val="auto"/>
        </w:rPr>
        <w:t xml:space="preserve">”), if at the time Holdings or such Restricted Subsidiary makes such Restricted Payment the aggregate amount of such Restricted Payment and all other Restricted Payments made subsequent to the Closing Date (and not returned or rescinded) (including Permitted Payments made pursuant to </w:t>
      </w:r>
      <w:r>
        <w:rPr>
          <w:rFonts w:ascii="Arial" w:cs="Arial" w:eastAsia="Arial" w:hAnsi="Arial"/>
          <w:sz w:val="19"/>
          <w:szCs w:val="19"/>
          <w:u w:val="single" w:color="auto"/>
          <w:color w:val="auto"/>
        </w:rPr>
        <w:t>Section 7.06(b)(i)</w:t>
      </w:r>
      <w:r>
        <w:rPr>
          <w:rFonts w:ascii="Arial" w:cs="Arial" w:eastAsia="Arial" w:hAnsi="Arial"/>
          <w:sz w:val="19"/>
          <w:szCs w:val="19"/>
          <w:color w:val="auto"/>
        </w:rPr>
        <w:t xml:space="preserve"> (without duplication) and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but excluding all other Restricted Payments permitted by </w:t>
      </w:r>
      <w:r>
        <w:rPr>
          <w:rFonts w:ascii="Arial" w:cs="Arial" w:eastAsia="Arial" w:hAnsi="Arial"/>
          <w:sz w:val="19"/>
          <w:szCs w:val="19"/>
          <w:u w:val="single" w:color="auto"/>
          <w:color w:val="auto"/>
        </w:rPr>
        <w:t>Section 7.06(b)</w:t>
      </w:r>
      <w:r>
        <w:rPr>
          <w:rFonts w:ascii="Arial" w:cs="Arial" w:eastAsia="Arial" w:hAnsi="Arial"/>
          <w:sz w:val="19"/>
          <w:szCs w:val="19"/>
          <w:color w:val="auto"/>
        </w:rPr>
        <w:t>) would exceed the sum of (without duplication):</w:t>
      </w:r>
    </w:p>
    <w:p>
      <w:pPr>
        <w:spacing w:after="0" w:line="219" w:lineRule="exact"/>
        <w:rPr>
          <w:sz w:val="20"/>
          <w:szCs w:val="20"/>
          <w:color w:val="auto"/>
        </w:rPr>
      </w:pPr>
    </w:p>
    <w:p>
      <w:pPr>
        <w:jc w:val="both"/>
        <w:ind w:left="2080" w:firstLine="645"/>
        <w:spacing w:after="0" w:line="273" w:lineRule="auto"/>
        <w:tabs>
          <w:tab w:leader="none" w:pos="324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50% of Cumulative Consolidated Net Income of Holdings and the Restricted Subsidiaries for the period from the first day of the first full fiscal quarter commencing after the Closing Date until the last day of the then-most recent fiscal quarter or fiscal year of Holdings, as applicable, for which financial statements have been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(such amount, the “</w:t>
      </w:r>
      <w:r>
        <w:rPr>
          <w:rFonts w:ascii="Arial" w:cs="Arial" w:eastAsia="Arial" w:hAnsi="Arial"/>
          <w:sz w:val="18"/>
          <w:szCs w:val="18"/>
          <w:u w:val="single" w:color="auto"/>
          <w:color w:val="auto"/>
        </w:rPr>
        <w:t>Growth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in the case of Restricted Payments (other than pursuant to clause (iv) above), immediately after giving pro forma effect to such transaction, the Consolidated Total Leverage Ratio for the most recently ended Test Period does not exceed 2.80:1.00 and (y) in the case of Restricted Investments, immediately after giving pro forma effect to such transaction, the Interest Coverage Ratio for the most recently ended Test Period does not exceed 2.00:1.00;</w:t>
      </w:r>
    </w:p>
    <w:p>
      <w:pPr>
        <w:spacing w:after="0" w:line="208" w:lineRule="exact"/>
        <w:rPr>
          <w:rFonts w:ascii="Arial" w:cs="Arial" w:eastAsia="Arial" w:hAnsi="Arial"/>
          <w:sz w:val="18"/>
          <w:szCs w:val="18"/>
          <w:color w:val="auto"/>
        </w:rPr>
      </w:pPr>
    </w:p>
    <w:p>
      <w:pPr>
        <w:jc w:val="both"/>
        <w:ind w:left="2080" w:firstLine="694"/>
        <w:spacing w:after="0" w:line="276" w:lineRule="auto"/>
        <w:tabs>
          <w:tab w:leader="none" w:pos="323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100.0% of the aggregate amount of cash, and the fair market value of property or assets or marketable securities, received by Holdings from the issue or sale of its Capital Stock (other than Disqualified Stock or Designated Preferred Stock) or as a result of a merger or consolidation with another Person subsequent to the Closing Date or otherwise contributed to the equity (other than through the issuance of Disqualified Stock or Designated Preferred Stock) of Holdings or a Restricted Subsidiary (including the aggregate principal amount of any Indebtedness of Holdings or a Restricted Subsidiary contributed to Holdings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-316-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6" w:name="page447"/>
    <w:bookmarkEnd w:id="44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260" w:lineRule="auto"/>
        <w:rPr>
          <w:sz w:val="20"/>
          <w:szCs w:val="20"/>
          <w:color w:val="auto"/>
        </w:rPr>
      </w:pPr>
      <w:r>
        <w:rPr>
          <w:rFonts w:ascii="Arial" w:cs="Arial" w:eastAsia="Arial" w:hAnsi="Arial"/>
          <w:sz w:val="20"/>
          <w:szCs w:val="20"/>
          <w:color w:val="auto"/>
        </w:rPr>
        <w:t>or a Restricted Subsidiary for cancellation) or that becomes part of the capital of Holdings or a Restricted Subsidiary through consolidation or merger subsequent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-317-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7" w:name="page448"/>
    <w:bookmarkEnd w:id="44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80"/>
        <w:spacing w:after="0" w:line="276" w:lineRule="auto"/>
        <w:rPr>
          <w:sz w:val="20"/>
          <w:szCs w:val="20"/>
          <w:color w:val="auto"/>
        </w:rPr>
      </w:pPr>
      <w:r>
        <w:rPr>
          <w:rFonts w:ascii="Arial" w:cs="Arial" w:eastAsia="Arial" w:hAnsi="Arial"/>
          <w:sz w:val="18"/>
          <w:szCs w:val="18"/>
          <w:color w:val="auto"/>
        </w:rPr>
        <w:t xml:space="preserve">to the Closing Date and, in each case, contributed to the Borrower (other than (w) Net Cash Proceeds or property or assets or marketable securities received from an issuance or sale of such Capital Stock to a Restricted Subsidiary or an employee stock ownership plan or trust established by Holdings or any Subsidiary of Holdings for the benefit of its employees to the extent funded by Holdings or any Restricted Subsidiary, (x) cash or property or assets or marketable securities to the extent that any Restricted Payment has been made from such proceeds in reliance on </w:t>
      </w:r>
      <w:r>
        <w:rPr>
          <w:rFonts w:ascii="Arial" w:cs="Arial" w:eastAsia="Arial" w:hAnsi="Arial"/>
          <w:sz w:val="18"/>
          <w:szCs w:val="18"/>
          <w:u w:val="single" w:color="auto"/>
          <w:color w:val="auto"/>
        </w:rPr>
        <w:t>Section 7.06(b)(vi)</w:t>
      </w:r>
      <w:r>
        <w:rPr>
          <w:rFonts w:ascii="Arial" w:cs="Arial" w:eastAsia="Arial" w:hAnsi="Arial"/>
          <w:sz w:val="18"/>
          <w:szCs w:val="18"/>
          <w:color w:val="auto"/>
        </w:rPr>
        <w:t xml:space="preserve"> hereof, and (y) Excluded Contributions and Cure Amounts;</w:t>
      </w:r>
    </w:p>
    <w:p>
      <w:pPr>
        <w:spacing w:after="0" w:line="286" w:lineRule="exact"/>
        <w:rPr>
          <w:sz w:val="20"/>
          <w:szCs w:val="20"/>
          <w:color w:val="auto"/>
        </w:rPr>
      </w:pPr>
    </w:p>
    <w:p>
      <w:pPr>
        <w:jc w:val="both"/>
        <w:ind w:left="2080" w:firstLine="645"/>
        <w:spacing w:after="0" w:line="272" w:lineRule="auto"/>
        <w:tabs>
          <w:tab w:leader="none" w:pos="32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100.0% of the aggregate amount of cash, and the fair market value of property or assets or marketable securities, received by Holdings or any Restricted Subsidiary from the issuance or sale (other than to Holdings or a Restricted Subsidiary or an employee stock ownership plan or trust established by Holdings or any Subsidiary of Holdings for the benefit of their employees to the extent funded by Holdings or any Restricted Subsidiary) by Holdings or any Restricted Subsidiary subsequent to Closing Date of any Indebtedness or Disqualified Stock or Designated Preferred Stock that has been converted into or exchanged for Capital Stock of Holdings (other than Disqualified Stock or Designated Preferred Stock) plus, without duplication, the amount of any cash, and the fair market value of property or assets or marketable securities, received by Holdings or any Restricted Subsidiary upon such conversion or exchange and, in each case, contributed to the Borrower;</w:t>
      </w:r>
    </w:p>
    <w:p>
      <w:pPr>
        <w:spacing w:after="0" w:line="197" w:lineRule="exact"/>
        <w:rPr>
          <w:rFonts w:ascii="Arial" w:cs="Arial" w:eastAsia="Arial" w:hAnsi="Arial"/>
          <w:sz w:val="18"/>
          <w:szCs w:val="18"/>
          <w:color w:val="auto"/>
        </w:rPr>
      </w:pPr>
    </w:p>
    <w:p>
      <w:pPr>
        <w:jc w:val="both"/>
        <w:ind w:left="2080" w:firstLine="645"/>
        <w:spacing w:after="0" w:line="269" w:lineRule="auto"/>
        <w:tabs>
          <w:tab w:leader="none" w:pos="324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100.0% of the aggregate amount received in cash and the fair market value of marketable securities or other property received by means of: (i) the sale or other disposition (other than to Holdings or a Restricted Subsidiary) of, or other returns, profits, distributions and similar amounts on Investments from, Restricted Investments made by Holdings or its Restricted Subsidiaries and repurchases and redemptions of, or cash distributions or cash interest received in respect of, such Investments from Holdings or its Restricted Subsidiaries and repayments of loans or advances, and releases of guarantees, which constitute Restricted Investments by Holdings or its Restricted Subsidiaries, in each case after the Closing Date; or (ii) the sale or other disposition (other than to Holdings or a Restricted Subsidiary) of the Capital Stock of an Unrestricted Subsidiary or a JV Entity or a dividend, payment or distribution from an Unrestricted Subsidiary or a JV Entity (other than to the extent of the amount of the Investment that constituted a Permitted Investment and will increase the amount available under the applicable clause of the definition of “Permitted Investment”) or a dividend, payment or distribution from a Person that is not a Restricted Subsidiary after the Closing Date (other than to the extent of the amount of the Investment that constituted a Permitted Investment and will increase the amount available under the applicable clause of the definition of “Permitted Investment”);</w:t>
      </w:r>
    </w:p>
    <w:p>
      <w:pPr>
        <w:spacing w:after="0" w:line="221" w:lineRule="exact"/>
        <w:rPr>
          <w:rFonts w:ascii="Arial" w:cs="Arial" w:eastAsia="Arial" w:hAnsi="Arial"/>
          <w:sz w:val="18"/>
          <w:szCs w:val="18"/>
          <w:color w:val="auto"/>
        </w:rPr>
      </w:pPr>
    </w:p>
    <w:p>
      <w:pPr>
        <w:jc w:val="both"/>
        <w:ind w:left="2080" w:firstLine="645"/>
        <w:spacing w:after="0" w:line="244" w:lineRule="auto"/>
        <w:tabs>
          <w:tab w:leader="none" w:pos="32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in the case of the redesignation of an Unrestricted Subsidiary as a Restricted Subsidiary or the merger, amalgamation or consolidation of an Unrestricted Subsidiary into Holdings or a Restricted Subsidiary or the transfer of all or substantially all of the assets of an Unrestricted Subsidiary to Holdings or a Restricted Subsidiary after the Closing Date, the fair market value of the Investment in such Unrestricted Subsidiary (or the assets transferred), as</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-318-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8" w:name="page449"/>
    <w:bookmarkEnd w:id="44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260" w:lineRule="auto"/>
        <w:rPr>
          <w:sz w:val="20"/>
          <w:szCs w:val="20"/>
          <w:color w:val="auto"/>
        </w:rPr>
      </w:pPr>
      <w:r>
        <w:rPr>
          <w:rFonts w:ascii="Arial" w:cs="Arial" w:eastAsia="Arial" w:hAnsi="Arial"/>
          <w:sz w:val="20"/>
          <w:szCs w:val="20"/>
          <w:color w:val="auto"/>
        </w:rPr>
        <w:t>determined in good faith by Holdings, at the time of the redesignation of such Unrestricted Subsidiary as a Restricted Subsidiary or at the time of such merger,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-319-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49" w:name="page450"/>
    <w:bookmarkEnd w:id="44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80"/>
        <w:spacing w:after="0" w:line="244" w:lineRule="auto"/>
        <w:rPr>
          <w:sz w:val="20"/>
          <w:szCs w:val="20"/>
          <w:color w:val="auto"/>
        </w:rPr>
      </w:pPr>
      <w:r>
        <w:rPr>
          <w:rFonts w:ascii="Arial" w:cs="Arial" w:eastAsia="Arial" w:hAnsi="Arial"/>
          <w:sz w:val="20"/>
          <w:szCs w:val="20"/>
          <w:color w:val="auto"/>
        </w:rPr>
        <w:t>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and will increase the amount available under the applicable clause of the definition of “Permitted Investment” below;</w:t>
      </w:r>
    </w:p>
    <w:p>
      <w:pPr>
        <w:spacing w:after="0" w:line="235" w:lineRule="exact"/>
        <w:rPr>
          <w:sz w:val="20"/>
          <w:szCs w:val="20"/>
          <w:color w:val="auto"/>
        </w:rPr>
      </w:pPr>
    </w:p>
    <w:p>
      <w:pPr>
        <w:ind w:left="3380" w:hanging="655"/>
        <w:spacing w:after="0"/>
        <w:tabs>
          <w:tab w:leader="none" w:pos="3380" w:val="left"/>
        </w:tabs>
        <w:numPr>
          <w:ilvl w:val="2"/>
          <w:numId w:val="340"/>
        </w:numPr>
        <w:rPr>
          <w:rFonts w:ascii="Arial" w:cs="Arial" w:eastAsia="Arial" w:hAnsi="Arial"/>
          <w:sz w:val="20"/>
          <w:szCs w:val="20"/>
          <w:color w:val="auto"/>
        </w:rPr>
      </w:pPr>
      <w:r>
        <w:rPr>
          <w:rFonts w:ascii="Arial" w:cs="Arial" w:eastAsia="Arial" w:hAnsi="Arial"/>
          <w:sz w:val="20"/>
          <w:szCs w:val="20"/>
          <w:color w:val="auto"/>
        </w:rPr>
        <w:t>the greater of $64.0 million and 30.0% of LTM EBITDA; and</w:t>
      </w:r>
    </w:p>
    <w:p>
      <w:pPr>
        <w:spacing w:after="0" w:line="242" w:lineRule="exact"/>
        <w:rPr>
          <w:rFonts w:ascii="Arial" w:cs="Arial" w:eastAsia="Arial" w:hAnsi="Arial"/>
          <w:sz w:val="20"/>
          <w:szCs w:val="20"/>
          <w:color w:val="auto"/>
        </w:rPr>
      </w:pPr>
    </w:p>
    <w:p>
      <w:pPr>
        <w:ind w:left="3380" w:hanging="656"/>
        <w:spacing w:after="0"/>
        <w:tabs>
          <w:tab w:leader="none" w:pos="3380" w:val="left"/>
        </w:tabs>
        <w:numPr>
          <w:ilvl w:val="2"/>
          <w:numId w:val="340"/>
        </w:numPr>
        <w:rPr>
          <w:rFonts w:ascii="Arial" w:cs="Arial" w:eastAsia="Arial" w:hAnsi="Arial"/>
          <w:sz w:val="20"/>
          <w:szCs w:val="20"/>
          <w:color w:val="auto"/>
        </w:rPr>
      </w:pPr>
      <w:r>
        <w:rPr>
          <w:rFonts w:ascii="Arial" w:cs="Arial" w:eastAsia="Arial" w:hAnsi="Arial"/>
          <w:sz w:val="20"/>
          <w:szCs w:val="20"/>
          <w:color w:val="auto"/>
        </w:rPr>
        <w:t>Retained Declined Proceeds.</w:t>
      </w:r>
    </w:p>
    <w:p>
      <w:pPr>
        <w:spacing w:after="0" w:line="256" w:lineRule="exact"/>
        <w:rPr>
          <w:rFonts w:ascii="Arial" w:cs="Arial" w:eastAsia="Arial" w:hAnsi="Arial"/>
          <w:sz w:val="20"/>
          <w:szCs w:val="20"/>
          <w:color w:val="auto"/>
        </w:rPr>
      </w:pPr>
    </w:p>
    <w:p>
      <w:pPr>
        <w:ind w:left="1440"/>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8"/>
          <w:szCs w:val="18"/>
          <w:u w:val="single" w:color="auto"/>
          <w:color w:val="auto"/>
        </w:rPr>
        <w:t xml:space="preserve">Section 7.06(a) </w:t>
      </w:r>
      <w:r>
        <w:rPr>
          <w:rFonts w:ascii="Arial" w:cs="Arial" w:eastAsia="Arial" w:hAnsi="Arial"/>
          <w:sz w:val="18"/>
          <w:szCs w:val="18"/>
          <w:color w:val="auto"/>
        </w:rPr>
        <w:t>will not prohibit any of the following (collectively, “</w:t>
      </w:r>
      <w:r>
        <w:rPr>
          <w:rFonts w:ascii="Arial" w:cs="Arial" w:eastAsia="Arial" w:hAnsi="Arial"/>
          <w:sz w:val="18"/>
          <w:szCs w:val="18"/>
          <w:u w:val="single" w:color="auto"/>
          <w:color w:val="auto"/>
        </w:rPr>
        <w:t>Permitted Payments</w:t>
      </w:r>
      <w:r>
        <w:rPr>
          <w:rFonts w:ascii="Arial" w:cs="Arial" w:eastAsia="Arial" w:hAnsi="Arial"/>
          <w:sz w:val="18"/>
          <w:szCs w:val="18"/>
          <w:color w:val="auto"/>
        </w:rPr>
        <w:t>”):</w:t>
      </w:r>
    </w:p>
    <w:p>
      <w:pPr>
        <w:spacing w:after="0" w:line="323" w:lineRule="exact"/>
        <w:rPr>
          <w:rFonts w:ascii="Arial" w:cs="Arial" w:eastAsia="Arial" w:hAnsi="Arial"/>
          <w:sz w:val="20"/>
          <w:szCs w:val="20"/>
          <w:color w:val="auto"/>
        </w:rPr>
      </w:pPr>
    </w:p>
    <w:p>
      <w:pPr>
        <w:jc w:val="both"/>
        <w:ind w:left="780" w:firstLine="722"/>
        <w:spacing w:after="0" w:line="263" w:lineRule="auto"/>
        <w:tabs>
          <w:tab w:leader="none" w:pos="1943" w:val="left"/>
        </w:tabs>
        <w:numPr>
          <w:ilvl w:val="1"/>
          <w:numId w:val="341"/>
        </w:numPr>
        <w:rPr>
          <w:rFonts w:ascii="Arial" w:cs="Arial" w:eastAsia="Arial" w:hAnsi="Arial"/>
          <w:sz w:val="19"/>
          <w:szCs w:val="19"/>
          <w:color w:val="auto"/>
        </w:rPr>
      </w:pPr>
      <w:r>
        <w:rPr>
          <w:rFonts w:ascii="Arial" w:cs="Arial" w:eastAsia="Arial" w:hAnsi="Arial"/>
          <w:sz w:val="19"/>
          <w:szCs w:val="19"/>
          <w:color w:val="auto"/>
        </w:rPr>
        <w:t>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w:t>
      </w:r>
    </w:p>
    <w:p>
      <w:pPr>
        <w:spacing w:after="0" w:line="216" w:lineRule="exact"/>
        <w:rPr>
          <w:rFonts w:ascii="Arial" w:cs="Arial" w:eastAsia="Arial" w:hAnsi="Arial"/>
          <w:sz w:val="19"/>
          <w:szCs w:val="19"/>
          <w:color w:val="auto"/>
        </w:rPr>
      </w:pPr>
    </w:p>
    <w:p>
      <w:pPr>
        <w:jc w:val="both"/>
        <w:ind w:left="780" w:firstLine="666"/>
        <w:spacing w:after="0" w:line="269" w:lineRule="auto"/>
        <w:tabs>
          <w:tab w:leader="none" w:pos="194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any prepayment, purchase, repurchase, redemption, defeasance, discharge or other acquisition or retirement of Capital Stock, including any accrued and unpaid dividends thereon (“</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Holdings (other than Disqualified Stock or Designated Preferred Stock) or a contribution to the equity of Holdings (other than through the issuance of Disqualified Stock or Designated Preferred Stock or through an Excluded Contribution or Cure Amount) (“</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(b) the declaration and payment of dividends on Treasury Capital Stock out of the proceeds of the substantially concurrent sale or issuance of such Treasury Capital Stock (other than to a Subsidiary of Holdings or to an employee stock ownership plan or any trust established by Holdings or any of its Subsidiaries); and (c) if immediately prior to the retirement of Treasury Capital Stock, the declaration and payment of dividends thereon was permitted under </w:t>
      </w:r>
      <w:r>
        <w:rPr>
          <w:rFonts w:ascii="Arial" w:cs="Arial" w:eastAsia="Arial" w:hAnsi="Arial"/>
          <w:sz w:val="18"/>
          <w:szCs w:val="18"/>
          <w:u w:val="single" w:color="auto"/>
          <w:color w:val="auto"/>
        </w:rPr>
        <w:t>Section 7.06(b)(xiii)</w:t>
      </w:r>
      <w:r>
        <w:rPr>
          <w:rFonts w:ascii="Arial" w:cs="Arial" w:eastAsia="Arial" w:hAnsi="Arial"/>
          <w:sz w:val="18"/>
          <w:szCs w:val="18"/>
          <w:color w:val="auto"/>
        </w:rPr>
        <w:t xml:space="preserve"> hereof,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w:t>
      </w:r>
    </w:p>
    <w:p>
      <w:pPr>
        <w:spacing w:after="0" w:line="208" w:lineRule="exact"/>
        <w:rPr>
          <w:rFonts w:ascii="Arial" w:cs="Arial" w:eastAsia="Arial" w:hAnsi="Arial"/>
          <w:sz w:val="18"/>
          <w:szCs w:val="18"/>
          <w:color w:val="auto"/>
        </w:rPr>
      </w:pPr>
    </w:p>
    <w:p>
      <w:pPr>
        <w:jc w:val="both"/>
        <w:ind w:left="780" w:firstLine="611"/>
        <w:spacing w:after="0" w:line="250" w:lineRule="auto"/>
        <w:tabs>
          <w:tab w:leader="none" w:pos="1943" w:val="left"/>
        </w:tabs>
        <w:numPr>
          <w:ilvl w:val="1"/>
          <w:numId w:val="341"/>
        </w:numPr>
        <w:rPr>
          <w:rFonts w:ascii="Arial" w:cs="Arial" w:eastAsia="Arial" w:hAnsi="Arial"/>
          <w:sz w:val="20"/>
          <w:szCs w:val="20"/>
          <w:color w:val="auto"/>
        </w:rPr>
      </w:pPr>
      <w:r>
        <w:rPr>
          <w:rFonts w:ascii="Arial" w:cs="Arial" w:eastAsia="Arial" w:hAnsi="Arial"/>
          <w:sz w:val="20"/>
          <w:szCs w:val="20"/>
          <w:color w:val="auto"/>
        </w:rPr>
        <w:t xml:space="preserve">any prepayment, purchase, repurchase, exchange, redemption, defeasance, discharge or other acquisition or retirement of Subordinated Indebtedness made by exchange for, or out of the proceeds of the substantially concurrent sale of, Refinancing Indebtedness permitted to be Incurred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hereof;</w:t>
      </w:r>
    </w:p>
    <w:p>
      <w:pPr>
        <w:spacing w:after="0" w:line="293" w:lineRule="exact"/>
        <w:rPr>
          <w:rFonts w:ascii="Arial" w:cs="Arial" w:eastAsia="Arial" w:hAnsi="Arial"/>
          <w:sz w:val="20"/>
          <w:szCs w:val="20"/>
          <w:color w:val="auto"/>
        </w:rPr>
      </w:pPr>
    </w:p>
    <w:p>
      <w:pPr>
        <w:ind w:left="780" w:firstLine="622"/>
        <w:spacing w:after="0" w:line="260" w:lineRule="auto"/>
        <w:tabs>
          <w:tab w:leader="none" w:pos="1942"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any prepayment, purchase, repurchase, exchange, redemption, defeasance, discharge or other acquisition or retirement of Preferred Stock of Holdings or a Restricted</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-320-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0" w:name="page451"/>
    <w:bookmarkEnd w:id="45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316" w:lineRule="auto"/>
        <w:rPr>
          <w:sz w:val="20"/>
          <w:szCs w:val="20"/>
          <w:color w:val="auto"/>
        </w:rPr>
      </w:pPr>
      <w:r>
        <w:rPr>
          <w:rFonts w:ascii="Arial" w:cs="Arial" w:eastAsia="Arial" w:hAnsi="Arial"/>
          <w:sz w:val="18"/>
          <w:szCs w:val="18"/>
          <w:color w:val="auto"/>
        </w:rPr>
        <w:t xml:space="preserve">Subsidiary made by exchange for, or out of the proceeds of the substantially concurrent sale of, Preferred Stock of Holdings or a Restricted Subsidiary, as the case may be, that, in each case, is permitted to be Incurred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-321-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51" w:name="page452"/>
    <w:bookmarkEnd w:id="45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firstLine="678"/>
        <w:spacing w:after="0" w:line="260" w:lineRule="auto"/>
        <w:tabs>
          <w:tab w:leader="none" w:pos="1938" w:val="left"/>
        </w:tabs>
        <w:numPr>
          <w:ilvl w:val="0"/>
          <w:numId w:val="342"/>
        </w:numPr>
        <w:rPr>
          <w:rFonts w:ascii="Arial" w:cs="Arial" w:eastAsia="Arial" w:hAnsi="Arial"/>
          <w:sz w:val="20"/>
          <w:szCs w:val="20"/>
          <w:color w:val="auto"/>
        </w:rPr>
      </w:pPr>
      <w:r>
        <w:rPr>
          <w:rFonts w:ascii="Arial" w:cs="Arial" w:eastAsia="Arial" w:hAnsi="Arial"/>
          <w:sz w:val="20"/>
          <w:szCs w:val="20"/>
          <w:color w:val="auto"/>
        </w:rPr>
        <w:t>any prepayment, purchase, repurchase, redemption, defeasance, discharge or other acquisition or retirement of Subordinated Indebtedness of Holdings or a Restricted Subsidiary:</w:t>
      </w:r>
    </w:p>
    <w:p>
      <w:pPr>
        <w:spacing w:after="0" w:line="217" w:lineRule="exact"/>
        <w:rPr>
          <w:rFonts w:ascii="Arial" w:cs="Arial" w:eastAsia="Arial" w:hAnsi="Arial"/>
          <w:sz w:val="20"/>
          <w:szCs w:val="20"/>
          <w:color w:val="auto"/>
        </w:rPr>
      </w:pPr>
    </w:p>
    <w:p>
      <w:pPr>
        <w:ind w:left="2720" w:hanging="643"/>
        <w:spacing w:after="0"/>
        <w:tabs>
          <w:tab w:leader="none" w:pos="272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42" w:lineRule="exact"/>
        <w:rPr>
          <w:rFonts w:ascii="Arial" w:cs="Arial" w:eastAsia="Arial" w:hAnsi="Arial"/>
          <w:sz w:val="20"/>
          <w:szCs w:val="20"/>
          <w:color w:val="auto"/>
        </w:rPr>
      </w:pPr>
    </w:p>
    <w:p>
      <w:pPr>
        <w:jc w:val="both"/>
        <w:ind w:left="2080" w:hanging="2"/>
        <w:spacing w:after="0" w:line="244" w:lineRule="auto"/>
        <w:tabs>
          <w:tab w:leader="none" w:pos="2593" w:val="left"/>
        </w:tabs>
        <w:numPr>
          <w:ilvl w:val="1"/>
          <w:numId w:val="342"/>
        </w:numPr>
        <w:rPr>
          <w:rFonts w:ascii="Arial" w:cs="Arial" w:eastAsia="Arial" w:hAnsi="Arial"/>
          <w:sz w:val="20"/>
          <w:szCs w:val="20"/>
          <w:color w:val="auto"/>
        </w:rPr>
      </w:pPr>
      <w:r>
        <w:rPr>
          <w:rFonts w:ascii="Arial" w:cs="Arial" w:eastAsia="Arial" w:hAnsi="Arial"/>
          <w:sz w:val="20"/>
          <w:szCs w:val="20"/>
          <w:color w:val="auto"/>
        </w:rPr>
        <w:t xml:space="preserve">to the extent required by the agreement governing such Subordinated Indebtedness, following the occurrence of (A) a Change of Control (or other similar event described therein as a “change of control”) or (B) an Asset Disposition (or other similar event described therein as an “asset disposition” or “asset sale”) but only if the Borrower shall have first complied with the terms described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shall not be in default of </w:t>
      </w:r>
      <w:r>
        <w:rPr>
          <w:rFonts w:ascii="Arial" w:cs="Arial" w:eastAsia="Arial" w:hAnsi="Arial"/>
          <w:sz w:val="20"/>
          <w:szCs w:val="20"/>
          <w:u w:val="single" w:color="auto"/>
          <w:color w:val="auto"/>
        </w:rPr>
        <w:t>Section 8.01(j)</w:t>
      </w:r>
      <w:r>
        <w:rPr>
          <w:rFonts w:ascii="Arial" w:cs="Arial" w:eastAsia="Arial" w:hAnsi="Arial"/>
          <w:sz w:val="20"/>
          <w:szCs w:val="20"/>
          <w:color w:val="auto"/>
        </w:rPr>
        <w:t xml:space="preserve"> hereof, as applicable; or</w:t>
      </w:r>
    </w:p>
    <w:p>
      <w:pPr>
        <w:spacing w:after="0" w:line="234" w:lineRule="exact"/>
        <w:rPr>
          <w:rFonts w:ascii="Arial" w:cs="Arial" w:eastAsia="Arial" w:hAnsi="Arial"/>
          <w:sz w:val="20"/>
          <w:szCs w:val="20"/>
          <w:color w:val="auto"/>
        </w:rPr>
      </w:pPr>
    </w:p>
    <w:p>
      <w:pPr>
        <w:jc w:val="both"/>
        <w:ind w:left="2080" w:right="20" w:hanging="2"/>
        <w:spacing w:after="0" w:line="272" w:lineRule="auto"/>
        <w:tabs>
          <w:tab w:leader="none" w:pos="259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consisting of Acquired Indebtedness (other than Indebtedness Incurred (x) to provide all or any portion of the funds utilized to consummate the transaction or series of related transactions pursuant to which such Person became a Restricted Subsidiary or was otherwise acquired by Holdings or a Restricted Subsidiary or</w:t>
      </w:r>
    </w:p>
    <w:p>
      <w:pPr>
        <w:ind w:left="2080"/>
        <w:spacing w:after="0"/>
        <w:rPr>
          <w:rFonts w:ascii="Arial" w:cs="Arial" w:eastAsia="Arial" w:hAnsi="Arial"/>
          <w:sz w:val="18"/>
          <w:szCs w:val="18"/>
          <w:color w:val="auto"/>
        </w:rPr>
      </w:pPr>
      <w:r>
        <w:rPr>
          <w:rFonts w:ascii="Arial" w:cs="Arial" w:eastAsia="Arial" w:hAnsi="Arial"/>
          <w:sz w:val="20"/>
          <w:szCs w:val="20"/>
          <w:color w:val="auto"/>
        </w:rPr>
        <w:t>(y) otherwise in connection with or contemplation of such acquisition);</w:t>
      </w:r>
    </w:p>
    <w:p>
      <w:pPr>
        <w:spacing w:after="0" w:line="226" w:lineRule="exact"/>
        <w:rPr>
          <w:rFonts w:ascii="Arial" w:cs="Arial" w:eastAsia="Arial" w:hAnsi="Arial"/>
          <w:sz w:val="18"/>
          <w:szCs w:val="18"/>
          <w:color w:val="auto"/>
        </w:rPr>
      </w:pPr>
    </w:p>
    <w:p>
      <w:pPr>
        <w:jc w:val="both"/>
        <w:ind w:left="780" w:firstLine="622"/>
        <w:spacing w:after="0" w:line="269" w:lineRule="auto"/>
        <w:tabs>
          <w:tab w:leader="none" w:pos="193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 Restricted Payment to pay for the prepayment, purchase, repurchase, redemption, defeasance, discharge, retirement or other acquisition of Capital Stock (other than Disqualified Stock) of Holdings or of any Parent Entity held by any future, present or former employee, director, officer, manager, contractor, consultant or advisor (or their respective Controlled Investment Affiliate or Immediate Family Members) of Holdings, any of its Subsidiaries or of any Parent Entity (or permitted transferees, assigns, estates, trusts or heirs of such employee, director, officer, manager, contractor, consultant or advisor or their respective Controlled Investment Affiliates or Immediate Family Members) either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Holdings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Holdings, any of its Subsidiaries or any Parent Entity in connection with any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aggregate Restricted Payments made under this clause (vi) do not exceed the greater of $5.5 million and 2.5% of LTM EBITDA in any calendar year (with unused amounts in any calendar year being carried over to succeeding calendar years);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amount in any calendar year may be increased by an amount not to exceed:</w:t>
      </w:r>
    </w:p>
    <w:p>
      <w:pPr>
        <w:spacing w:after="0" w:line="203" w:lineRule="exact"/>
        <w:rPr>
          <w:rFonts w:ascii="Arial" w:cs="Arial" w:eastAsia="Arial" w:hAnsi="Arial"/>
          <w:sz w:val="18"/>
          <w:szCs w:val="18"/>
          <w:color w:val="auto"/>
        </w:rPr>
      </w:pPr>
    </w:p>
    <w:p>
      <w:pPr>
        <w:jc w:val="both"/>
        <w:ind w:left="2080" w:hanging="2"/>
        <w:spacing w:after="0" w:line="243" w:lineRule="auto"/>
        <w:tabs>
          <w:tab w:leader="none" w:pos="2593" w:val="left"/>
        </w:tabs>
        <w:numPr>
          <w:ilvl w:val="1"/>
          <w:numId w:val="342"/>
        </w:numPr>
        <w:rPr>
          <w:rFonts w:ascii="Arial" w:cs="Arial" w:eastAsia="Arial" w:hAnsi="Arial"/>
          <w:sz w:val="20"/>
          <w:szCs w:val="20"/>
          <w:i w:val="1"/>
          <w:iCs w:val="1"/>
          <w:color w:val="auto"/>
        </w:rPr>
      </w:pPr>
      <w:r>
        <w:rPr>
          <w:rFonts w:ascii="Arial" w:cs="Arial" w:eastAsia="Arial" w:hAnsi="Arial"/>
          <w:sz w:val="20"/>
          <w:szCs w:val="20"/>
          <w:color w:val="auto"/>
        </w:rPr>
        <w:t>the cash proceeds from the sale of Capital Stock (other than Disqualified Stock, Designated Preferred Stock, Excluded Contributions or Cure Amounts) of Holdings and, to the extent contributed to the capital of Holdings, the cash proceeds from the sale of Capital Stock of any Parent Entity, in each case to any future, present or former employee, director, officer, manager, contractor, consultant or advisor (or their respective Controlled Investment Affiliates or Immediate Family Members) of Holdings, any of its Subsidiaries or any Parent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-322-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2" w:name="page453"/>
    <w:bookmarkEnd w:id="45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316" w:lineRule="auto"/>
        <w:rPr>
          <w:sz w:val="20"/>
          <w:szCs w:val="20"/>
          <w:color w:val="auto"/>
        </w:rPr>
      </w:pPr>
      <w:r>
        <w:rPr>
          <w:rFonts w:ascii="Arial" w:cs="Arial" w:eastAsia="Arial" w:hAnsi="Arial"/>
          <w:sz w:val="18"/>
          <w:szCs w:val="18"/>
          <w:color w:val="auto"/>
        </w:rPr>
        <w:t xml:space="preserve">Entity that occurred after the Closing Date, to the extent the cash proceeds from the sale of such Capital Stock have not otherwise been applied to the payment of Restricted Payments by virtue of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hereof;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-323-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3" w:name="page454"/>
    <w:bookmarkEnd w:id="45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80" w:hanging="2"/>
        <w:spacing w:after="0" w:line="287" w:lineRule="auto"/>
        <w:tabs>
          <w:tab w:leader="none" w:pos="2593" w:val="left"/>
        </w:tabs>
        <w:numPr>
          <w:ilvl w:val="0"/>
          <w:numId w:val="343"/>
        </w:numPr>
        <w:rPr>
          <w:rFonts w:ascii="Arial" w:cs="Arial" w:eastAsia="Arial" w:hAnsi="Arial"/>
          <w:sz w:val="19"/>
          <w:szCs w:val="19"/>
          <w:i w:val="1"/>
          <w:iCs w:val="1"/>
          <w:color w:val="auto"/>
        </w:rPr>
      </w:pPr>
      <w:r>
        <w:rPr>
          <w:rFonts w:ascii="Arial" w:cs="Arial" w:eastAsia="Arial" w:hAnsi="Arial"/>
          <w:sz w:val="19"/>
          <w:szCs w:val="19"/>
          <w:color w:val="auto"/>
        </w:rPr>
        <w:t xml:space="preserve">the cash proceeds of key man life insurance policies received by Holdings or any of its Restricted Subsidiaries after the Closing Date (or any Parent Entity to the extent contributed to Holdings); </w:t>
      </w:r>
      <w:r>
        <w:rPr>
          <w:rFonts w:ascii="Arial" w:cs="Arial" w:eastAsia="Arial" w:hAnsi="Arial"/>
          <w:sz w:val="19"/>
          <w:szCs w:val="19"/>
          <w:i w:val="1"/>
          <w:iCs w:val="1"/>
          <w:color w:val="auto"/>
        </w:rPr>
        <w:t>less</w:t>
      </w:r>
    </w:p>
    <w:p>
      <w:pPr>
        <w:spacing w:after="0" w:line="192" w:lineRule="exact"/>
        <w:rPr>
          <w:rFonts w:ascii="Arial" w:cs="Arial" w:eastAsia="Arial" w:hAnsi="Arial"/>
          <w:sz w:val="19"/>
          <w:szCs w:val="19"/>
          <w:i w:val="1"/>
          <w:iCs w:val="1"/>
          <w:color w:val="auto"/>
        </w:rPr>
      </w:pPr>
    </w:p>
    <w:p>
      <w:pPr>
        <w:ind w:left="2080" w:hanging="2"/>
        <w:spacing w:after="0" w:line="260" w:lineRule="auto"/>
        <w:tabs>
          <w:tab w:leader="none" w:pos="2593" w:val="left"/>
        </w:tabs>
        <w:numPr>
          <w:ilvl w:val="0"/>
          <w:numId w:val="343"/>
        </w:numPr>
        <w:rPr>
          <w:rFonts w:ascii="Arial" w:cs="Arial" w:eastAsia="Arial" w:hAnsi="Arial"/>
          <w:sz w:val="20"/>
          <w:szCs w:val="20"/>
          <w:color w:val="auto"/>
        </w:rPr>
      </w:pPr>
      <w:r>
        <w:rPr>
          <w:rFonts w:ascii="Arial" w:cs="Arial" w:eastAsia="Arial" w:hAnsi="Arial"/>
          <w:sz w:val="20"/>
          <w:szCs w:val="20"/>
          <w:color w:val="auto"/>
        </w:rPr>
        <w:t xml:space="preserve">the amount of any Restricted Payments made in previous calendar years pursuant to clauses (A) and (B) of this </w:t>
      </w:r>
      <w:r>
        <w:rPr>
          <w:rFonts w:ascii="Arial" w:cs="Arial" w:eastAsia="Arial" w:hAnsi="Arial"/>
          <w:sz w:val="20"/>
          <w:szCs w:val="20"/>
          <w:u w:val="single" w:color="auto"/>
          <w:color w:val="auto"/>
        </w:rPr>
        <w:t>Section 7.06(b)(vi)</w:t>
      </w:r>
      <w:r>
        <w:rPr>
          <w:rFonts w:ascii="Arial" w:cs="Arial" w:eastAsia="Arial" w:hAnsi="Arial"/>
          <w:sz w:val="20"/>
          <w:szCs w:val="20"/>
          <w:color w:val="auto"/>
        </w:rPr>
        <w:t>;</w:t>
      </w:r>
    </w:p>
    <w:p>
      <w:pPr>
        <w:spacing w:after="0" w:line="285" w:lineRule="exact"/>
        <w:rPr>
          <w:sz w:val="20"/>
          <w:szCs w:val="20"/>
          <w:color w:val="auto"/>
        </w:rPr>
      </w:pPr>
    </w:p>
    <w:p>
      <w:pPr>
        <w:jc w:val="both"/>
        <w:ind w:left="780"/>
        <w:spacing w:after="0" w:line="257"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cancellation of Indebtedness owing to Holdings or any Restricted Subsidiary from any future, present or former employee, director, officer, manager, contractor, consultant or advisor (or their respective Controlled Investment Affiliates or Immediate Family Members) of Holdings or its Restricted Subsidiaries or any Parent Entity in connection with a repurchase of Capital Stock of Holdings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or any other provision of this Agreement;</w:t>
      </w:r>
    </w:p>
    <w:p>
      <w:pPr>
        <w:spacing w:after="0" w:line="288" w:lineRule="exact"/>
        <w:rPr>
          <w:sz w:val="20"/>
          <w:szCs w:val="20"/>
          <w:color w:val="auto"/>
        </w:rPr>
      </w:pPr>
    </w:p>
    <w:p>
      <w:pPr>
        <w:ind w:left="780" w:right="20" w:firstLine="567"/>
        <w:spacing w:after="0" w:line="287" w:lineRule="auto"/>
        <w:tabs>
          <w:tab w:leader="none" w:pos="1949"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the declaration and payment of dividends on Disqualified Stock of Holdings or any of its Restricted Subsidiaries or Preferred Stock of a Restricted Subsidiary, issued in accordance with the terms of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hereof;</w:t>
      </w:r>
    </w:p>
    <w:p>
      <w:pPr>
        <w:spacing w:after="0" w:line="260" w:lineRule="exact"/>
        <w:rPr>
          <w:rFonts w:ascii="Arial" w:cs="Arial" w:eastAsia="Arial" w:hAnsi="Arial"/>
          <w:sz w:val="19"/>
          <w:szCs w:val="19"/>
          <w:color w:val="auto"/>
        </w:rPr>
      </w:pPr>
    </w:p>
    <w:p>
      <w:pPr>
        <w:jc w:val="both"/>
        <w:ind w:left="780" w:firstLine="511"/>
        <w:spacing w:after="0" w:line="242" w:lineRule="auto"/>
        <w:tabs>
          <w:tab w:leader="none" w:pos="1949" w:val="left"/>
        </w:tabs>
        <w:numPr>
          <w:ilvl w:val="0"/>
          <w:numId w:val="344"/>
        </w:numPr>
        <w:rPr>
          <w:rFonts w:ascii="Arial" w:cs="Arial" w:eastAsia="Arial" w:hAnsi="Arial"/>
          <w:sz w:val="20"/>
          <w:szCs w:val="20"/>
          <w:color w:val="auto"/>
        </w:rPr>
      </w:pPr>
      <w:r>
        <w:rPr>
          <w:rFonts w:ascii="Arial" w:cs="Arial" w:eastAsia="Arial" w:hAnsi="Arial"/>
          <w:sz w:val="20"/>
          <w:szCs w:val="20"/>
          <w:color w:val="auto"/>
        </w:rPr>
        <w:t>payments made or expected to be made by Holdings or any Restricted Subsidiary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Holdings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spacing w:after="0" w:line="223" w:lineRule="exact"/>
        <w:rPr>
          <w:rFonts w:ascii="Arial" w:cs="Arial" w:eastAsia="Arial" w:hAnsi="Arial"/>
          <w:sz w:val="20"/>
          <w:szCs w:val="20"/>
          <w:color w:val="auto"/>
        </w:rPr>
      </w:pPr>
    </w:p>
    <w:p>
      <w:pPr>
        <w:ind w:left="780" w:right="280" w:firstLine="622"/>
        <w:spacing w:after="0" w:line="260" w:lineRule="auto"/>
        <w:tabs>
          <w:tab w:leader="none" w:pos="1938" w:val="left"/>
        </w:tabs>
        <w:numPr>
          <w:ilvl w:val="1"/>
          <w:numId w:val="344"/>
        </w:numPr>
        <w:rPr>
          <w:rFonts w:ascii="Arial" w:cs="Arial" w:eastAsia="Arial" w:hAnsi="Arial"/>
          <w:sz w:val="20"/>
          <w:szCs w:val="20"/>
          <w:color w:val="auto"/>
        </w:rPr>
      </w:pPr>
      <w:r>
        <w:rPr>
          <w:rFonts w:ascii="Arial" w:cs="Arial" w:eastAsia="Arial" w:hAnsi="Arial"/>
          <w:sz w:val="20"/>
          <w:szCs w:val="20"/>
          <w:color w:val="auto"/>
        </w:rPr>
        <w:t>dividends, loans, advances or distributions to any Parent Entity or other payments by Holdings or any Restricted Subsidiary in amounts equal to (without duplication):</w:t>
      </w:r>
    </w:p>
    <w:p>
      <w:pPr>
        <w:spacing w:after="0" w:line="203" w:lineRule="exact"/>
        <w:rPr>
          <w:rFonts w:ascii="Arial" w:cs="Arial" w:eastAsia="Arial" w:hAnsi="Arial"/>
          <w:sz w:val="20"/>
          <w:szCs w:val="20"/>
          <w:color w:val="auto"/>
        </w:rPr>
      </w:pPr>
    </w:p>
    <w:p>
      <w:pPr>
        <w:ind w:left="2580" w:hanging="503"/>
        <w:spacing w:after="0"/>
        <w:tabs>
          <w:tab w:leader="none" w:pos="2580" w:val="left"/>
        </w:tabs>
        <w:numPr>
          <w:ilvl w:val="2"/>
          <w:numId w:val="344"/>
        </w:numPr>
        <w:rPr>
          <w:rFonts w:ascii="Arial" w:cs="Arial" w:eastAsia="Arial" w:hAnsi="Arial"/>
          <w:sz w:val="20"/>
          <w:szCs w:val="20"/>
          <w:color w:val="auto"/>
        </w:rPr>
      </w:pPr>
      <w:r>
        <w:rPr>
          <w:rFonts w:ascii="Arial" w:cs="Arial" w:eastAsia="Arial" w:hAnsi="Arial"/>
          <w:sz w:val="20"/>
          <w:szCs w:val="20"/>
          <w:color w:val="auto"/>
        </w:rPr>
        <w:t>the amounts required for any Parent Entity to pay any Parent Entity Expenses;</w:t>
      </w:r>
    </w:p>
    <w:p>
      <w:pPr>
        <w:spacing w:after="0" w:line="256" w:lineRule="exact"/>
        <w:rPr>
          <w:rFonts w:ascii="Arial" w:cs="Arial" w:eastAsia="Arial" w:hAnsi="Arial"/>
          <w:sz w:val="20"/>
          <w:szCs w:val="20"/>
          <w:color w:val="auto"/>
        </w:rPr>
      </w:pPr>
    </w:p>
    <w:p>
      <w:pPr>
        <w:jc w:val="both"/>
        <w:ind w:left="2080" w:hanging="3"/>
        <w:spacing w:after="0" w:line="250" w:lineRule="auto"/>
        <w:tabs>
          <w:tab w:leader="none" w:pos="2593" w:val="left"/>
        </w:tabs>
        <w:numPr>
          <w:ilvl w:val="2"/>
          <w:numId w:val="344"/>
        </w:numPr>
        <w:rPr>
          <w:rFonts w:ascii="Arial" w:cs="Arial" w:eastAsia="Arial" w:hAnsi="Arial"/>
          <w:sz w:val="20"/>
          <w:szCs w:val="20"/>
          <w:color w:val="auto"/>
        </w:rPr>
      </w:pPr>
      <w:r>
        <w:rPr>
          <w:rFonts w:ascii="Arial" w:cs="Arial" w:eastAsia="Arial" w:hAnsi="Arial"/>
          <w:sz w:val="20"/>
          <w:szCs w:val="20"/>
          <w:color w:val="auto"/>
        </w:rPr>
        <w:t>the amounts required to permit any Parent Entity to pay franchise and similar taxes, and other fees and expenses of such Parent Entity, in each case, required to maintain the corporate or other organizational existence of such Parent Entity;</w:t>
      </w:r>
    </w:p>
    <w:p>
      <w:pPr>
        <w:spacing w:after="0" w:line="226" w:lineRule="exact"/>
        <w:rPr>
          <w:rFonts w:ascii="Arial" w:cs="Arial" w:eastAsia="Arial" w:hAnsi="Arial"/>
          <w:sz w:val="20"/>
          <w:szCs w:val="20"/>
          <w:color w:val="auto"/>
        </w:rPr>
      </w:pPr>
    </w:p>
    <w:p>
      <w:pPr>
        <w:jc w:val="both"/>
        <w:ind w:left="2080" w:hanging="3"/>
        <w:spacing w:after="0" w:line="246" w:lineRule="auto"/>
        <w:tabs>
          <w:tab w:leader="none" w:pos="2593" w:val="left"/>
        </w:tabs>
        <w:numPr>
          <w:ilvl w:val="2"/>
          <w:numId w:val="344"/>
        </w:numPr>
        <w:rPr>
          <w:rFonts w:ascii="Arial" w:cs="Arial" w:eastAsia="Arial" w:hAnsi="Arial"/>
          <w:sz w:val="20"/>
          <w:szCs w:val="20"/>
          <w:color w:val="auto"/>
        </w:rPr>
      </w:pPr>
      <w:r>
        <w:rPr>
          <w:rFonts w:ascii="Arial" w:cs="Arial" w:eastAsia="Arial" w:hAnsi="Arial"/>
          <w:sz w:val="20"/>
          <w:szCs w:val="20"/>
          <w:color w:val="auto"/>
        </w:rPr>
        <w:t>with respect to any taxable year (or portion thereof) in which Holdings or any Subsidiary is a member (or a disregarded entity of a member) of a group filing a consolidated, combined, group, affiliated or unitary tax return with any Parent Entity or Subsidiary of a Parent Entity (or in which Holdings is a disregarded entity wholly owned, directly or indirectly, by a corporate Parent</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-324-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4" w:name="page455"/>
    <w:bookmarkEnd w:id="45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spacing w:after="0" w:line="260" w:lineRule="auto"/>
        <w:rPr>
          <w:sz w:val="20"/>
          <w:szCs w:val="20"/>
          <w:color w:val="auto"/>
        </w:rPr>
      </w:pPr>
      <w:r>
        <w:rPr>
          <w:rFonts w:ascii="Arial" w:cs="Arial" w:eastAsia="Arial" w:hAnsi="Arial"/>
          <w:sz w:val="20"/>
          <w:szCs w:val="20"/>
          <w:color w:val="auto"/>
        </w:rPr>
        <w:t>Entity), any dividends or other distributions to fund any income or in-lieu of income Taxes for such taxable year (or portion thereof) for which such Parent Entity or Subsidiary is liable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-325-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55" w:name="page456"/>
    <w:bookmarkEnd w:id="45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80"/>
        <w:spacing w:after="0" w:line="269" w:lineRule="auto"/>
        <w:rPr>
          <w:sz w:val="20"/>
          <w:szCs w:val="20"/>
          <w:color w:val="auto"/>
        </w:rPr>
      </w:pPr>
      <w:r>
        <w:rPr>
          <w:rFonts w:ascii="Arial" w:cs="Arial" w:eastAsia="Arial" w:hAnsi="Arial"/>
          <w:sz w:val="18"/>
          <w:szCs w:val="18"/>
          <w:color w:val="auto"/>
        </w:rPr>
        <w:t xml:space="preserve">up to an amount not to exceed the amount of any such Taxes that Holdings and/or its applicable Subsidiaries would have been required to pay for such taxable year (or portion thereof) if Holdings and/or its applicable Subsidiaries had paid such Taxes on a separate company basis, or a consolidated, combined, group, affiliated or unitary basis on behalf of an affiliated group consisting only of Holdings and such Subsidiaries, for all relevant taxable periods; or (b) for any taxable year (or portion thereof) ending after the Effective Date for which Holdings is treated as a disregarded entity, partnership, or other flow-through entity for U.S. federal, state, provincial, territorial, and/or local income Tax purposes, the payment of dividends or other distributions to the direct or indirect owner or owners of equity of Holdings in an aggregate amount equal to each of the direct or indirect owners’ Tax Amount. Each direct or indirect owner’s “Tax Amount” is the product of (i) the aggregate taxable income of Holdings and its Subsidiaries allocated to such owners for U.S. federal income tax purposes for such taxable year (or portion thereof) and (ii) the highest combined marginal federal, state and/or local income tax rate applicable to any direct or indirect equity owner of Holdings residing in California or New York, New York (whichever is higher for the relevant taxable year or portion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payments pursuant to this clause (C) for Taxes attributable to the income of an Unrestricted Subsidiary shall be limited to the amount of any cash actually paid by such Unrestricted Subsidiary to the Borrower or any Guarantor for such purpose;</w:t>
      </w:r>
    </w:p>
    <w:p>
      <w:pPr>
        <w:spacing w:after="0" w:line="219" w:lineRule="exact"/>
        <w:rPr>
          <w:sz w:val="20"/>
          <w:szCs w:val="20"/>
          <w:color w:val="auto"/>
        </w:rPr>
      </w:pPr>
    </w:p>
    <w:p>
      <w:pPr>
        <w:ind w:left="2080" w:right="480" w:hanging="2"/>
        <w:spacing w:after="0" w:line="260" w:lineRule="auto"/>
        <w:tabs>
          <w:tab w:leader="none" w:pos="2593" w:val="left"/>
        </w:tabs>
        <w:numPr>
          <w:ilvl w:val="1"/>
          <w:numId w:val="345"/>
        </w:numPr>
        <w:rPr>
          <w:rFonts w:ascii="Arial" w:cs="Arial" w:eastAsia="Arial" w:hAnsi="Arial"/>
          <w:sz w:val="20"/>
          <w:szCs w:val="20"/>
          <w:color w:val="auto"/>
        </w:rPr>
      </w:pPr>
      <w:r>
        <w:rPr>
          <w:rFonts w:ascii="Arial" w:cs="Arial" w:eastAsia="Arial" w:hAnsi="Arial"/>
          <w:sz w:val="20"/>
          <w:szCs w:val="20"/>
          <w:color w:val="auto"/>
        </w:rPr>
        <w:t>amounts constituting or to be used for purposes of making payments to the extent specified in Section 7.07(b)(ii), (iii), (v), (xi), (xii), (xiii), (xv) and (xix); or</w:t>
      </w:r>
    </w:p>
    <w:p>
      <w:pPr>
        <w:spacing w:after="0" w:line="203" w:lineRule="exact"/>
        <w:rPr>
          <w:rFonts w:ascii="Arial" w:cs="Arial" w:eastAsia="Arial" w:hAnsi="Arial"/>
          <w:sz w:val="20"/>
          <w:szCs w:val="20"/>
          <w:color w:val="auto"/>
        </w:rPr>
      </w:pPr>
    </w:p>
    <w:p>
      <w:pPr>
        <w:jc w:val="both"/>
        <w:ind w:left="780" w:firstLine="677"/>
        <w:spacing w:after="0" w:line="254" w:lineRule="auto"/>
        <w:tabs>
          <w:tab w:leader="none" w:pos="1938" w:val="left"/>
        </w:tabs>
        <w:numPr>
          <w:ilvl w:val="0"/>
          <w:numId w:val="346"/>
        </w:numPr>
        <w:rPr>
          <w:rFonts w:ascii="Arial" w:cs="Arial" w:eastAsia="Arial" w:hAnsi="Arial"/>
          <w:sz w:val="19"/>
          <w:szCs w:val="19"/>
          <w:color w:val="auto"/>
        </w:rPr>
      </w:pPr>
      <w:r>
        <w:rPr>
          <w:rFonts w:ascii="Arial" w:cs="Arial" w:eastAsia="Arial" w:hAnsi="Arial"/>
          <w:sz w:val="19"/>
          <w:szCs w:val="19"/>
          <w:color w:val="auto"/>
        </w:rPr>
        <w:t>(a) so long as no Specified Default has occurred and is continuing (or would result therefrom), the declaration and payment of dividends on the common stock or common equity interests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following a public offering of such common stock or common equity interests (or such exchangeable securities, as applicable), in an amount in any fiscal year not to exceed an aggregate amount equal to up to the lesser of (x) 6.0% of the amount of net cash proceeds received by or contributed to the Borrower or any of its Restricted Subsidiaries from any such public offering and (y) the aggregate principal amount of Term Loans prepaid with the proceeds of such public offering; or (b) in lieu of all or a portion of the dividends permitted by clause (a), any prepayment, purchase, repurchase, redemption, defeasance, discharge, retirement or other acquisition of the Capital Stock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230" w:lineRule="exact"/>
        <w:rPr>
          <w:rFonts w:ascii="Arial" w:cs="Arial" w:eastAsia="Arial" w:hAnsi="Arial"/>
          <w:sz w:val="19"/>
          <w:szCs w:val="19"/>
          <w:color w:val="auto"/>
        </w:rPr>
      </w:pPr>
    </w:p>
    <w:p>
      <w:pPr>
        <w:jc w:val="both"/>
        <w:ind w:left="780" w:firstLine="622"/>
        <w:spacing w:after="0" w:line="246" w:lineRule="auto"/>
        <w:tabs>
          <w:tab w:leader="none" w:pos="1938" w:val="left"/>
        </w:tabs>
        <w:numPr>
          <w:ilvl w:val="0"/>
          <w:numId w:val="346"/>
        </w:numPr>
        <w:rPr>
          <w:rFonts w:ascii="Arial" w:cs="Arial" w:eastAsia="Arial" w:hAnsi="Arial"/>
          <w:sz w:val="20"/>
          <w:szCs w:val="20"/>
          <w:color w:val="auto"/>
        </w:rPr>
      </w:pPr>
      <w:r>
        <w:rPr>
          <w:rFonts w:ascii="Arial" w:cs="Arial" w:eastAsia="Arial" w:hAnsi="Arial"/>
          <w:sz w:val="20"/>
          <w:szCs w:val="20"/>
          <w:color w:val="auto"/>
        </w:rPr>
        <w:t xml:space="preserve">payments by Holdings, or loans, advances, dividends or distributions to any Parent Entity to make payments, to holders of Capital Stock of Holdings or any Parent Entity in lieu of the issuance of fractional shares of such Capital Stock,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any such payment, loan, advance, dividend or distribution shall not be for the purpose of evading any</w:t>
      </w:r>
      <w:r>
        <w:rPr>
          <w:rFonts w:ascii="Arial" w:cs="Arial" w:eastAsia="Arial" w:hAnsi="Arial"/>
          <w:sz w:val="20"/>
          <w:szCs w:val="20"/>
          <w:i w:val="1"/>
          <w:iCs w:val="1"/>
          <w:color w:val="auto"/>
        </w:rPr>
        <w:t xml:space="preserve"> </w:t>
      </w:r>
      <w:r>
        <w:rPr>
          <w:rFonts w:ascii="Arial" w:cs="Arial" w:eastAsia="Arial" w:hAnsi="Arial"/>
          <w:sz w:val="20"/>
          <w:szCs w:val="20"/>
          <w:color w:val="auto"/>
        </w:rPr>
        <w:t>limitation of</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-326-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6" w:name="page457"/>
    <w:bookmarkEnd w:id="45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or otherwise to facilitate any dividend or other return of capital to the holders of such Capital Stock (as determined in good faith by Holdings);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-327-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57" w:name="page458"/>
    <w:bookmarkEnd w:id="45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567"/>
        <w:spacing w:after="0" w:line="260" w:lineRule="auto"/>
        <w:tabs>
          <w:tab w:leader="none" w:pos="1950" w:val="left"/>
        </w:tabs>
        <w:numPr>
          <w:ilvl w:val="1"/>
          <w:numId w:val="347"/>
        </w:numPr>
        <w:rPr>
          <w:rFonts w:ascii="Arial" w:cs="Arial" w:eastAsia="Arial" w:hAnsi="Arial"/>
          <w:sz w:val="19"/>
          <w:szCs w:val="19"/>
          <w:color w:val="auto"/>
        </w:rPr>
      </w:pPr>
      <w:r>
        <w:rPr>
          <w:rFonts w:ascii="Arial" w:cs="Arial" w:eastAsia="Arial" w:hAnsi="Arial"/>
          <w:sz w:val="19"/>
          <w:szCs w:val="19"/>
          <w:color w:val="auto"/>
        </w:rPr>
        <w:t xml:space="preserve">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Restricted Payments permitted pursuant to this clause (b) shall not exceed the original amount of Excluded Contributions that were used to finance the acquisition or such property or assets;</w:t>
      </w:r>
    </w:p>
    <w:p>
      <w:pPr>
        <w:spacing w:after="0" w:line="220" w:lineRule="exact"/>
        <w:rPr>
          <w:rFonts w:ascii="Arial" w:cs="Arial" w:eastAsia="Arial" w:hAnsi="Arial"/>
          <w:sz w:val="19"/>
          <w:szCs w:val="19"/>
          <w:color w:val="auto"/>
        </w:rPr>
      </w:pPr>
    </w:p>
    <w:p>
      <w:pPr>
        <w:jc w:val="both"/>
        <w:ind w:left="780" w:firstLine="511"/>
        <w:spacing w:after="0" w:line="271" w:lineRule="auto"/>
        <w:tabs>
          <w:tab w:leader="none" w:pos="194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(i) the declaration and payment of dividends on Designated Preferred Stock of Holdings or any of its Restricted Subsidiaries issued after the Closing Date; (ii) the declaration and payment of dividends to a Parent Entity in an amount sufficient to allow the Parent Entity to pay dividends to holders of its Designated Preferred Stock issued after the Closing Date; and (iii) the declaration and payment of dividends on Refunding Capital Stock that is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case of clause (ii), the amount of dividends declared and paid to a Person pursuant to such clause shall not exceed the cash proceeds received by Holdings or the aggregate amount contributed in cash to the equity of Holdings (other than through the issuance of Disqualified Stock, a Cure Amount or an Excluded Contribution of Holdings), from the issuance or sale of such Designated Preferred Stock;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in the case of clauses (i) and (iii), that for the most recently ended four fiscal quarters for which consolidated financial statements are available immediately preceding the date of issuance of such Designated Preferred Stock or declaration of such dividends on such Refunding Capital Stock, after giving effect to such payment on a pro forma basis Holdings would be permitted to Incur at least $1.00 of additional Indebtedness pursuant to the test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hereof;</w:t>
      </w:r>
    </w:p>
    <w:p>
      <w:pPr>
        <w:spacing w:after="0" w:line="277" w:lineRule="exact"/>
        <w:rPr>
          <w:rFonts w:ascii="Arial" w:cs="Arial" w:eastAsia="Arial" w:hAnsi="Arial"/>
          <w:sz w:val="18"/>
          <w:szCs w:val="18"/>
          <w:color w:val="auto"/>
        </w:rPr>
      </w:pPr>
    </w:p>
    <w:p>
      <w:pPr>
        <w:ind w:left="2080" w:hanging="777"/>
        <w:spacing w:after="0"/>
        <w:tabs>
          <w:tab w:leader="none" w:pos="2080" w:val="left"/>
        </w:tabs>
        <w:numPr>
          <w:ilvl w:val="2"/>
          <w:numId w:val="347"/>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780" w:firstLine="579"/>
        <w:spacing w:after="0" w:line="269" w:lineRule="auto"/>
        <w:tabs>
          <w:tab w:leader="none" w:pos="1925" w:val="left"/>
        </w:tabs>
        <w:numPr>
          <w:ilvl w:val="3"/>
          <w:numId w:val="347"/>
        </w:numPr>
        <w:rPr>
          <w:rFonts w:ascii="Arial" w:cs="Arial" w:eastAsia="Arial" w:hAnsi="Arial"/>
          <w:sz w:val="19"/>
          <w:szCs w:val="19"/>
          <w:color w:val="auto"/>
        </w:rPr>
      </w:pPr>
      <w:r>
        <w:rPr>
          <w:rFonts w:ascii="Arial" w:cs="Arial" w:eastAsia="Arial" w:hAnsi="Arial"/>
          <w:sz w:val="19"/>
          <w:szCs w:val="19"/>
          <w:color w:val="auto"/>
        </w:rPr>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210" w:lineRule="exact"/>
        <w:rPr>
          <w:rFonts w:ascii="Arial" w:cs="Arial" w:eastAsia="Arial" w:hAnsi="Arial"/>
          <w:sz w:val="19"/>
          <w:szCs w:val="19"/>
          <w:color w:val="auto"/>
        </w:rPr>
      </w:pPr>
    </w:p>
    <w:p>
      <w:pPr>
        <w:jc w:val="both"/>
        <w:ind w:left="780" w:firstLine="524"/>
        <w:spacing w:after="0" w:line="246" w:lineRule="auto"/>
        <w:tabs>
          <w:tab w:leader="none" w:pos="1937" w:val="left"/>
        </w:tabs>
        <w:numPr>
          <w:ilvl w:val="2"/>
          <w:numId w:val="348"/>
        </w:numPr>
        <w:rPr>
          <w:rFonts w:ascii="Arial" w:cs="Arial" w:eastAsia="Arial" w:hAnsi="Arial"/>
          <w:sz w:val="20"/>
          <w:szCs w:val="20"/>
          <w:color w:val="auto"/>
        </w:rPr>
      </w:pPr>
      <w:r>
        <w:rPr>
          <w:rFonts w:ascii="Arial" w:cs="Arial" w:eastAsia="Arial" w:hAnsi="Arial"/>
          <w:sz w:val="20"/>
          <w:szCs w:val="20"/>
          <w:color w:val="auto"/>
        </w:rPr>
        <w:t>the Closing Distribution and any fees, costs and expenses (including all legal, accounting and other professional fees, costs and expenses) related thereto, including Transaction Expenses, or used to fund amounts owed to Affiliates in connection with the Transactions (including dividends to any Parent Entity to permit payment by such Parent Entity of such amounts);</w:t>
      </w:r>
    </w:p>
    <w:p>
      <w:pPr>
        <w:spacing w:after="0" w:line="218" w:lineRule="exact"/>
        <w:rPr>
          <w:rFonts w:ascii="Arial" w:cs="Arial" w:eastAsia="Arial" w:hAnsi="Arial"/>
          <w:sz w:val="20"/>
          <w:szCs w:val="20"/>
          <w:color w:val="auto"/>
        </w:rPr>
      </w:pPr>
    </w:p>
    <w:p>
      <w:pPr>
        <w:jc w:val="both"/>
        <w:ind w:left="780" w:firstLine="469"/>
        <w:spacing w:after="0" w:line="259" w:lineRule="auto"/>
        <w:tabs>
          <w:tab w:leader="none" w:pos="1950" w:val="left"/>
        </w:tabs>
        <w:numPr>
          <w:ilvl w:val="1"/>
          <w:numId w:val="349"/>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result therefrom), (i) Restricted Payments (including loans or advances) in an aggregate amount outstanding at the time made not to exceed the greater of $53.0 million and 25.0% of LTM EBITDA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amounts reallocated to clause (w) of the definition of “Permitted Investments” or to </w:t>
      </w:r>
      <w:r>
        <w:rPr>
          <w:rFonts w:ascii="Arial" w:cs="Arial" w:eastAsia="Arial" w:hAnsi="Arial"/>
          <w:sz w:val="19"/>
          <w:szCs w:val="19"/>
          <w:u w:val="single" w:color="auto"/>
          <w:color w:val="auto"/>
        </w:rPr>
        <w:t>Section 7.03(xiv)</w:t>
      </w:r>
      <w:r>
        <w:rPr>
          <w:rFonts w:ascii="Arial" w:cs="Arial" w:eastAsia="Arial" w:hAnsi="Arial"/>
          <w:sz w:val="19"/>
          <w:szCs w:val="19"/>
          <w:color w:val="auto"/>
        </w:rPr>
        <w:t>, (ii) any Restricted Payments, so long as, immediately after giving pro forma effect to the payment of any such Restricted Payment and the incurrence of any Indebtedness the net proceeds of which are used to make such Restricted Payment, the Consolidated Total Leverage Ratio shall be no greater than 1.80 to 1.00;</w:t>
      </w:r>
    </w:p>
    <w:p>
      <w:pPr>
        <w:spacing w:after="0" w:line="218" w:lineRule="exact"/>
        <w:rPr>
          <w:rFonts w:ascii="Arial" w:cs="Arial" w:eastAsia="Arial" w:hAnsi="Arial"/>
          <w:sz w:val="19"/>
          <w:szCs w:val="19"/>
          <w:color w:val="auto"/>
        </w:rPr>
      </w:pPr>
    </w:p>
    <w:p>
      <w:pPr>
        <w:ind w:left="1960" w:hanging="766"/>
        <w:spacing w:after="0"/>
        <w:tabs>
          <w:tab w:leader="none" w:pos="19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mandatory redemptions of Disqualified Stock issued as a Restricted Payment or as consideration for a Permitted</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Investment;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-328-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8" w:name="page459"/>
    <w:bookmarkEnd w:id="45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780" w:firstLine="524"/>
        <w:spacing w:after="0" w:line="250" w:lineRule="auto"/>
        <w:tabs>
          <w:tab w:leader="none" w:pos="1939"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redemption, defeasance, repurchase, exchange or other acquisition or retirement of Subordinated Indebtedness, so long as, immediately after giving pro forma effect to the payment of any such Restricted Payment and the incurrence of any Indebtedness the net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-329-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59" w:name="page460"/>
    <w:bookmarkEnd w:id="45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60"/>
        <w:spacing w:after="0" w:line="260" w:lineRule="auto"/>
        <w:rPr>
          <w:sz w:val="20"/>
          <w:szCs w:val="20"/>
          <w:color w:val="auto"/>
        </w:rPr>
      </w:pPr>
      <w:r>
        <w:rPr>
          <w:rFonts w:ascii="Arial" w:cs="Arial" w:eastAsia="Arial" w:hAnsi="Arial"/>
          <w:sz w:val="20"/>
          <w:szCs w:val="20"/>
          <w:color w:val="auto"/>
        </w:rPr>
        <w:t>proceeds of which are used to make such Restricted Payment, the Consolidated Total Leverage Ratio shall be no greater than 1.80 to 1.00;</w:t>
      </w:r>
    </w:p>
    <w:p>
      <w:pPr>
        <w:spacing w:after="0" w:line="217" w:lineRule="exact"/>
        <w:rPr>
          <w:sz w:val="20"/>
          <w:szCs w:val="20"/>
          <w:color w:val="auto"/>
        </w:rPr>
      </w:pPr>
    </w:p>
    <w:p>
      <w:pPr>
        <w:jc w:val="both"/>
        <w:ind w:left="780" w:firstLine="579"/>
        <w:spacing w:after="0" w:line="246" w:lineRule="auto"/>
        <w:tabs>
          <w:tab w:leader="none" w:pos="1947" w:val="left"/>
        </w:tabs>
        <w:numPr>
          <w:ilvl w:val="2"/>
          <w:numId w:val="351"/>
        </w:numPr>
        <w:rPr>
          <w:rFonts w:ascii="Arial" w:cs="Arial" w:eastAsia="Arial" w:hAnsi="Arial"/>
          <w:sz w:val="20"/>
          <w:szCs w:val="20"/>
          <w:color w:val="auto"/>
        </w:rPr>
      </w:pPr>
      <w:r>
        <w:rPr>
          <w:rFonts w:ascii="Arial" w:cs="Arial" w:eastAsia="Arial" w:hAnsi="Arial"/>
          <w:sz w:val="20"/>
          <w:szCs w:val="20"/>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hereof;</w:t>
      </w:r>
    </w:p>
    <w:p>
      <w:pPr>
        <w:spacing w:after="0" w:line="299" w:lineRule="exact"/>
        <w:rPr>
          <w:rFonts w:ascii="Arial" w:cs="Arial" w:eastAsia="Arial" w:hAnsi="Arial"/>
          <w:sz w:val="20"/>
          <w:szCs w:val="20"/>
          <w:color w:val="auto"/>
        </w:rPr>
      </w:pPr>
    </w:p>
    <w:p>
      <w:pPr>
        <w:jc w:val="both"/>
        <w:ind w:left="780" w:firstLine="523"/>
        <w:spacing w:after="0" w:line="245" w:lineRule="auto"/>
        <w:tabs>
          <w:tab w:leader="none" w:pos="1947" w:val="left"/>
        </w:tabs>
        <w:numPr>
          <w:ilvl w:val="2"/>
          <w:numId w:val="351"/>
        </w:numPr>
        <w:rPr>
          <w:rFonts w:ascii="Arial" w:cs="Arial" w:eastAsia="Arial" w:hAnsi="Arial"/>
          <w:sz w:val="20"/>
          <w:szCs w:val="20"/>
          <w:color w:val="auto"/>
        </w:rPr>
      </w:pPr>
      <w:r>
        <w:rPr>
          <w:rFonts w:ascii="Arial" w:cs="Arial" w:eastAsia="Arial" w:hAnsi="Arial"/>
          <w:sz w:val="20"/>
          <w:szCs w:val="20"/>
          <w:color w:val="auto"/>
        </w:rPr>
        <w:t xml:space="preserve">Restricted Payments to a Parent Entity to finance Investments that would otherwise be permitted to be made pursuant to this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if made by Holdings;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Restricted Payment shall be made substantially concurrently with the closing of such Investment,</w:t>
      </w:r>
    </w:p>
    <w:p>
      <w:pPr>
        <w:jc w:val="both"/>
        <w:ind w:left="780" w:firstLine="1"/>
        <w:spacing w:after="0" w:line="266" w:lineRule="auto"/>
        <w:tabs>
          <w:tab w:leader="none" w:pos="129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such Parent Entity shall, promptly following the closing thereof, cause (1) all property acquired (whether assets or Capital Stock) to be contributed to the capital of Holdings or one of its Restricted Subsidiaries or (2) the merger or amalgamation of the Person formed or acquired into Holdings or one of its Restricted Subsidiaries (to the extent not prohibited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hereof)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 (d) any property received by Holdings shall not increase amounts available for Restricted Payments pursuant to </w:t>
      </w:r>
      <w:r>
        <w:rPr>
          <w:rFonts w:ascii="Arial" w:cs="Arial" w:eastAsia="Arial" w:hAnsi="Arial"/>
          <w:sz w:val="18"/>
          <w:szCs w:val="18"/>
          <w:u w:val="single" w:color="auto"/>
          <w:color w:val="auto"/>
        </w:rPr>
        <w:t>Section 7.06(a)</w:t>
      </w:r>
      <w:r>
        <w:rPr>
          <w:rFonts w:ascii="Arial" w:cs="Arial" w:eastAsia="Arial" w:hAnsi="Arial"/>
          <w:sz w:val="18"/>
          <w:szCs w:val="18"/>
          <w:color w:val="auto"/>
        </w:rPr>
        <w:t>, except to the extent the fair market value at the time of such receipt of such property exceeds the Restricted Payment made pursuant to this clause (xxi) and</w:t>
      </w:r>
    </w:p>
    <w:p>
      <w:pPr>
        <w:jc w:val="both"/>
        <w:ind w:left="780" w:firstLine="1"/>
        <w:spacing w:after="0" w:line="241" w:lineRule="auto"/>
        <w:tabs>
          <w:tab w:leader="none" w:pos="1059"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such Investment shall be deemed to be made by Holdings or such Restricted Subsidiary pursuant to another provision of this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(other than pursuant to </w:t>
      </w:r>
      <w:r>
        <w:rPr>
          <w:rFonts w:ascii="Arial" w:cs="Arial" w:eastAsia="Arial" w:hAnsi="Arial"/>
          <w:sz w:val="20"/>
          <w:szCs w:val="20"/>
          <w:u w:val="single" w:color="auto"/>
          <w:color w:val="auto"/>
        </w:rPr>
        <w:t>Section 7.06(b)(xiii)</w:t>
      </w:r>
      <w:r>
        <w:rPr>
          <w:rFonts w:ascii="Arial" w:cs="Arial" w:eastAsia="Arial" w:hAnsi="Arial"/>
          <w:sz w:val="20"/>
          <w:szCs w:val="20"/>
          <w:color w:val="auto"/>
        </w:rPr>
        <w:t>) or pursuant to the definition of “Permitted Investment” (other than pursuant to clause (l) thereof);</w:t>
      </w:r>
    </w:p>
    <w:p>
      <w:pPr>
        <w:spacing w:after="0" w:line="222" w:lineRule="exact"/>
        <w:rPr>
          <w:rFonts w:ascii="Arial" w:cs="Arial" w:eastAsia="Arial" w:hAnsi="Arial"/>
          <w:sz w:val="20"/>
          <w:szCs w:val="20"/>
          <w:color w:val="auto"/>
        </w:rPr>
      </w:pPr>
    </w:p>
    <w:p>
      <w:pPr>
        <w:ind w:left="1940" w:hanging="691"/>
        <w:spacing w:after="0"/>
        <w:tabs>
          <w:tab w:leader="none" w:pos="1940" w:val="left"/>
        </w:tabs>
        <w:numPr>
          <w:ilvl w:val="2"/>
          <w:numId w:val="353"/>
        </w:numPr>
        <w:rPr>
          <w:rFonts w:ascii="Arial" w:cs="Arial" w:eastAsia="Arial" w:hAnsi="Arial"/>
          <w:sz w:val="19"/>
          <w:szCs w:val="19"/>
          <w:color w:val="auto"/>
        </w:rPr>
      </w:pPr>
      <w:r>
        <w:rPr>
          <w:rFonts w:ascii="Arial" w:cs="Arial" w:eastAsia="Arial" w:hAnsi="Arial"/>
          <w:sz w:val="19"/>
          <w:szCs w:val="19"/>
          <w:color w:val="auto"/>
        </w:rPr>
        <w:t>any  Restricted  Payment  made  in  connection  with  a  Permitted  Intercompany  Activity  or  Permitted  Tax</w:t>
      </w:r>
    </w:p>
    <w:p>
      <w:pPr>
        <w:spacing w:after="0" w:line="27"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0"/>
          <w:szCs w:val="20"/>
          <w:color w:val="auto"/>
        </w:rPr>
        <w:t>Restructuring;</w:t>
      </w:r>
    </w:p>
    <w:p>
      <w:pPr>
        <w:spacing w:after="0" w:line="240" w:lineRule="exact"/>
        <w:rPr>
          <w:rFonts w:ascii="Arial" w:cs="Arial" w:eastAsia="Arial" w:hAnsi="Arial"/>
          <w:sz w:val="19"/>
          <w:szCs w:val="19"/>
          <w:color w:val="auto"/>
        </w:rPr>
      </w:pPr>
    </w:p>
    <w:p>
      <w:pPr>
        <w:ind w:left="2060" w:hanging="867"/>
        <w:spacing w:after="0"/>
        <w:tabs>
          <w:tab w:leader="none" w:pos="2060" w:val="left"/>
        </w:tabs>
        <w:numPr>
          <w:ilvl w:val="1"/>
          <w:numId w:val="3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sz w:val="20"/>
          <w:szCs w:val="20"/>
          <w:color w:val="auto"/>
        </w:rPr>
      </w:pPr>
    </w:p>
    <w:p>
      <w:pPr>
        <w:jc w:val="both"/>
        <w:ind w:left="780" w:right="20" w:firstLine="425"/>
        <w:spacing w:after="0" w:line="250" w:lineRule="auto"/>
        <w:tabs>
          <w:tab w:leader="none" w:pos="1932" w:val="left"/>
        </w:tabs>
        <w:numPr>
          <w:ilvl w:val="0"/>
          <w:numId w:val="354"/>
        </w:numPr>
        <w:rPr>
          <w:rFonts w:ascii="Arial" w:cs="Arial" w:eastAsia="Arial" w:hAnsi="Arial"/>
          <w:sz w:val="20"/>
          <w:szCs w:val="20"/>
          <w:color w:val="auto"/>
        </w:rPr>
      </w:pPr>
      <w:r>
        <w:rPr>
          <w:rFonts w:ascii="Arial" w:cs="Arial" w:eastAsia="Arial" w:hAnsi="Arial"/>
          <w:sz w:val="20"/>
          <w:szCs w:val="20"/>
          <w:color w:val="auto"/>
        </w:rPr>
        <w:t xml:space="preserve">prepayments, purchases or redemptions of Subordinated Indebtedness in an aggregate amount outstanding at the time made not to exceed the greater of $53.0 million and 25.0% of LTM EBITDA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amounts reallocated to clause (w) of the definition of “Permitted Investments”;</w:t>
      </w:r>
    </w:p>
    <w:p>
      <w:pPr>
        <w:spacing w:after="0" w:line="212" w:lineRule="exact"/>
        <w:rPr>
          <w:rFonts w:ascii="Arial" w:cs="Arial" w:eastAsia="Arial" w:hAnsi="Arial"/>
          <w:sz w:val="20"/>
          <w:szCs w:val="20"/>
          <w:color w:val="auto"/>
        </w:rPr>
      </w:pPr>
    </w:p>
    <w:p>
      <w:pPr>
        <w:ind w:left="2080" w:hanging="821"/>
        <w:spacing w:after="0"/>
        <w:tabs>
          <w:tab w:leader="none" w:pos="2080" w:val="left"/>
        </w:tabs>
        <w:numPr>
          <w:ilvl w:val="1"/>
          <w:numId w:val="3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1940" w:hanging="736"/>
        <w:spacing w:after="0"/>
        <w:tabs>
          <w:tab w:leader="none" w:pos="1940" w:val="left"/>
        </w:tabs>
        <w:numPr>
          <w:ilvl w:val="1"/>
          <w:numId w:val="354"/>
        </w:numPr>
        <w:rPr>
          <w:rFonts w:ascii="Arial" w:cs="Arial" w:eastAsia="Arial" w:hAnsi="Arial"/>
          <w:sz w:val="20"/>
          <w:szCs w:val="20"/>
          <w:color w:val="auto"/>
        </w:rPr>
      </w:pPr>
      <w:r>
        <w:rPr>
          <w:rFonts w:ascii="Arial" w:cs="Arial" w:eastAsia="Arial" w:hAnsi="Arial"/>
          <w:sz w:val="20"/>
          <w:szCs w:val="20"/>
          <w:color w:val="auto"/>
        </w:rPr>
        <w:t>conversions of Subordinated Indebtedness into Common Stock or other Qualified Capital Stock; and</w:t>
      </w:r>
    </w:p>
    <w:p>
      <w:pPr>
        <w:spacing w:after="0" w:line="256" w:lineRule="exact"/>
        <w:rPr>
          <w:rFonts w:ascii="Arial" w:cs="Arial" w:eastAsia="Arial" w:hAnsi="Arial"/>
          <w:sz w:val="20"/>
          <w:szCs w:val="20"/>
          <w:color w:val="auto"/>
        </w:rPr>
      </w:pPr>
    </w:p>
    <w:p>
      <w:pPr>
        <w:ind w:left="1940" w:hanging="791"/>
        <w:spacing w:after="0"/>
        <w:tabs>
          <w:tab w:leader="none" w:pos="1940" w:val="left"/>
        </w:tabs>
        <w:numPr>
          <w:ilvl w:val="1"/>
          <w:numId w:val="354"/>
        </w:numPr>
        <w:rPr>
          <w:rFonts w:ascii="Arial" w:cs="Arial" w:eastAsia="Arial" w:hAnsi="Arial"/>
          <w:sz w:val="19"/>
          <w:szCs w:val="19"/>
          <w:color w:val="auto"/>
        </w:rPr>
      </w:pPr>
      <w:r>
        <w:rPr>
          <w:rFonts w:ascii="Arial" w:cs="Arial" w:eastAsia="Arial" w:hAnsi="Arial"/>
          <w:sz w:val="19"/>
          <w:szCs w:val="19"/>
          <w:color w:val="auto"/>
        </w:rPr>
        <w:t>obligations owing (x) pursuant to the TRA and (y) in respect of the Original Acquisition Agreement Earn-Out.</w:t>
      </w:r>
    </w:p>
    <w:p>
      <w:pPr>
        <w:spacing w:after="0" w:line="254" w:lineRule="exact"/>
        <w:rPr>
          <w:rFonts w:ascii="Arial" w:cs="Arial" w:eastAsia="Arial" w:hAnsi="Arial"/>
          <w:sz w:val="19"/>
          <w:szCs w:val="19"/>
          <w:color w:val="auto"/>
        </w:rPr>
      </w:pPr>
    </w:p>
    <w:p>
      <w:pPr>
        <w:jc w:val="both"/>
        <w:ind w:left="780" w:firstLine="649"/>
        <w:spacing w:after="0" w:line="246" w:lineRule="auto"/>
        <w:tabs>
          <w:tab w:leader="none" w:pos="1942" w:val="left"/>
        </w:tabs>
        <w:numPr>
          <w:ilvl w:val="2"/>
          <w:numId w:val="354"/>
        </w:numPr>
        <w:rPr>
          <w:rFonts w:ascii="Arial" w:cs="Arial" w:eastAsia="Arial" w:hAnsi="Arial"/>
          <w:sz w:val="20"/>
          <w:szCs w:val="20"/>
          <w:color w:val="auto"/>
        </w:rPr>
      </w:pPr>
      <w:r>
        <w:rPr>
          <w:rFonts w:ascii="Arial" w:cs="Arial" w:eastAsia="Arial" w:hAnsi="Arial"/>
          <w:sz w:val="20"/>
          <w:szCs w:val="20"/>
          <w:color w:val="auto"/>
        </w:rPr>
        <w:t>The Borrower shall not, and shall not permit any of the Restricted Subsidiaries, directly or indirectly, to amend, modify or change any term or condition of documents evidencing Subordinated Indebtedness in a manner that violates the applicable subordination agreement or such document evidencing Subordinated Indebtedness in a manner that is material and adverse to the Lenders.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-330-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-331-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61" w:name="page462"/>
    <w:bookmarkEnd w:id="46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60" w:hanging="631"/>
        <w:spacing w:after="0"/>
        <w:tabs>
          <w:tab w:leader="none" w:pos="206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780" w:firstLine="650"/>
        <w:spacing w:after="0" w:line="244" w:lineRule="auto"/>
        <w:tabs>
          <w:tab w:leader="none" w:pos="1941" w:val="left"/>
        </w:tabs>
        <w:numPr>
          <w:ilvl w:val="1"/>
          <w:numId w:val="355"/>
        </w:numPr>
        <w:rPr>
          <w:rFonts w:ascii="Arial" w:cs="Arial" w:eastAsia="Arial" w:hAnsi="Arial"/>
          <w:sz w:val="20"/>
          <w:szCs w:val="20"/>
          <w:color w:val="auto"/>
        </w:rPr>
      </w:pPr>
      <w:r>
        <w:rPr>
          <w:rFonts w:ascii="Arial" w:cs="Arial" w:eastAsia="Arial" w:hAnsi="Arial"/>
          <w:sz w:val="20"/>
          <w:szCs w:val="20"/>
          <w:color w:val="auto"/>
        </w:rPr>
        <w:t>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w:t>
      </w:r>
    </w:p>
    <w:p>
      <w:pPr>
        <w:spacing w:after="0" w:line="221" w:lineRule="exact"/>
        <w:rPr>
          <w:rFonts w:ascii="Arial" w:cs="Arial" w:eastAsia="Arial" w:hAnsi="Arial"/>
          <w:sz w:val="20"/>
          <w:szCs w:val="20"/>
          <w:color w:val="auto"/>
        </w:rPr>
      </w:pPr>
    </w:p>
    <w:p>
      <w:pPr>
        <w:jc w:val="both"/>
        <w:ind w:left="780" w:firstLine="650"/>
        <w:spacing w:after="0" w:line="250" w:lineRule="auto"/>
        <w:tabs>
          <w:tab w:leader="none" w:pos="1943" w:val="left"/>
        </w:tabs>
        <w:numPr>
          <w:ilvl w:val="1"/>
          <w:numId w:val="355"/>
        </w:numPr>
        <w:rPr>
          <w:rFonts w:ascii="Arial" w:cs="Arial" w:eastAsia="Arial" w:hAnsi="Arial"/>
          <w:sz w:val="20"/>
          <w:szCs w:val="20"/>
          <w:color w:val="auto"/>
        </w:rPr>
      </w:pPr>
      <w:r>
        <w:rPr>
          <w:rFonts w:ascii="Arial" w:cs="Arial" w:eastAsia="Arial" w:hAnsi="Arial"/>
          <w:sz w:val="20"/>
          <w:szCs w:val="20"/>
          <w:color w:val="auto"/>
        </w:rPr>
        <w:t xml:space="preserve">For the avoidance of doubt, this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shall not restrict the making of, or dividends or other distributions in amounts sufficient to make, any “AHYDO Catch-Up Payment” with respect to any Indebtedness of any Parent Entity, the Borrower or any of the Restricted Subsidiaries permitted to be Incurred under this Agreement.</w:t>
      </w:r>
    </w:p>
    <w:p>
      <w:pPr>
        <w:spacing w:after="0" w:line="226" w:lineRule="exact"/>
        <w:rPr>
          <w:rFonts w:ascii="Arial" w:cs="Arial" w:eastAsia="Arial" w:hAnsi="Arial"/>
          <w:sz w:val="20"/>
          <w:szCs w:val="20"/>
          <w:color w:val="auto"/>
        </w:rPr>
      </w:pPr>
    </w:p>
    <w:p>
      <w:pPr>
        <w:jc w:val="both"/>
        <w:ind w:left="780" w:firstLine="649"/>
        <w:spacing w:after="0" w:line="275" w:lineRule="auto"/>
        <w:tabs>
          <w:tab w:leader="none" w:pos="1941" w:val="left"/>
        </w:tabs>
        <w:numPr>
          <w:ilvl w:val="1"/>
          <w:numId w:val="35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Holdings, the Borrower and its Restricted Subsidiaries shall not make any Restricted Payments (other than pursuant to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permitted under clause</w:t>
      </w:r>
    </w:p>
    <w:p>
      <w:pPr>
        <w:ind w:left="780" w:firstLine="1"/>
        <w:spacing w:after="0" w:line="244" w:lineRule="auto"/>
        <w:tabs>
          <w:tab w:leader="none" w:pos="1049" w:val="left"/>
        </w:tabs>
        <w:numPr>
          <w:ilvl w:val="0"/>
          <w:numId w:val="356"/>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(b)(xvii)</w:t>
      </w:r>
      <w:r>
        <w:rPr>
          <w:rFonts w:ascii="Arial" w:cs="Arial" w:eastAsia="Arial" w:hAnsi="Arial"/>
          <w:sz w:val="20"/>
          <w:szCs w:val="20"/>
          <w:color w:val="auto"/>
        </w:rPr>
        <w:t xml:space="preserve"> until such time after the Closing Date as the Borrower shall have prepaid at least $100.0 million of the Term Loans in accordance with the terms of this Agreement.</w:t>
      </w:r>
    </w:p>
    <w:p>
      <w:pPr>
        <w:spacing w:after="0" w:line="231" w:lineRule="exact"/>
        <w:rPr>
          <w:rFonts w:ascii="Arial" w:cs="Arial" w:eastAsia="Arial" w:hAnsi="Arial"/>
          <w:sz w:val="20"/>
          <w:szCs w:val="20"/>
          <w:u w:val="single" w:color="auto"/>
          <w:color w:val="auto"/>
        </w:rPr>
      </w:pPr>
    </w:p>
    <w:p>
      <w:pPr>
        <w:jc w:val="both"/>
        <w:ind w:left="780" w:firstLine="649"/>
        <w:spacing w:after="0" w:line="244" w:lineRule="auto"/>
        <w:tabs>
          <w:tab w:leader="none" w:pos="1943" w:val="left"/>
        </w:tabs>
        <w:numPr>
          <w:ilvl w:val="1"/>
          <w:numId w:val="356"/>
        </w:numPr>
        <w:rPr>
          <w:rFonts w:ascii="Arial" w:cs="Arial" w:eastAsia="Arial" w:hAnsi="Arial"/>
          <w:sz w:val="20"/>
          <w:szCs w:val="20"/>
          <w:color w:val="auto"/>
        </w:rPr>
      </w:pPr>
      <w:r>
        <w:rPr>
          <w:rFonts w:ascii="Arial" w:cs="Arial" w:eastAsia="Arial" w:hAnsi="Arial"/>
          <w:sz w:val="20"/>
          <w:szCs w:val="20"/>
          <w:color w:val="auto"/>
        </w:rPr>
        <w:t xml:space="preserve">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 Restricted Subsidiary that is not a Loan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Loan Parties shall be permitted to grant non-exclusive licenses to to any Unrestricted Subsidiary or any Restricted Subsidiary that is not a Loan Party in the ordinary course of business.</w:t>
      </w:r>
    </w:p>
    <w:p>
      <w:pPr>
        <w:spacing w:after="0" w:line="221"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7.07</w:t>
      </w:r>
      <w:r>
        <w:rPr>
          <w:sz w:val="20"/>
          <w:szCs w:val="20"/>
          <w:color w:val="auto"/>
        </w:rPr>
        <w:tab/>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324" w:lineRule="exact"/>
        <w:rPr>
          <w:sz w:val="20"/>
          <w:szCs w:val="20"/>
          <w:color w:val="auto"/>
        </w:rPr>
      </w:pPr>
    </w:p>
    <w:p>
      <w:pPr>
        <w:jc w:val="both"/>
        <w:ind w:left="780" w:firstLine="626"/>
        <w:spacing w:after="0" w:line="291" w:lineRule="auto"/>
        <w:tabs>
          <w:tab w:leader="none" w:pos="194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Holdings shall not, and shall not permit any of its Restricted Subsidiaries to enter into or conduct any transaction (including the purchase, sale, lease or exchange of any property or the rendering of any service) with any Affiliate of Holdings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involving aggregate value in excess of the greater of $16.0 million and 7.5% of LTM EBITDA unless:</w:t>
      </w:r>
    </w:p>
    <w:p>
      <w:pPr>
        <w:spacing w:after="0" w:line="192" w:lineRule="exact"/>
        <w:rPr>
          <w:rFonts w:ascii="Arial" w:cs="Arial" w:eastAsia="Arial" w:hAnsi="Arial"/>
          <w:sz w:val="18"/>
          <w:szCs w:val="18"/>
          <w:color w:val="auto"/>
        </w:rPr>
      </w:pPr>
    </w:p>
    <w:p>
      <w:pPr>
        <w:jc w:val="both"/>
        <w:ind w:left="780" w:firstLine="722"/>
        <w:spacing w:after="0" w:line="246" w:lineRule="auto"/>
        <w:tabs>
          <w:tab w:leader="none" w:pos="1943" w:val="left"/>
        </w:tabs>
        <w:numPr>
          <w:ilvl w:val="1"/>
          <w:numId w:val="357"/>
        </w:numPr>
        <w:rPr>
          <w:rFonts w:ascii="Arial" w:cs="Arial" w:eastAsia="Arial" w:hAnsi="Arial"/>
          <w:sz w:val="20"/>
          <w:szCs w:val="20"/>
          <w:color w:val="auto"/>
        </w:rPr>
      </w:pPr>
      <w:r>
        <w:rPr>
          <w:rFonts w:ascii="Arial" w:cs="Arial" w:eastAsia="Arial" w:hAnsi="Arial"/>
          <w:sz w:val="20"/>
          <w:szCs w:val="20"/>
          <w:color w:val="auto"/>
        </w:rPr>
        <w:t>the terms of such Affiliate Transaction taken as a whole are not materially less favorable to Holdings or such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pacing w:after="0" w:line="231" w:lineRule="exact"/>
        <w:rPr>
          <w:rFonts w:ascii="Arial" w:cs="Arial" w:eastAsia="Arial" w:hAnsi="Arial"/>
          <w:sz w:val="20"/>
          <w:szCs w:val="20"/>
          <w:color w:val="auto"/>
        </w:rPr>
      </w:pPr>
    </w:p>
    <w:p>
      <w:pPr>
        <w:jc w:val="both"/>
        <w:ind w:left="780" w:firstLine="667"/>
        <w:spacing w:after="0" w:line="250" w:lineRule="auto"/>
        <w:tabs>
          <w:tab w:leader="none" w:pos="1943" w:val="left"/>
        </w:tabs>
        <w:numPr>
          <w:ilvl w:val="1"/>
          <w:numId w:val="357"/>
        </w:numPr>
        <w:rPr>
          <w:rFonts w:ascii="Arial" w:cs="Arial" w:eastAsia="Arial" w:hAnsi="Arial"/>
          <w:sz w:val="20"/>
          <w:szCs w:val="20"/>
          <w:color w:val="auto"/>
        </w:rPr>
      </w:pPr>
      <w:r>
        <w:rPr>
          <w:rFonts w:ascii="Arial" w:cs="Arial" w:eastAsia="Arial" w:hAnsi="Arial"/>
          <w:sz w:val="20"/>
          <w:szCs w:val="20"/>
          <w:color w:val="auto"/>
        </w:rPr>
        <w:t>in the event such Affiliate Transaction involves an aggregate value in excess of the greater of $21.3 million and 10.0% of LTM EBITDA, the terms of such transaction have been approved by a majority of the members of the Board of Directors.</w:t>
      </w:r>
    </w:p>
    <w:p>
      <w:pPr>
        <w:spacing w:after="0" w:line="213" w:lineRule="exact"/>
        <w:rPr>
          <w:sz w:val="20"/>
          <w:szCs w:val="20"/>
          <w:color w:val="auto"/>
        </w:rPr>
      </w:pPr>
    </w:p>
    <w:p>
      <w:pPr>
        <w:ind w:left="780" w:right="20" w:firstLine="648"/>
        <w:spacing w:after="0" w:line="260" w:lineRule="auto"/>
        <w:rPr>
          <w:sz w:val="20"/>
          <w:szCs w:val="20"/>
          <w:color w:val="auto"/>
        </w:rPr>
      </w:pPr>
      <w:r>
        <w:rPr>
          <w:rFonts w:ascii="Arial" w:cs="Arial" w:eastAsia="Arial" w:hAnsi="Arial"/>
          <w:sz w:val="20"/>
          <w:szCs w:val="20"/>
          <w:color w:val="auto"/>
        </w:rPr>
        <w:t xml:space="preserve">Any Affiliate Transaction shall be deemed to have satisfied the requirements set forth in </w:t>
      </w:r>
      <w:r>
        <w:rPr>
          <w:rFonts w:ascii="Arial" w:cs="Arial" w:eastAsia="Arial" w:hAnsi="Arial"/>
          <w:sz w:val="20"/>
          <w:szCs w:val="20"/>
          <w:u w:val="single" w:color="auto"/>
          <w:color w:val="auto"/>
        </w:rPr>
        <w:t>Section 7.07(a)(ii)</w:t>
      </w:r>
      <w:r>
        <w:rPr>
          <w:rFonts w:ascii="Arial" w:cs="Arial" w:eastAsia="Arial" w:hAnsi="Arial"/>
          <w:sz w:val="20"/>
          <w:szCs w:val="20"/>
          <w:color w:val="auto"/>
        </w:rPr>
        <w:t xml:space="preserve"> if such Affiliate Transaction is approved by a majority of the Disinterested Directors, if any.</w:t>
      </w:r>
    </w:p>
    <w:p>
      <w:pPr>
        <w:spacing w:after="0" w:line="217" w:lineRule="exact"/>
        <w:rPr>
          <w:sz w:val="20"/>
          <w:szCs w:val="20"/>
          <w:color w:val="auto"/>
        </w:rPr>
      </w:pPr>
    </w:p>
    <w:p>
      <w:pPr>
        <w:ind w:left="2080" w:hanging="810"/>
        <w:spacing w:after="0"/>
        <w:tabs>
          <w:tab w:leader="none" w:pos="2080" w:val="left"/>
        </w:tabs>
        <w:numPr>
          <w:ilvl w:val="0"/>
          <w:numId w:val="358"/>
        </w:numPr>
        <w:rPr>
          <w:rFonts w:ascii="Arial" w:cs="Arial" w:eastAsia="Arial" w:hAnsi="Arial"/>
          <w:sz w:val="20"/>
          <w:szCs w:val="20"/>
          <w:color w:val="auto"/>
        </w:rPr>
      </w:pPr>
      <w:r>
        <w:rPr>
          <w:rFonts w:ascii="Arial" w:cs="Arial" w:eastAsia="Arial" w:hAnsi="Arial"/>
          <w:sz w:val="20"/>
          <w:szCs w:val="20"/>
          <w:u w:val="single" w:color="auto"/>
          <w:color w:val="auto"/>
        </w:rPr>
        <w:t>Section 7.07(a)</w:t>
      </w:r>
      <w:r>
        <w:rPr>
          <w:rFonts w:ascii="Arial" w:cs="Arial" w:eastAsia="Arial" w:hAnsi="Arial"/>
          <w:sz w:val="20"/>
          <w:szCs w:val="20"/>
          <w:color w:val="auto"/>
        </w:rPr>
        <w:t xml:space="preserve"> shall not apply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-332-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2" w:name="page463"/>
    <w:bookmarkEnd w:id="46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320" w:firstLine="722"/>
        <w:spacing w:after="0" w:line="260" w:lineRule="auto"/>
        <w:tabs>
          <w:tab w:leader="none" w:pos="1943" w:val="left"/>
        </w:tabs>
        <w:numPr>
          <w:ilvl w:val="0"/>
          <w:numId w:val="359"/>
        </w:numPr>
        <w:rPr>
          <w:rFonts w:ascii="Arial" w:cs="Arial" w:eastAsia="Arial" w:hAnsi="Arial"/>
          <w:sz w:val="20"/>
          <w:szCs w:val="20"/>
          <w:color w:val="auto"/>
        </w:rPr>
      </w:pPr>
      <w:r>
        <w:rPr>
          <w:rFonts w:ascii="Arial" w:cs="Arial" w:eastAsia="Arial" w:hAnsi="Arial"/>
          <w:sz w:val="20"/>
          <w:szCs w:val="20"/>
          <w:color w:val="auto"/>
        </w:rPr>
        <w:t xml:space="preserve">any Restricted Payment or other transaction permitted to be made or undertaken pursuant to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hereof (including Permitted Payments), or any Permitted Investment;</w:t>
      </w:r>
    </w:p>
    <w:p>
      <w:pPr>
        <w:spacing w:after="0" w:line="298" w:lineRule="exact"/>
        <w:rPr>
          <w:rFonts w:ascii="Arial" w:cs="Arial" w:eastAsia="Arial" w:hAnsi="Arial"/>
          <w:sz w:val="20"/>
          <w:szCs w:val="20"/>
          <w:color w:val="auto"/>
        </w:rPr>
      </w:pPr>
    </w:p>
    <w:p>
      <w:pPr>
        <w:jc w:val="both"/>
        <w:ind w:left="780" w:firstLine="666"/>
        <w:spacing w:after="0" w:line="260" w:lineRule="auto"/>
        <w:tabs>
          <w:tab w:leader="none" w:pos="1943" w:val="left"/>
        </w:tabs>
        <w:numPr>
          <w:ilvl w:val="0"/>
          <w:numId w:val="359"/>
        </w:numPr>
        <w:rPr>
          <w:rFonts w:ascii="Arial" w:cs="Arial" w:eastAsia="Arial" w:hAnsi="Arial"/>
          <w:sz w:val="19"/>
          <w:szCs w:val="19"/>
          <w:color w:val="auto"/>
        </w:rPr>
      </w:pPr>
      <w:r>
        <w:rPr>
          <w:rFonts w:ascii="Arial" w:cs="Arial" w:eastAsia="Arial" w:hAnsi="Arial"/>
          <w:sz w:val="19"/>
          <w:szCs w:val="19"/>
          <w:color w:val="auto"/>
        </w:rPr>
        <w:t>any issuance, transfer or sale of (a) Capital Stock,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w:t>
      </w:r>
    </w:p>
    <w:p>
      <w:pPr>
        <w:spacing w:after="0" w:line="207" w:lineRule="exact"/>
        <w:rPr>
          <w:rFonts w:ascii="Arial" w:cs="Arial" w:eastAsia="Arial" w:hAnsi="Arial"/>
          <w:sz w:val="19"/>
          <w:szCs w:val="19"/>
          <w:color w:val="auto"/>
        </w:rPr>
      </w:pPr>
    </w:p>
    <w:p>
      <w:pPr>
        <w:ind w:left="2060" w:hanging="670"/>
        <w:spacing w:after="0"/>
        <w:tabs>
          <w:tab w:leader="none" w:pos="206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any Management Advances and any waiver or transaction with respect thereto;</w:t>
      </w:r>
    </w:p>
    <w:p>
      <w:pPr>
        <w:spacing w:after="0" w:line="256" w:lineRule="exact"/>
        <w:rPr>
          <w:rFonts w:ascii="Arial" w:cs="Arial" w:eastAsia="Arial" w:hAnsi="Arial"/>
          <w:sz w:val="20"/>
          <w:szCs w:val="20"/>
          <w:color w:val="auto"/>
        </w:rPr>
      </w:pPr>
    </w:p>
    <w:p>
      <w:pPr>
        <w:jc w:val="both"/>
        <w:ind w:left="780" w:firstLine="622"/>
        <w:spacing w:after="0" w:line="244" w:lineRule="auto"/>
        <w:tabs>
          <w:tab w:leader="none" w:pos="1943" w:val="left"/>
        </w:tabs>
        <w:numPr>
          <w:ilvl w:val="0"/>
          <w:numId w:val="359"/>
        </w:numPr>
        <w:rPr>
          <w:rFonts w:ascii="Arial" w:cs="Arial" w:eastAsia="Arial" w:hAnsi="Arial"/>
          <w:sz w:val="20"/>
          <w:szCs w:val="20"/>
          <w:color w:val="auto"/>
        </w:rPr>
      </w:pPr>
      <w:r>
        <w:rPr>
          <w:rFonts w:ascii="Arial" w:cs="Arial" w:eastAsia="Arial" w:hAnsi="Arial"/>
          <w:sz w:val="20"/>
          <w:szCs w:val="20"/>
          <w:color w:val="auto"/>
        </w:rPr>
        <w:t xml:space="preserve">(a) any transaction between or among Holdings and any Restricted Subsidiary (or entity that becomes a Restricted Subsidiary as a result of such transaction), or between or among Restricted Subsidiaries and (b) any merger, amalgamation or consolidation with any Parent Entity,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Parent Entity shall have no material liabilities and no material assets other than cash, Cash Equivalents and the Capital Stock of the Borrower and such merger, amalgamation or consolidation is otherwise permitted under this Agreement;</w:t>
      </w:r>
    </w:p>
    <w:p>
      <w:pPr>
        <w:spacing w:after="0" w:line="234" w:lineRule="exact"/>
        <w:rPr>
          <w:rFonts w:ascii="Arial" w:cs="Arial" w:eastAsia="Arial" w:hAnsi="Arial"/>
          <w:sz w:val="20"/>
          <w:szCs w:val="20"/>
          <w:color w:val="auto"/>
        </w:rPr>
      </w:pPr>
    </w:p>
    <w:p>
      <w:pPr>
        <w:jc w:val="both"/>
        <w:ind w:left="780" w:firstLine="677"/>
        <w:spacing w:after="0" w:line="257" w:lineRule="auto"/>
        <w:tabs>
          <w:tab w:leader="none" w:pos="1943" w:val="left"/>
        </w:tabs>
        <w:numPr>
          <w:ilvl w:val="0"/>
          <w:numId w:val="359"/>
        </w:numPr>
        <w:rPr>
          <w:rFonts w:ascii="Arial" w:cs="Arial" w:eastAsia="Arial" w:hAnsi="Arial"/>
          <w:sz w:val="19"/>
          <w:szCs w:val="19"/>
          <w:color w:val="auto"/>
        </w:rPr>
      </w:pPr>
      <w:r>
        <w:rPr>
          <w:rFonts w:ascii="Arial" w:cs="Arial" w:eastAsia="Arial" w:hAnsi="Arial"/>
          <w:sz w:val="19"/>
          <w:szCs w:val="19"/>
          <w:color w:val="auto"/>
        </w:rPr>
        <w:t>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Holdings, any Parent Entity or any Restricted Subsidiary (whether directly or indirectly including through any Person owned or controlled by any of such employees, directors, officers, managers, contractors, consultants, distributors or advisors (or their respective Controlled Investment Affiliates or Immediate Family Members));</w:t>
      </w:r>
    </w:p>
    <w:p>
      <w:pPr>
        <w:spacing w:after="0" w:line="211" w:lineRule="exact"/>
        <w:rPr>
          <w:rFonts w:ascii="Arial" w:cs="Arial" w:eastAsia="Arial" w:hAnsi="Arial"/>
          <w:sz w:val="19"/>
          <w:szCs w:val="19"/>
          <w:color w:val="auto"/>
        </w:rPr>
      </w:pPr>
    </w:p>
    <w:p>
      <w:pPr>
        <w:jc w:val="both"/>
        <w:ind w:left="780" w:firstLine="622"/>
        <w:spacing w:after="0" w:line="273" w:lineRule="auto"/>
        <w:tabs>
          <w:tab w:leader="none" w:pos="194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entry into and performance of obligations of Holdings or any of its Restricted Subsidiaries under the terms of any transaction arising out of, and any payments pursuant to or for purposes of funding, any agreement or instrument in effect as of or on the Closing Date or entered into on or about the Closing Date in connection with the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Affiliate Transaction in a principal amount in excess of $3.0 million is set forth on Schedule 7.07 to the Closing Date Certificate), as these agreements and instruments may be amended, modified, supplemented, extended, renewed or refinanced from time to time in accordance with the other terms of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or to the extent not more disadvantageous to the Lenders in any material respect in the reasonable determination of Holdings when taken as a whole as compared to the applicable agreement as in effect on the Closing Date or when entered into in connection with the Transactions, as applicable;</w:t>
      </w:r>
    </w:p>
    <w:p>
      <w:pPr>
        <w:spacing w:after="0" w:line="208" w:lineRule="exact"/>
        <w:rPr>
          <w:rFonts w:ascii="Arial" w:cs="Arial" w:eastAsia="Arial" w:hAnsi="Arial"/>
          <w:sz w:val="18"/>
          <w:szCs w:val="18"/>
          <w:color w:val="auto"/>
        </w:rPr>
      </w:pPr>
    </w:p>
    <w:p>
      <w:pPr>
        <w:jc w:val="both"/>
        <w:ind w:left="780" w:firstLine="566"/>
        <w:spacing w:after="0" w:line="250" w:lineRule="auto"/>
        <w:tabs>
          <w:tab w:leader="none" w:pos="1942" w:val="left"/>
        </w:tabs>
        <w:numPr>
          <w:ilvl w:val="0"/>
          <w:numId w:val="359"/>
        </w:numPr>
        <w:rPr>
          <w:rFonts w:ascii="Arial" w:cs="Arial" w:eastAsia="Arial" w:hAnsi="Arial"/>
          <w:sz w:val="20"/>
          <w:szCs w:val="20"/>
          <w:color w:val="auto"/>
        </w:rPr>
      </w:pPr>
      <w:r>
        <w:rPr>
          <w:rFonts w:ascii="Arial" w:cs="Arial" w:eastAsia="Arial" w:hAnsi="Arial"/>
          <w:sz w:val="20"/>
          <w:szCs w:val="20"/>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226" w:lineRule="exact"/>
        <w:rPr>
          <w:rFonts w:ascii="Arial" w:cs="Arial" w:eastAsia="Arial" w:hAnsi="Arial"/>
          <w:sz w:val="20"/>
          <w:szCs w:val="20"/>
          <w:color w:val="auto"/>
        </w:rPr>
      </w:pPr>
    </w:p>
    <w:p>
      <w:pPr>
        <w:ind w:left="780" w:firstLine="511"/>
        <w:spacing w:after="0" w:line="260" w:lineRule="auto"/>
        <w:tabs>
          <w:tab w:leader="none" w:pos="1942"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transactions with customers, vendors, clients, joint venture partners, suppliers, contractors, distributors or purchasers or sellers of goods or services, in each case in the ordinary</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-333-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3" w:name="page464"/>
    <w:bookmarkEnd w:id="46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course of business or consistent with past practice, which are fair to Holdings or the relevant Restricted Subsidiary, in the reasonable determination of Holdings, or are on terms, taken as a</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-334-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64" w:name="page465"/>
    <w:bookmarkEnd w:id="46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whole, that are not materially less favorable as might reasonably have been obtained at such time from an unaffiliated party;</w:t>
      </w:r>
    </w:p>
    <w:p>
      <w:pPr>
        <w:spacing w:after="0" w:line="279" w:lineRule="exact"/>
        <w:rPr>
          <w:sz w:val="20"/>
          <w:szCs w:val="20"/>
          <w:color w:val="auto"/>
        </w:rPr>
      </w:pPr>
    </w:p>
    <w:p>
      <w:pPr>
        <w:jc w:val="both"/>
        <w:ind w:left="780" w:firstLine="622"/>
        <w:spacing w:after="0" w:line="246" w:lineRule="auto"/>
        <w:tabs>
          <w:tab w:leader="none" w:pos="1951" w:val="left"/>
        </w:tabs>
        <w:numPr>
          <w:ilvl w:val="0"/>
          <w:numId w:val="360"/>
        </w:numPr>
        <w:rPr>
          <w:rFonts w:ascii="Arial" w:cs="Arial" w:eastAsia="Arial" w:hAnsi="Arial"/>
          <w:sz w:val="20"/>
          <w:szCs w:val="20"/>
          <w:color w:val="auto"/>
        </w:rPr>
      </w:pPr>
      <w:r>
        <w:rPr>
          <w:rFonts w:ascii="Arial" w:cs="Arial" w:eastAsia="Arial" w:hAnsi="Arial"/>
          <w:sz w:val="20"/>
          <w:szCs w:val="20"/>
          <w:color w:val="auto"/>
        </w:rPr>
        <w:t>any transaction between or among Holdings or any Restricted Subsidiary and any Person (including a joint venture or an Unrestricted Subsidiary) that is an Affiliate of Holdings or similar entity solely because Holdings or a Restricted Subsidiary or any Affiliate of Holdings or a Restricted Subsidiary or any Affiliate of any Permitted Holder owns an equity interest in or otherwise controls such Affiliate or similar entity;</w:t>
      </w:r>
    </w:p>
    <w:p>
      <w:pPr>
        <w:spacing w:after="0" w:line="218" w:lineRule="exact"/>
        <w:rPr>
          <w:rFonts w:ascii="Arial" w:cs="Arial" w:eastAsia="Arial" w:hAnsi="Arial"/>
          <w:sz w:val="20"/>
          <w:szCs w:val="20"/>
          <w:color w:val="auto"/>
        </w:rPr>
      </w:pPr>
    </w:p>
    <w:p>
      <w:pPr>
        <w:jc w:val="both"/>
        <w:ind w:left="780" w:firstLine="677"/>
        <w:spacing w:after="0" w:line="246" w:lineRule="auto"/>
        <w:tabs>
          <w:tab w:leader="none" w:pos="1939" w:val="left"/>
        </w:tabs>
        <w:numPr>
          <w:ilvl w:val="1"/>
          <w:numId w:val="360"/>
        </w:numPr>
        <w:rPr>
          <w:rFonts w:ascii="Arial" w:cs="Arial" w:eastAsia="Arial" w:hAnsi="Arial"/>
          <w:sz w:val="20"/>
          <w:szCs w:val="20"/>
          <w:color w:val="auto"/>
        </w:rPr>
      </w:pPr>
      <w:r>
        <w:rPr>
          <w:rFonts w:ascii="Arial" w:cs="Arial" w:eastAsia="Arial" w:hAnsi="Arial"/>
          <w:sz w:val="20"/>
          <w:szCs w:val="20"/>
          <w:color w:val="auto"/>
        </w:rPr>
        <w:t>issuances, sales or transfers of Capital Stock (other than Disqualified Stock or Designated Preferred Stock) of Holdings, any Parent Entity or any of the Restricted Subsidiaries or options, warrants or other rights to acquire such Capital Stock and the granting of registration and other customary rights (and the performance of the related obligations) in connection therewith or any contribution to capital of Holdings or any Restricted Subsidiary;</w:t>
      </w:r>
    </w:p>
    <w:p>
      <w:pPr>
        <w:spacing w:after="0" w:line="231" w:lineRule="exact"/>
        <w:rPr>
          <w:rFonts w:ascii="Arial" w:cs="Arial" w:eastAsia="Arial" w:hAnsi="Arial"/>
          <w:sz w:val="20"/>
          <w:szCs w:val="20"/>
          <w:color w:val="auto"/>
        </w:rPr>
      </w:pPr>
    </w:p>
    <w:p>
      <w:pPr>
        <w:jc w:val="both"/>
        <w:ind w:left="780" w:firstLine="621"/>
        <w:spacing w:after="0" w:line="263" w:lineRule="auto"/>
        <w:tabs>
          <w:tab w:leader="none" w:pos="1938" w:val="left"/>
        </w:tabs>
        <w:numPr>
          <w:ilvl w:val="1"/>
          <w:numId w:val="360"/>
        </w:numPr>
        <w:rPr>
          <w:rFonts w:ascii="Arial" w:cs="Arial" w:eastAsia="Arial" w:hAnsi="Arial"/>
          <w:sz w:val="19"/>
          <w:szCs w:val="19"/>
          <w:color w:val="auto"/>
        </w:rPr>
      </w:pPr>
      <w:r>
        <w:rPr>
          <w:rFonts w:ascii="Arial" w:cs="Arial" w:eastAsia="Arial" w:hAnsi="Arial"/>
          <w:sz w:val="19"/>
          <w:szCs w:val="19"/>
          <w:color w:val="auto"/>
        </w:rPr>
        <w:t>the payment of financial advisory, monitoring, management, consulting, oversight and similar fees (including refinancing, subsequent transaction and termination fees) under any management agreement in effect on the Closing Date and expenses and indemnities of the Sponsor and to directors (with no restrictions on the payment of such advisory, monitoring, management, consulting, oversight and similar fees or the payment of such expenses and indemnities);</w:t>
      </w:r>
    </w:p>
    <w:p>
      <w:pPr>
        <w:spacing w:after="0" w:line="217" w:lineRule="exact"/>
        <w:rPr>
          <w:sz w:val="20"/>
          <w:szCs w:val="20"/>
          <w:color w:val="auto"/>
        </w:rPr>
      </w:pPr>
    </w:p>
    <w:p>
      <w:pPr>
        <w:ind w:left="780" w:firstLine="566"/>
        <w:spacing w:after="0" w:line="260" w:lineRule="auto"/>
        <w:tabs>
          <w:tab w:leader="none" w:pos="1927" w:val="left"/>
        </w:tabs>
        <w:numPr>
          <w:ilvl w:val="2"/>
          <w:numId w:val="361"/>
        </w:numPr>
        <w:rPr>
          <w:rFonts w:ascii="Arial" w:cs="Arial" w:eastAsia="Arial" w:hAnsi="Arial"/>
          <w:sz w:val="20"/>
          <w:szCs w:val="20"/>
          <w:color w:val="auto"/>
        </w:rPr>
      </w:pPr>
      <w:r>
        <w:rPr>
          <w:rFonts w:ascii="Arial" w:cs="Arial" w:eastAsia="Arial" w:hAnsi="Arial"/>
          <w:sz w:val="20"/>
          <w:szCs w:val="20"/>
          <w:color w:val="auto"/>
        </w:rPr>
        <w:t>payment to any Permitted Holder of all out of pocket expenses Incurred by such Permitted Holder in connection with its direct or indirect investment in Holdings and its Subsidiaries;</w:t>
      </w:r>
    </w:p>
    <w:p>
      <w:pPr>
        <w:spacing w:after="0" w:line="203" w:lineRule="exact"/>
        <w:rPr>
          <w:rFonts w:ascii="Arial" w:cs="Arial" w:eastAsia="Arial" w:hAnsi="Arial"/>
          <w:sz w:val="20"/>
          <w:szCs w:val="20"/>
          <w:color w:val="auto"/>
        </w:rPr>
      </w:pPr>
    </w:p>
    <w:p>
      <w:pPr>
        <w:ind w:left="780" w:firstLine="510"/>
        <w:spacing w:after="0" w:line="260" w:lineRule="auto"/>
        <w:tabs>
          <w:tab w:leader="none" w:pos="193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the Transactions and the payment of all fees, costs and expenses (including all legal, accounting and other professional fees, costs and expenses) related to the Transactions, including Transaction Expenses;</w:t>
      </w:r>
    </w:p>
    <w:p>
      <w:pPr>
        <w:spacing w:after="0" w:line="217" w:lineRule="exact"/>
        <w:rPr>
          <w:rFonts w:ascii="Arial" w:cs="Arial" w:eastAsia="Arial" w:hAnsi="Arial"/>
          <w:sz w:val="20"/>
          <w:szCs w:val="20"/>
          <w:color w:val="auto"/>
        </w:rPr>
      </w:pPr>
    </w:p>
    <w:p>
      <w:pPr>
        <w:jc w:val="both"/>
        <w:ind w:left="780" w:firstLine="524"/>
        <w:spacing w:after="0" w:line="250" w:lineRule="auto"/>
        <w:tabs>
          <w:tab w:leader="none" w:pos="1938" w:val="left"/>
        </w:tabs>
        <w:numPr>
          <w:ilvl w:val="1"/>
          <w:numId w:val="362"/>
        </w:numPr>
        <w:rPr>
          <w:rFonts w:ascii="Arial" w:cs="Arial" w:eastAsia="Arial" w:hAnsi="Arial"/>
          <w:sz w:val="20"/>
          <w:szCs w:val="20"/>
          <w:color w:val="auto"/>
        </w:rPr>
      </w:pPr>
      <w:r>
        <w:rPr>
          <w:rFonts w:ascii="Arial" w:cs="Arial" w:eastAsia="Arial" w:hAnsi="Arial"/>
          <w:sz w:val="20"/>
          <w:szCs w:val="20"/>
          <w:color w:val="auto"/>
        </w:rPr>
        <w:t xml:space="preserve">transactions in which Holdings or any Restricted Subsidiary, as the case may be, delivers to the Administrative Agent a letter from an Independent Financial Advisor stating that such transaction is fair to Holdings or such Restricted Subsidiary from a financial point of view or meets the requirements of </w:t>
      </w:r>
      <w:r>
        <w:rPr>
          <w:rFonts w:ascii="Arial" w:cs="Arial" w:eastAsia="Arial" w:hAnsi="Arial"/>
          <w:sz w:val="20"/>
          <w:szCs w:val="20"/>
          <w:u w:val="single" w:color="auto"/>
          <w:color w:val="auto"/>
        </w:rPr>
        <w:t>Section 7.07(a)(i)</w:t>
      </w:r>
      <w:r>
        <w:rPr>
          <w:rFonts w:ascii="Arial" w:cs="Arial" w:eastAsia="Arial" w:hAnsi="Arial"/>
          <w:sz w:val="20"/>
          <w:szCs w:val="20"/>
          <w:color w:val="auto"/>
        </w:rPr>
        <w:t xml:space="preserve"> hereof;</w:t>
      </w:r>
    </w:p>
    <w:p>
      <w:pPr>
        <w:spacing w:after="0" w:line="293" w:lineRule="exact"/>
        <w:rPr>
          <w:rFonts w:ascii="Arial" w:cs="Arial" w:eastAsia="Arial" w:hAnsi="Arial"/>
          <w:sz w:val="20"/>
          <w:szCs w:val="20"/>
          <w:color w:val="auto"/>
        </w:rPr>
      </w:pPr>
    </w:p>
    <w:p>
      <w:pPr>
        <w:jc w:val="both"/>
        <w:ind w:left="780" w:firstLine="579"/>
        <w:spacing w:after="0" w:line="273" w:lineRule="auto"/>
        <w:tabs>
          <w:tab w:leader="none" w:pos="1939" w:val="left"/>
        </w:tabs>
        <w:numPr>
          <w:ilvl w:val="3"/>
          <w:numId w:val="362"/>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Holdings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Parent Entity) may enter into thereafter;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existence of, or the performance by Holdings or any Restricted Subsidiary (or any Parent Entity)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w:t>
      </w:r>
    </w:p>
    <w:p>
      <w:pPr>
        <w:spacing w:after="0" w:line="208" w:lineRule="exact"/>
        <w:rPr>
          <w:rFonts w:ascii="Arial" w:cs="Arial" w:eastAsia="Arial" w:hAnsi="Arial"/>
          <w:sz w:val="18"/>
          <w:szCs w:val="18"/>
          <w:color w:val="auto"/>
        </w:rPr>
      </w:pPr>
    </w:p>
    <w:p>
      <w:pPr>
        <w:ind w:left="780" w:firstLine="524"/>
        <w:spacing w:after="0" w:line="316" w:lineRule="auto"/>
        <w:tabs>
          <w:tab w:leader="none" w:pos="1939" w:val="left"/>
        </w:tabs>
        <w:numPr>
          <w:ilvl w:val="3"/>
          <w:numId w:val="362"/>
        </w:numPr>
        <w:rPr>
          <w:rFonts w:ascii="Arial" w:cs="Arial" w:eastAsia="Arial" w:hAnsi="Arial"/>
          <w:sz w:val="18"/>
          <w:szCs w:val="18"/>
          <w:color w:val="auto"/>
        </w:rPr>
      </w:pPr>
      <w:r>
        <w:rPr>
          <w:rFonts w:ascii="Arial" w:cs="Arial" w:eastAsia="Arial" w:hAnsi="Arial"/>
          <w:sz w:val="18"/>
          <w:szCs w:val="18"/>
          <w:color w:val="auto"/>
        </w:rPr>
        <w:t>any purchases by Holdings’ Affiliates of Indebtedness or Disqualified Stock of Holdings or any of the Restricted Subsidiaries the majority of which Indebtedness or Disqualified Stock is purchased by Persons who are not Holdings’ Affiliates;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-335-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5" w:name="page466"/>
    <w:bookmarkEnd w:id="46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80" w:firstLine="469"/>
        <w:spacing w:after="0" w:line="260" w:lineRule="auto"/>
        <w:tabs>
          <w:tab w:leader="none" w:pos="195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(i) investments by Affiliates in securities or loans of Holdings or any of its Restricted Subsidiaries (and payment of reasonable out-of-pocket expenses incurred by such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-336-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060"/>
          </w:cols>
          <w:pgMar w:left="320" w:top="121" w:right="519" w:bottom="1440" w:gutter="0" w:footer="0" w:header="0"/>
        </w:sectPr>
      </w:pPr>
    </w:p>
    <w:bookmarkStart w:id="466" w:name="page467"/>
    <w:bookmarkEnd w:id="46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44" w:lineRule="auto"/>
        <w:rPr>
          <w:sz w:val="20"/>
          <w:szCs w:val="20"/>
          <w:color w:val="auto"/>
        </w:rPr>
      </w:pPr>
      <w:r>
        <w:rPr>
          <w:rFonts w:ascii="Arial" w:cs="Arial" w:eastAsia="Arial" w:hAnsi="Arial"/>
          <w:sz w:val="20"/>
          <w:szCs w:val="20"/>
          <w:color w:val="auto"/>
        </w:rPr>
        <w:t>Affiliates in connection therewith) so long as the investment is being offered by Holdings or such Restricted Subsidiary generally to other non-affiliated third party investors on the same or more favorable terms and (ii) payments to Affiliates in respect of securities or loans of Holdings or any of its Restricted Subsidiaries contemplated in the foregoing subclause (i) or that were acquired from Persons other than Holdings and its Restricted Subsidiaries, in each case, in accordance with the terms of such securities or loans;</w:t>
      </w:r>
    </w:p>
    <w:p>
      <w:pPr>
        <w:spacing w:after="0" w:line="235" w:lineRule="exact"/>
        <w:rPr>
          <w:sz w:val="20"/>
          <w:szCs w:val="20"/>
          <w:color w:val="auto"/>
        </w:rPr>
      </w:pPr>
    </w:p>
    <w:p>
      <w:pPr>
        <w:jc w:val="both"/>
        <w:ind w:left="780" w:firstLine="412"/>
        <w:spacing w:after="0" w:line="260" w:lineRule="auto"/>
        <w:rPr>
          <w:sz w:val="20"/>
          <w:szCs w:val="20"/>
          <w:color w:val="auto"/>
        </w:rPr>
      </w:pPr>
      <w:r>
        <w:rPr>
          <w:rFonts w:ascii="Arial" w:cs="Arial" w:eastAsia="Arial" w:hAnsi="Arial"/>
          <w:sz w:val="20"/>
          <w:szCs w:val="20"/>
          <w:color w:val="auto"/>
        </w:rPr>
        <w:t xml:space="preserve">i.payments by any Parent Entity, Holdings and its Restricted Subsidiaries pursuant to any tax sharing agreement to the extent permitted by </w:t>
      </w:r>
      <w:r>
        <w:rPr>
          <w:rFonts w:ascii="Arial" w:cs="Arial" w:eastAsia="Arial" w:hAnsi="Arial"/>
          <w:sz w:val="20"/>
          <w:szCs w:val="20"/>
          <w:u w:val="single" w:color="auto"/>
          <w:color w:val="auto"/>
        </w:rPr>
        <w:t>Section 7.06(b)(ix)(B)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7.06(b)(ix)(C)</w:t>
      </w:r>
      <w:r>
        <w:rPr>
          <w:rFonts w:ascii="Arial" w:cs="Arial" w:eastAsia="Arial" w:hAnsi="Arial"/>
          <w:sz w:val="20"/>
          <w:szCs w:val="20"/>
          <w:color w:val="auto"/>
        </w:rPr>
        <w:t>;</w:t>
      </w:r>
    </w:p>
    <w:p>
      <w:pPr>
        <w:spacing w:after="0" w:line="285" w:lineRule="exact"/>
        <w:rPr>
          <w:sz w:val="20"/>
          <w:szCs w:val="20"/>
          <w:color w:val="auto"/>
        </w:rPr>
      </w:pPr>
    </w:p>
    <w:p>
      <w:pPr>
        <w:jc w:val="both"/>
        <w:ind w:left="780" w:firstLine="523"/>
        <w:spacing w:after="0" w:line="256" w:lineRule="auto"/>
        <w:tabs>
          <w:tab w:leader="none" w:pos="1947" w:val="left"/>
        </w:tabs>
        <w:numPr>
          <w:ilvl w:val="1"/>
          <w:numId w:val="364"/>
        </w:numPr>
        <w:rPr>
          <w:rFonts w:ascii="Arial" w:cs="Arial" w:eastAsia="Arial" w:hAnsi="Arial"/>
          <w:sz w:val="19"/>
          <w:szCs w:val="19"/>
          <w:color w:val="auto"/>
        </w:rPr>
      </w:pPr>
      <w:r>
        <w:rPr>
          <w:rFonts w:ascii="Arial" w:cs="Arial" w:eastAsia="Arial" w:hAnsi="Arial"/>
          <w:sz w:val="19"/>
          <w:szCs w:val="19"/>
          <w:color w:val="auto"/>
        </w:rPr>
        <w:t>payments, Indebtedness and Disqualified Stock (and cancellation of any thereof) of Holdings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Holdings,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Holdings in good faith;</w:t>
      </w:r>
    </w:p>
    <w:p>
      <w:pPr>
        <w:spacing w:after="0" w:line="224" w:lineRule="exact"/>
        <w:rPr>
          <w:rFonts w:ascii="Arial" w:cs="Arial" w:eastAsia="Arial" w:hAnsi="Arial"/>
          <w:sz w:val="19"/>
          <w:szCs w:val="19"/>
          <w:color w:val="auto"/>
        </w:rPr>
      </w:pPr>
    </w:p>
    <w:p>
      <w:pPr>
        <w:jc w:val="both"/>
        <w:ind w:left="780" w:firstLine="579"/>
        <w:spacing w:after="0" w:line="243" w:lineRule="auto"/>
        <w:tabs>
          <w:tab w:leader="none" w:pos="1950" w:val="left"/>
        </w:tabs>
        <w:numPr>
          <w:ilvl w:val="3"/>
          <w:numId w:val="364"/>
        </w:numPr>
        <w:rPr>
          <w:rFonts w:ascii="Arial" w:cs="Arial" w:eastAsia="Arial" w:hAnsi="Arial"/>
          <w:sz w:val="20"/>
          <w:szCs w:val="20"/>
          <w:color w:val="auto"/>
        </w:rPr>
      </w:pPr>
      <w:r>
        <w:rPr>
          <w:rFonts w:ascii="Arial" w:cs="Arial" w:eastAsia="Arial" w:hAnsi="Arial"/>
          <w:sz w:val="20"/>
          <w:szCs w:val="20"/>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Holdings or its Restricted Subsidiaries and any distributor, employee, director, officer, manager, contractor, consultant or advisor (or their respective Controlled Investment Affiliates or Immediate Family Members) approved by the reasonable determination of Holdings or entered into in connection with the Transactions;</w:t>
      </w:r>
    </w:p>
    <w:p>
      <w:pPr>
        <w:spacing w:after="0" w:line="236" w:lineRule="exact"/>
        <w:rPr>
          <w:rFonts w:ascii="Arial" w:cs="Arial" w:eastAsia="Arial" w:hAnsi="Arial"/>
          <w:sz w:val="20"/>
          <w:szCs w:val="20"/>
          <w:color w:val="auto"/>
        </w:rPr>
      </w:pPr>
    </w:p>
    <w:p>
      <w:pPr>
        <w:jc w:val="both"/>
        <w:ind w:left="780" w:firstLine="524"/>
        <w:spacing w:after="0" w:line="263" w:lineRule="auto"/>
        <w:tabs>
          <w:tab w:leader="none" w:pos="1925" w:val="left"/>
        </w:tabs>
        <w:numPr>
          <w:ilvl w:val="2"/>
          <w:numId w:val="364"/>
        </w:numPr>
        <w:rPr>
          <w:rFonts w:ascii="Arial" w:cs="Arial" w:eastAsia="Arial" w:hAnsi="Arial"/>
          <w:sz w:val="19"/>
          <w:szCs w:val="19"/>
          <w:color w:val="auto"/>
        </w:rPr>
      </w:pPr>
      <w:r>
        <w:rPr>
          <w:rFonts w:ascii="Arial" w:cs="Arial" w:eastAsia="Arial" w:hAnsi="Arial"/>
          <w:sz w:val="19"/>
          <w:szCs w:val="19"/>
          <w:color w:val="auto"/>
        </w:rPr>
        <w:t xml:space="preserve">any transition services arrangement, supply arrangement or similar arrangement entered into in connection with or in contemplation of the disposition of assets or Capital Stock in any Restricted Subsidiary permitted under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hereof or entered into with any Business Successor, in each case, that Holdings determines in good faith is either fair to Holdings or otherwise on customary terms for such type of arrangements in connection with similar transactions;</w:t>
      </w:r>
    </w:p>
    <w:p>
      <w:pPr>
        <w:spacing w:after="0" w:line="203" w:lineRule="exact"/>
        <w:rPr>
          <w:rFonts w:ascii="Arial" w:cs="Arial" w:eastAsia="Arial" w:hAnsi="Arial"/>
          <w:sz w:val="19"/>
          <w:szCs w:val="19"/>
          <w:color w:val="auto"/>
        </w:rPr>
      </w:pPr>
    </w:p>
    <w:p>
      <w:pPr>
        <w:jc w:val="both"/>
        <w:ind w:left="780" w:firstLine="469"/>
        <w:spacing w:after="0" w:line="250" w:lineRule="auto"/>
        <w:tabs>
          <w:tab w:leader="none" w:pos="1936" w:val="left"/>
        </w:tabs>
        <w:numPr>
          <w:ilvl w:val="0"/>
          <w:numId w:val="365"/>
        </w:numPr>
        <w:rPr>
          <w:rFonts w:ascii="Arial" w:cs="Arial" w:eastAsia="Arial" w:hAnsi="Arial"/>
          <w:sz w:val="20"/>
          <w:szCs w:val="20"/>
          <w:color w:val="auto"/>
        </w:rPr>
      </w:pPr>
      <w:r>
        <w:rPr>
          <w:rFonts w:ascii="Arial" w:cs="Arial" w:eastAsia="Arial" w:hAnsi="Arial"/>
          <w:sz w:val="20"/>
          <w:szCs w:val="20"/>
          <w:color w:val="auto"/>
        </w:rPr>
        <w:t xml:space="preserve">transactions entered into by an Unrestricted Subsidiary with an Affiliate prior to the day such Unrestricted Subsidiary is redesignated as a Restricted Subsidiary under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and pledges of Capital Stock of Unrestricted Subsidiaries;</w:t>
      </w:r>
    </w:p>
    <w:p>
      <w:pPr>
        <w:spacing w:after="0" w:line="226" w:lineRule="exact"/>
        <w:rPr>
          <w:sz w:val="20"/>
          <w:szCs w:val="20"/>
          <w:color w:val="auto"/>
        </w:rPr>
      </w:pPr>
    </w:p>
    <w:p>
      <w:pPr>
        <w:jc w:val="both"/>
        <w:ind w:left="780" w:firstLine="414"/>
        <w:spacing w:after="0" w:line="246" w:lineRule="auto"/>
        <w:tabs>
          <w:tab w:leader="none" w:pos="1949"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 any lease entered into between Holdings or any Restricted Subsidiary, as lessee, and any Affiliate of Holdings, as lessor and (ii) any operational services arrangement entered into between Holdings or any Restricted Subsidiary and any Affiliate of Holdings, in each case, which is approved as being on arm’s length terms by the reasonable determination of Holdings;</w:t>
      </w:r>
    </w:p>
    <w:p>
      <w:pPr>
        <w:spacing w:after="0" w:line="231" w:lineRule="exact"/>
        <w:rPr>
          <w:rFonts w:ascii="Arial" w:cs="Arial" w:eastAsia="Arial" w:hAnsi="Arial"/>
          <w:sz w:val="20"/>
          <w:szCs w:val="20"/>
          <w:color w:val="auto"/>
        </w:rPr>
      </w:pPr>
    </w:p>
    <w:p>
      <w:pPr>
        <w:ind w:left="780" w:firstLine="425"/>
        <w:spacing w:after="0" w:line="260" w:lineRule="auto"/>
        <w:tabs>
          <w:tab w:leader="none" w:pos="1947" w:val="left"/>
        </w:tabs>
        <w:numPr>
          <w:ilvl w:val="1"/>
          <w:numId w:val="366"/>
        </w:numPr>
        <w:rPr>
          <w:rFonts w:ascii="Arial" w:cs="Arial" w:eastAsia="Arial" w:hAnsi="Arial"/>
          <w:sz w:val="20"/>
          <w:szCs w:val="20"/>
          <w:color w:val="auto"/>
        </w:rPr>
      </w:pPr>
      <w:r>
        <w:rPr>
          <w:rFonts w:ascii="Arial" w:cs="Arial" w:eastAsia="Arial" w:hAnsi="Arial"/>
          <w:sz w:val="20"/>
          <w:szCs w:val="20"/>
          <w:color w:val="auto"/>
        </w:rPr>
        <w:t>any IP Rights licenses or sublicenses or research or development agreements in the ordinary course of business or consistent with past practice;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-337-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7" w:name="page468"/>
    <w:bookmarkEnd w:id="46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20" w:firstLine="479"/>
        <w:spacing w:after="0" w:line="287" w:lineRule="auto"/>
        <w:tabs>
          <w:tab w:leader="none" w:pos="1943" w:val="left"/>
        </w:tabs>
        <w:numPr>
          <w:ilvl w:val="0"/>
          <w:numId w:val="367"/>
        </w:numPr>
        <w:rPr>
          <w:rFonts w:ascii="Arial" w:cs="Arial" w:eastAsia="Arial" w:hAnsi="Arial"/>
          <w:sz w:val="19"/>
          <w:szCs w:val="19"/>
          <w:color w:val="auto"/>
        </w:rPr>
      </w:pPr>
      <w:r>
        <w:rPr>
          <w:rFonts w:ascii="Arial" w:cs="Arial" w:eastAsia="Arial" w:hAnsi="Arial"/>
          <w:sz w:val="19"/>
          <w:szCs w:val="19"/>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192" w:lineRule="exact"/>
        <w:rPr>
          <w:rFonts w:ascii="Arial" w:cs="Arial" w:eastAsia="Arial" w:hAnsi="Arial"/>
          <w:sz w:val="19"/>
          <w:szCs w:val="19"/>
          <w:color w:val="auto"/>
        </w:rPr>
      </w:pPr>
    </w:p>
    <w:p>
      <w:pPr>
        <w:ind w:left="780" w:firstLine="424"/>
        <w:spacing w:after="0" w:line="260" w:lineRule="auto"/>
        <w:tabs>
          <w:tab w:leader="none" w:pos="1943" w:val="left"/>
        </w:tabs>
        <w:numPr>
          <w:ilvl w:val="0"/>
          <w:numId w:val="367"/>
        </w:numPr>
        <w:rPr>
          <w:rFonts w:ascii="Arial" w:cs="Arial" w:eastAsia="Arial" w:hAnsi="Arial"/>
          <w:sz w:val="20"/>
          <w:szCs w:val="20"/>
          <w:color w:val="auto"/>
        </w:rPr>
      </w:pPr>
      <w:r>
        <w:rPr>
          <w:rFonts w:ascii="Arial" w:cs="Arial" w:eastAsia="Arial" w:hAnsi="Arial"/>
          <w:sz w:val="20"/>
          <w:szCs w:val="20"/>
          <w:color w:val="auto"/>
        </w:rPr>
        <w:t>the payment of fees, costs and expenses related to registration rights and indemnities provided to equityholders pursuant to equityholders, investor rights, registration rights or similar agreements;</w:t>
      </w:r>
    </w:p>
    <w:p>
      <w:pPr>
        <w:spacing w:after="0" w:line="203" w:lineRule="exact"/>
        <w:rPr>
          <w:rFonts w:ascii="Arial" w:cs="Arial" w:eastAsia="Arial" w:hAnsi="Arial"/>
          <w:sz w:val="20"/>
          <w:szCs w:val="20"/>
          <w:color w:val="auto"/>
        </w:rPr>
      </w:pPr>
    </w:p>
    <w:p>
      <w:pPr>
        <w:ind w:left="1940" w:hanging="790"/>
        <w:spacing w:after="0"/>
        <w:tabs>
          <w:tab w:leader="none" w:pos="19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transactions undertaken in the ordinary course of business pursuant to membership in a purchasing consortium;</w:t>
      </w:r>
    </w:p>
    <w:p>
      <w:pPr>
        <w:spacing w:after="0" w:line="279" w:lineRule="exact"/>
        <w:rPr>
          <w:sz w:val="20"/>
          <w:szCs w:val="20"/>
          <w:color w:val="auto"/>
        </w:rPr>
      </w:pPr>
    </w:p>
    <w:p>
      <w:pPr>
        <w:ind w:left="780" w:right="460" w:firstLine="313"/>
        <w:spacing w:after="0" w:line="260" w:lineRule="auto"/>
        <w:rPr>
          <w:sz w:val="20"/>
          <w:szCs w:val="20"/>
          <w:color w:val="auto"/>
        </w:rPr>
      </w:pPr>
      <w:r>
        <w:rPr>
          <w:rFonts w:ascii="Arial" w:cs="Arial" w:eastAsia="Arial" w:hAnsi="Arial"/>
          <w:sz w:val="20"/>
          <w:szCs w:val="20"/>
          <w:color w:val="auto"/>
        </w:rPr>
        <w:t>iv.any Permitted Intercompany Activities, Permitted Tax Restructuring, Permitted IPO Reorganization and Intercompany License Agreements; and</w:t>
      </w:r>
    </w:p>
    <w:p>
      <w:pPr>
        <w:spacing w:after="0" w:line="217" w:lineRule="exact"/>
        <w:rPr>
          <w:sz w:val="20"/>
          <w:szCs w:val="20"/>
          <w:color w:val="auto"/>
        </w:rPr>
      </w:pPr>
    </w:p>
    <w:p>
      <w:pPr>
        <w:ind w:left="1940" w:hanging="736"/>
        <w:spacing w:after="0"/>
        <w:tabs>
          <w:tab w:leader="none" w:pos="19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transfer pricing or shared services agreements and intercompany loans in connection therewith.</w:t>
      </w:r>
    </w:p>
    <w:p>
      <w:pPr>
        <w:spacing w:after="0" w:line="242" w:lineRule="exact"/>
        <w:rPr>
          <w:rFonts w:ascii="Arial" w:cs="Arial" w:eastAsia="Arial" w:hAnsi="Arial"/>
          <w:sz w:val="20"/>
          <w:szCs w:val="20"/>
          <w:color w:val="auto"/>
        </w:rPr>
      </w:pPr>
    </w:p>
    <w:p>
      <w:pPr>
        <w:jc w:val="both"/>
        <w:ind w:left="220" w:firstLine="1186"/>
        <w:spacing w:after="0" w:line="243" w:lineRule="auto"/>
        <w:tabs>
          <w:tab w:leader="none" w:pos="1948" w:val="left"/>
        </w:tabs>
        <w:numPr>
          <w:ilvl w:val="1"/>
          <w:numId w:val="368"/>
        </w:numPr>
        <w:rPr>
          <w:rFonts w:ascii="Arial" w:cs="Arial" w:eastAsia="Arial" w:hAnsi="Arial"/>
          <w:sz w:val="20"/>
          <w:szCs w:val="20"/>
          <w:color w:val="auto"/>
        </w:rPr>
      </w:pPr>
      <w:r>
        <w:rPr>
          <w:rFonts w:ascii="Arial" w:cs="Arial" w:eastAsia="Arial" w:hAnsi="Arial"/>
          <w:sz w:val="20"/>
          <w:szCs w:val="20"/>
          <w:color w:val="auto"/>
        </w:rPr>
        <w:t>In addition, if Holdings or any of its Restricted Subsidiaries (i) purchases or otherwise acquires assets or properties from a Person which is not an Affiliate, the purchase or acquisition by an Affiliate of Holdings of an interest in all or a portion of the assets or properties acquired shall not be deemed an Affiliate Transaction (or cause such purchase or acquisition by Holdings or a Restricted Subsidiary to be deemed an Affiliate Transaction) or (ii) sells or otherwise disposes of assets or other properties to a Person who is not an Affiliate, the sale or other disposition by an Affiliate of Holdings of an interest in all or a portion of the assets or properties sold shall not be deemed an Affiliate Transaction (or cause such sale or other disposition by Holdings or a Restricted Subsidiary to be deemed an Affiliate Transaction).</w:t>
      </w:r>
    </w:p>
    <w:p>
      <w:pPr>
        <w:spacing w:after="0" w:line="233"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7.08</w:t>
      </w:r>
      <w:r>
        <w:rPr>
          <w:sz w:val="20"/>
          <w:szCs w:val="20"/>
          <w:color w:val="auto"/>
        </w:rPr>
        <w:tab/>
      </w:r>
      <w:r>
        <w:rPr>
          <w:rFonts w:ascii="Arial" w:cs="Arial" w:eastAsia="Arial" w:hAnsi="Arial"/>
          <w:sz w:val="18"/>
          <w:szCs w:val="18"/>
          <w:u w:val="single" w:color="auto"/>
          <w:color w:val="auto"/>
        </w:rPr>
        <w:t>Limitation on Restrictions on Distributions from Restricted Subsidiaries and Negative Pledges</w:t>
      </w:r>
      <w:r>
        <w:rPr>
          <w:rFonts w:ascii="Arial" w:cs="Arial" w:eastAsia="Arial" w:hAnsi="Arial"/>
          <w:sz w:val="18"/>
          <w:szCs w:val="18"/>
          <w:color w:val="auto"/>
        </w:rPr>
        <w:t>.</w:t>
      </w:r>
    </w:p>
    <w:p>
      <w:pPr>
        <w:spacing w:after="0" w:line="324" w:lineRule="exact"/>
        <w:rPr>
          <w:sz w:val="20"/>
          <w:szCs w:val="20"/>
          <w:color w:val="auto"/>
        </w:rPr>
      </w:pPr>
    </w:p>
    <w:p>
      <w:pPr>
        <w:ind w:left="220" w:firstLine="1290"/>
        <w:spacing w:after="0" w:line="287" w:lineRule="auto"/>
        <w:tabs>
          <w:tab w:leader="none" w:pos="1952" w:val="left"/>
        </w:tabs>
        <w:numPr>
          <w:ilvl w:val="1"/>
          <w:numId w:val="369"/>
        </w:numPr>
        <w:rPr>
          <w:rFonts w:ascii="Arial" w:cs="Arial" w:eastAsia="Arial" w:hAnsi="Arial"/>
          <w:sz w:val="19"/>
          <w:szCs w:val="19"/>
          <w:color w:val="auto"/>
        </w:rPr>
      </w:pPr>
      <w:r>
        <w:rPr>
          <w:rFonts w:ascii="Arial" w:cs="Arial" w:eastAsia="Arial" w:hAnsi="Arial"/>
          <w:sz w:val="19"/>
          <w:szCs w:val="19"/>
          <w:color w:val="auto"/>
        </w:rPr>
        <w:t>Holdings shall not, and shall not permit any Restricted Subsidiary to, create or otherwise cause or permit to exist or become effective any consensual encumbrance or consensual restriction on the ability of any Restricted Subsidiary to:</w:t>
      </w:r>
    </w:p>
    <w:p>
      <w:pPr>
        <w:spacing w:after="0" w:line="192" w:lineRule="exact"/>
        <w:rPr>
          <w:rFonts w:ascii="Arial" w:cs="Arial" w:eastAsia="Arial" w:hAnsi="Arial"/>
          <w:sz w:val="19"/>
          <w:szCs w:val="19"/>
          <w:color w:val="auto"/>
        </w:rPr>
      </w:pPr>
    </w:p>
    <w:p>
      <w:pPr>
        <w:ind w:left="780" w:right="300" w:firstLine="722"/>
        <w:spacing w:after="0" w:line="250" w:lineRule="auto"/>
        <w:tabs>
          <w:tab w:leader="none" w:pos="1943" w:val="left"/>
        </w:tabs>
        <w:numPr>
          <w:ilvl w:val="1"/>
          <w:numId w:val="370"/>
        </w:numPr>
        <w:rPr>
          <w:rFonts w:ascii="Arial" w:cs="Arial" w:eastAsia="Arial" w:hAnsi="Arial"/>
          <w:sz w:val="20"/>
          <w:szCs w:val="20"/>
          <w:color w:val="auto"/>
        </w:rPr>
      </w:pPr>
      <w:r>
        <w:rPr>
          <w:rFonts w:ascii="Arial" w:cs="Arial" w:eastAsia="Arial" w:hAnsi="Arial"/>
          <w:sz w:val="20"/>
          <w:szCs w:val="20"/>
          <w:color w:val="auto"/>
        </w:rPr>
        <w:t>to create, incur, assume or suffer to exist any Lien upon any of their respective properties or revenues, whether now owned or hereafter acquired, or which requires the grant of any security for an obligation if security is granted for another obligation;</w:t>
      </w:r>
    </w:p>
    <w:p>
      <w:pPr>
        <w:spacing w:after="0" w:line="212" w:lineRule="exact"/>
        <w:rPr>
          <w:rFonts w:ascii="Arial" w:cs="Arial" w:eastAsia="Arial" w:hAnsi="Arial"/>
          <w:sz w:val="20"/>
          <w:szCs w:val="20"/>
          <w:color w:val="auto"/>
        </w:rPr>
      </w:pPr>
    </w:p>
    <w:p>
      <w:pPr>
        <w:ind w:left="780" w:right="120" w:firstLine="666"/>
        <w:spacing w:after="0" w:line="260" w:lineRule="auto"/>
        <w:tabs>
          <w:tab w:leader="none" w:pos="1943" w:val="left"/>
        </w:tabs>
        <w:numPr>
          <w:ilvl w:val="0"/>
          <w:numId w:val="371"/>
        </w:numPr>
        <w:rPr>
          <w:rFonts w:ascii="Arial" w:cs="Arial" w:eastAsia="Arial" w:hAnsi="Arial"/>
          <w:sz w:val="20"/>
          <w:szCs w:val="20"/>
          <w:color w:val="auto"/>
        </w:rPr>
      </w:pPr>
      <w:r>
        <w:rPr>
          <w:rFonts w:ascii="Arial" w:cs="Arial" w:eastAsia="Arial" w:hAnsi="Arial"/>
          <w:sz w:val="20"/>
          <w:szCs w:val="20"/>
          <w:color w:val="auto"/>
        </w:rPr>
        <w:t>pay dividends or make any other distributions in cash or otherwise on its Capital Stock or pay any Indebtedness or other obligations owed to Holdings or any Restricted Subsidiary;</w:t>
      </w:r>
    </w:p>
    <w:p>
      <w:pPr>
        <w:spacing w:after="0" w:line="217" w:lineRule="exact"/>
        <w:rPr>
          <w:rFonts w:ascii="Arial" w:cs="Arial" w:eastAsia="Arial" w:hAnsi="Arial"/>
          <w:sz w:val="20"/>
          <w:szCs w:val="20"/>
          <w:color w:val="auto"/>
        </w:rPr>
      </w:pPr>
    </w:p>
    <w:p>
      <w:pPr>
        <w:ind w:left="2060" w:hanging="670"/>
        <w:spacing w:after="0"/>
        <w:tabs>
          <w:tab w:leader="none" w:pos="206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make any loans or advances to Holdings or any Restricted Subsidiary; or</w:t>
      </w:r>
    </w:p>
    <w:p>
      <w:pPr>
        <w:spacing w:after="0" w:line="256" w:lineRule="exact"/>
        <w:rPr>
          <w:rFonts w:ascii="Arial" w:cs="Arial" w:eastAsia="Arial" w:hAnsi="Arial"/>
          <w:sz w:val="20"/>
          <w:szCs w:val="20"/>
          <w:color w:val="auto"/>
        </w:rPr>
      </w:pPr>
    </w:p>
    <w:p>
      <w:pPr>
        <w:ind w:left="1940" w:hanging="539"/>
        <w:spacing w:after="0"/>
        <w:tabs>
          <w:tab w:leader="none" w:pos="194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sell, lease or transfer any of its property or assets to Holdings or any Restricted Subsidiary;</w:t>
      </w:r>
    </w:p>
    <w:p>
      <w:pPr>
        <w:spacing w:after="0" w:line="243" w:lineRule="exact"/>
        <w:rPr>
          <w:sz w:val="20"/>
          <w:szCs w:val="20"/>
          <w:color w:val="auto"/>
        </w:rPr>
      </w:pPr>
    </w:p>
    <w:p>
      <w:pPr>
        <w:jc w:val="both"/>
        <w:ind w:left="140" w:firstLine="648"/>
        <w:spacing w:after="0" w:line="250"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(x) the priority of any Preferred Stock in receiving dividends or liquidating distributions prior to dividends or</w:t>
      </w:r>
      <w:r>
        <w:rPr>
          <w:rFonts w:ascii="Arial" w:cs="Arial" w:eastAsia="Arial" w:hAnsi="Arial"/>
          <w:sz w:val="20"/>
          <w:szCs w:val="20"/>
          <w:i w:val="1"/>
          <w:iCs w:val="1"/>
          <w:color w:val="auto"/>
        </w:rPr>
        <w:t xml:space="preserve"> </w:t>
      </w:r>
      <w:r>
        <w:rPr>
          <w:rFonts w:ascii="Arial" w:cs="Arial" w:eastAsia="Arial" w:hAnsi="Arial"/>
          <w:sz w:val="20"/>
          <w:szCs w:val="20"/>
          <w:color w:val="auto"/>
        </w:rPr>
        <w:t>liquidating distributions being paid on common stock and (y) the subordination of (including the application of any standstill requirements to) loans or advances made to</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-338-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8" w:name="page469"/>
    <w:bookmarkEnd w:id="46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Holdings or any Restricted Subsidiary to other Indebtedness Incurred by Holdings or any Restricted Subsidiary shall not be deemed to constitute such an encumbrance or restriction.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-339-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69" w:name="page470"/>
    <w:bookmarkEnd w:id="46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40" w:hanging="630"/>
        <w:spacing w:after="0"/>
        <w:tabs>
          <w:tab w:leader="none" w:pos="2140" w:val="left"/>
        </w:tabs>
        <w:numPr>
          <w:ilvl w:val="0"/>
          <w:numId w:val="372"/>
        </w:numPr>
        <w:rPr>
          <w:rFonts w:ascii="Arial" w:cs="Arial" w:eastAsia="Arial" w:hAnsi="Arial"/>
          <w:sz w:val="20"/>
          <w:szCs w:val="20"/>
          <w:color w:val="auto"/>
        </w:rPr>
      </w:pPr>
      <w:r>
        <w:rPr>
          <w:rFonts w:ascii="Arial" w:cs="Arial" w:eastAsia="Arial" w:hAnsi="Arial"/>
          <w:sz w:val="20"/>
          <w:szCs w:val="20"/>
          <w:u w:val="single" w:color="auto"/>
          <w:color w:val="auto"/>
        </w:rPr>
        <w:t>Section 7.08(a)</w:t>
      </w:r>
      <w:r>
        <w:rPr>
          <w:rFonts w:ascii="Arial" w:cs="Arial" w:eastAsia="Arial" w:hAnsi="Arial"/>
          <w:sz w:val="20"/>
          <w:szCs w:val="20"/>
          <w:color w:val="auto"/>
        </w:rPr>
        <w:t xml:space="preserve"> shall not prohibit:</w:t>
      </w:r>
    </w:p>
    <w:p>
      <w:pPr>
        <w:spacing w:after="0" w:line="324" w:lineRule="exact"/>
        <w:rPr>
          <w:sz w:val="20"/>
          <w:szCs w:val="20"/>
          <w:color w:val="auto"/>
        </w:rPr>
      </w:pPr>
    </w:p>
    <w:p>
      <w:pPr>
        <w:ind w:left="780" w:firstLine="722"/>
        <w:spacing w:after="0" w:line="260" w:lineRule="auto"/>
        <w:tabs>
          <w:tab w:leader="none" w:pos="1943" w:val="left"/>
        </w:tabs>
        <w:numPr>
          <w:ilvl w:val="0"/>
          <w:numId w:val="373"/>
        </w:numPr>
        <w:rPr>
          <w:rFonts w:ascii="Arial" w:cs="Arial" w:eastAsia="Arial" w:hAnsi="Arial"/>
          <w:sz w:val="20"/>
          <w:szCs w:val="20"/>
          <w:color w:val="auto"/>
        </w:rPr>
      </w:pPr>
      <w:r>
        <w:rPr>
          <w:rFonts w:ascii="Arial" w:cs="Arial" w:eastAsia="Arial" w:hAnsi="Arial"/>
          <w:sz w:val="20"/>
          <w:szCs w:val="20"/>
          <w:color w:val="auto"/>
        </w:rPr>
        <w:t>any encumbrance or restriction pursuant to any agreement or instrument, in each case, in effect at or entered into on the Closing Date in connection with the Transactions;</w:t>
      </w:r>
    </w:p>
    <w:p>
      <w:pPr>
        <w:spacing w:after="0" w:line="217" w:lineRule="exact"/>
        <w:rPr>
          <w:rFonts w:ascii="Arial" w:cs="Arial" w:eastAsia="Arial" w:hAnsi="Arial"/>
          <w:sz w:val="20"/>
          <w:szCs w:val="20"/>
          <w:color w:val="auto"/>
        </w:rPr>
      </w:pPr>
    </w:p>
    <w:p>
      <w:pPr>
        <w:ind w:left="1940" w:hanging="493"/>
        <w:spacing w:after="0"/>
        <w:tabs>
          <w:tab w:leader="none" w:pos="194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any encumbrance or restriction pursuant to this Agreement, the Collateral Documents and the Guarantees;</w:t>
      </w:r>
    </w:p>
    <w:p>
      <w:pPr>
        <w:spacing w:after="0" w:line="254" w:lineRule="exact"/>
        <w:rPr>
          <w:rFonts w:ascii="Arial" w:cs="Arial" w:eastAsia="Arial" w:hAnsi="Arial"/>
          <w:sz w:val="19"/>
          <w:szCs w:val="19"/>
          <w:color w:val="auto"/>
        </w:rPr>
      </w:pPr>
    </w:p>
    <w:p>
      <w:pPr>
        <w:ind w:left="2060" w:hanging="669"/>
        <w:spacing w:after="0"/>
        <w:tabs>
          <w:tab w:leader="none" w:pos="206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left="780" w:firstLine="622"/>
        <w:spacing w:after="0" w:line="271" w:lineRule="auto"/>
        <w:tabs>
          <w:tab w:leader="none" w:pos="194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any encumbrance or restriction pursuant to an agreement or instrument of a Person or relating to any Capital Stock or Indebtedness of a Person, entered into on or before the date on which such Person was acquired by or merged, amalgamated, consolidated or otherwise combined with or into Holdings or any Restricted Subsidiary, or was designated as a Restricted Subsidiary or on which such agreement or instrument is assumed by Holdings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Holdings or was merged, amalgamated, consolidated or otherwise combined with or into Holdings or any Restricted Subsidiary or entered into in contemplation of or in connection with such transaction) and outstanding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purposes of this clause (iv), if another Person is the Successor Company, any Subsidiary thereof or agreement or instrument of such Person or any such Subsidiary shall be deemed acquired or assumed by Holdings or any Restricted Subsidiary when such Person becomes the Successor Company;</w:t>
      </w:r>
    </w:p>
    <w:p>
      <w:pPr>
        <w:spacing w:after="0" w:line="210" w:lineRule="exact"/>
        <w:rPr>
          <w:rFonts w:ascii="Arial" w:cs="Arial" w:eastAsia="Arial" w:hAnsi="Arial"/>
          <w:sz w:val="18"/>
          <w:szCs w:val="18"/>
          <w:color w:val="auto"/>
        </w:rPr>
      </w:pPr>
    </w:p>
    <w:p>
      <w:pPr>
        <w:ind w:left="2060" w:hanging="603"/>
        <w:spacing w:after="0"/>
        <w:tabs>
          <w:tab w:leader="none" w:pos="206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any encumbrance or restriction:</w:t>
      </w:r>
    </w:p>
    <w:p>
      <w:pPr>
        <w:spacing w:after="0" w:line="242" w:lineRule="exact"/>
        <w:rPr>
          <w:rFonts w:ascii="Arial" w:cs="Arial" w:eastAsia="Arial" w:hAnsi="Arial"/>
          <w:sz w:val="20"/>
          <w:szCs w:val="20"/>
          <w:color w:val="auto"/>
        </w:rPr>
      </w:pPr>
    </w:p>
    <w:p>
      <w:pPr>
        <w:jc w:val="both"/>
        <w:ind w:left="2080" w:hanging="2"/>
        <w:spacing w:after="0" w:line="250" w:lineRule="auto"/>
        <w:tabs>
          <w:tab w:leader="none" w:pos="2594" w:val="left"/>
        </w:tabs>
        <w:numPr>
          <w:ilvl w:val="1"/>
          <w:numId w:val="373"/>
        </w:numPr>
        <w:rPr>
          <w:rFonts w:ascii="Arial" w:cs="Arial" w:eastAsia="Arial" w:hAnsi="Arial"/>
          <w:sz w:val="20"/>
          <w:szCs w:val="20"/>
          <w:color w:val="auto"/>
        </w:rPr>
      </w:pPr>
      <w:r>
        <w:rPr>
          <w:rFonts w:ascii="Arial" w:cs="Arial" w:eastAsia="Arial" w:hAnsi="Arial"/>
          <w:sz w:val="20"/>
          <w:szCs w:val="20"/>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226" w:lineRule="exact"/>
        <w:rPr>
          <w:rFonts w:ascii="Arial" w:cs="Arial" w:eastAsia="Arial" w:hAnsi="Arial"/>
          <w:sz w:val="20"/>
          <w:szCs w:val="20"/>
          <w:color w:val="auto"/>
        </w:rPr>
      </w:pPr>
    </w:p>
    <w:p>
      <w:pPr>
        <w:jc w:val="both"/>
        <w:ind w:left="2080" w:hanging="2"/>
        <w:spacing w:after="0" w:line="328" w:lineRule="auto"/>
        <w:tabs>
          <w:tab w:leader="none" w:pos="2594" w:val="left"/>
        </w:tabs>
        <w:numPr>
          <w:ilvl w:val="1"/>
          <w:numId w:val="373"/>
        </w:numPr>
        <w:rPr>
          <w:rFonts w:ascii="Arial" w:cs="Arial" w:eastAsia="Arial" w:hAnsi="Arial"/>
          <w:sz w:val="16"/>
          <w:szCs w:val="16"/>
          <w:color w:val="auto"/>
        </w:rPr>
      </w:pPr>
      <w:r>
        <w:rPr>
          <w:rFonts w:ascii="Arial" w:cs="Arial" w:eastAsia="Arial" w:hAnsi="Arial"/>
          <w:sz w:val="16"/>
          <w:szCs w:val="16"/>
          <w:color w:val="auto"/>
        </w:rPr>
        <w:t>contained in mortgages, pledges, charges or other security agreements permitted under this Agreement and the Collateral Documents or securing Indebtedness of Holdings or a Restricted Subsidiary permitted under this Agreement and the Collateral Documents to the extent such encumbrances or restrictions restrict the transfer or encumbrance of the property or assets subject to such mortgages, pledges, charges or other security agreements;</w:t>
      </w:r>
    </w:p>
    <w:p>
      <w:pPr>
        <w:spacing w:after="0" w:line="168" w:lineRule="exact"/>
        <w:rPr>
          <w:rFonts w:ascii="Arial" w:cs="Arial" w:eastAsia="Arial" w:hAnsi="Arial"/>
          <w:sz w:val="16"/>
          <w:szCs w:val="16"/>
          <w:color w:val="auto"/>
        </w:rPr>
      </w:pPr>
    </w:p>
    <w:p>
      <w:pPr>
        <w:jc w:val="both"/>
        <w:ind w:left="2080" w:hanging="2"/>
        <w:spacing w:after="0" w:line="276" w:lineRule="auto"/>
        <w:tabs>
          <w:tab w:leader="none" w:pos="259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contained in any trading, netting, operating, construction, service, supply, purchase, sale or other agreement to which Holdings or any of its Restricted Subsidiaries is a party entered into in the ordinary course of business or consistent with past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prohibits the encumbrance of solely the property or assets of Holdings or such Restricted Subsidiary that are subject to such agreement, the payment rights arising thereunder or the proceeds thereof and does not extend to any other asset or property of Holdings or such Restricted Subsidiary or the assets or property of another Restricted Subsidiary; or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-340-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0" w:name="page471"/>
    <w:bookmarkEnd w:id="47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80" w:hanging="2"/>
        <w:spacing w:after="0" w:line="260" w:lineRule="auto"/>
        <w:tabs>
          <w:tab w:leader="none" w:pos="2594" w:val="left"/>
        </w:tabs>
        <w:numPr>
          <w:ilvl w:val="0"/>
          <w:numId w:val="374"/>
        </w:numPr>
        <w:rPr>
          <w:rFonts w:ascii="Arial" w:cs="Arial" w:eastAsia="Arial" w:hAnsi="Arial"/>
          <w:sz w:val="20"/>
          <w:szCs w:val="20"/>
          <w:color w:val="auto"/>
        </w:rPr>
      </w:pPr>
      <w:r>
        <w:rPr>
          <w:rFonts w:ascii="Arial" w:cs="Arial" w:eastAsia="Arial" w:hAnsi="Arial"/>
          <w:sz w:val="20"/>
          <w:szCs w:val="20"/>
          <w:color w:val="auto"/>
        </w:rPr>
        <w:t>pursuant to customary provisions restricting dispositions of real property interests set forth in any reciprocal easement agreements of Holdings or any Restricted Subsidiary;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-341-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1" w:name="page472"/>
    <w:bookmarkEnd w:id="47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firstLine="622"/>
        <w:spacing w:after="0" w:line="250" w:lineRule="auto"/>
        <w:tabs>
          <w:tab w:leader="none" w:pos="195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any encumbrance or restriction pursuant to Purchase Money Obligations and Capitalized Lease Obligations permitted under this Agreement and the Collateral Documents, in each case, that impose encumbrances or restrictions on the property so acquired;</w:t>
      </w:r>
    </w:p>
    <w:p>
      <w:pPr>
        <w:spacing w:after="0" w:line="226" w:lineRule="exact"/>
        <w:rPr>
          <w:rFonts w:ascii="Arial" w:cs="Arial" w:eastAsia="Arial" w:hAnsi="Arial"/>
          <w:sz w:val="20"/>
          <w:szCs w:val="20"/>
          <w:color w:val="auto"/>
        </w:rPr>
      </w:pPr>
    </w:p>
    <w:p>
      <w:pPr>
        <w:jc w:val="both"/>
        <w:ind w:left="780" w:firstLine="567"/>
        <w:spacing w:after="0" w:line="269" w:lineRule="auto"/>
        <w:tabs>
          <w:tab w:leader="none" w:pos="1950" w:val="left"/>
        </w:tabs>
        <w:numPr>
          <w:ilvl w:val="0"/>
          <w:numId w:val="375"/>
        </w:numPr>
        <w:rPr>
          <w:rFonts w:ascii="Arial" w:cs="Arial" w:eastAsia="Arial" w:hAnsi="Arial"/>
          <w:sz w:val="19"/>
          <w:szCs w:val="19"/>
          <w:color w:val="auto"/>
        </w:rPr>
      </w:pPr>
      <w:r>
        <w:rPr>
          <w:rFonts w:ascii="Arial" w:cs="Arial" w:eastAsia="Arial" w:hAnsi="Arial"/>
          <w:sz w:val="19"/>
          <w:szCs w:val="19"/>
          <w:color w:val="auto"/>
        </w:rPr>
        <w:t>any encumbrance or restriction imposed pursuant to an agreement entered into for the direct or indirect sale or disposition to a Person of all or substantially all the Capital Stock or assets of Holdings or any Restricted Subsidiary (or the property or assets that are subject to such restriction) pending the closing of such sale or disposition;</w:t>
      </w:r>
    </w:p>
    <w:p>
      <w:pPr>
        <w:spacing w:after="0" w:line="196" w:lineRule="exact"/>
        <w:rPr>
          <w:rFonts w:ascii="Arial" w:cs="Arial" w:eastAsia="Arial" w:hAnsi="Arial"/>
          <w:sz w:val="19"/>
          <w:szCs w:val="19"/>
          <w:color w:val="auto"/>
        </w:rPr>
      </w:pPr>
    </w:p>
    <w:p>
      <w:pPr>
        <w:ind w:left="780" w:right="20" w:firstLine="511"/>
        <w:spacing w:after="0" w:line="260" w:lineRule="auto"/>
        <w:tabs>
          <w:tab w:leader="none" w:pos="195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customary provisions in leases, licenses, equityholder agreements, joint venture agreements, organizational documents and other similar agreements and instruments;</w:t>
      </w:r>
    </w:p>
    <w:p>
      <w:pPr>
        <w:spacing w:after="0" w:line="217" w:lineRule="exact"/>
        <w:rPr>
          <w:rFonts w:ascii="Arial" w:cs="Arial" w:eastAsia="Arial" w:hAnsi="Arial"/>
          <w:sz w:val="20"/>
          <w:szCs w:val="20"/>
          <w:color w:val="auto"/>
        </w:rPr>
      </w:pPr>
    </w:p>
    <w:p>
      <w:pPr>
        <w:ind w:left="780" w:firstLine="621"/>
        <w:spacing w:after="0" w:line="260" w:lineRule="auto"/>
        <w:tabs>
          <w:tab w:leader="none" w:pos="1928" w:val="left"/>
        </w:tabs>
        <w:numPr>
          <w:ilvl w:val="2"/>
          <w:numId w:val="375"/>
        </w:numPr>
        <w:rPr>
          <w:rFonts w:ascii="Arial" w:cs="Arial" w:eastAsia="Arial" w:hAnsi="Arial"/>
          <w:sz w:val="20"/>
          <w:szCs w:val="20"/>
          <w:color w:val="auto"/>
        </w:rPr>
      </w:pPr>
      <w:r>
        <w:rPr>
          <w:rFonts w:ascii="Arial" w:cs="Arial" w:eastAsia="Arial" w:hAnsi="Arial"/>
          <w:sz w:val="20"/>
          <w:szCs w:val="20"/>
          <w:color w:val="auto"/>
        </w:rPr>
        <w:t>encumbrances or restrictions arising or existing by reason of applicable law or any applicable rule, regulation or order, or required by any regulatory authority;</w:t>
      </w:r>
    </w:p>
    <w:p>
      <w:pPr>
        <w:spacing w:after="0" w:line="217" w:lineRule="exact"/>
        <w:rPr>
          <w:rFonts w:ascii="Arial" w:cs="Arial" w:eastAsia="Arial" w:hAnsi="Arial"/>
          <w:sz w:val="20"/>
          <w:szCs w:val="20"/>
          <w:color w:val="auto"/>
        </w:rPr>
      </w:pPr>
    </w:p>
    <w:p>
      <w:pPr>
        <w:ind w:left="780" w:right="20" w:firstLine="677"/>
        <w:spacing w:after="0" w:line="260" w:lineRule="auto"/>
        <w:tabs>
          <w:tab w:leader="none" w:pos="1929" w:val="left"/>
        </w:tabs>
        <w:numPr>
          <w:ilvl w:val="2"/>
          <w:numId w:val="375"/>
        </w:numPr>
        <w:rPr>
          <w:rFonts w:ascii="Arial" w:cs="Arial" w:eastAsia="Arial" w:hAnsi="Arial"/>
          <w:sz w:val="20"/>
          <w:szCs w:val="20"/>
          <w:color w:val="auto"/>
        </w:rPr>
      </w:pPr>
      <w:r>
        <w:rPr>
          <w:rFonts w:ascii="Arial" w:cs="Arial" w:eastAsia="Arial" w:hAnsi="Arial"/>
          <w:sz w:val="20"/>
          <w:szCs w:val="20"/>
          <w:color w:val="auto"/>
        </w:rPr>
        <w:t>any encumbrance or restriction on cash or other deposits or net worth imposed by customers under agreements entered into in the ordinary course of business or consistent with past practice;</w:t>
      </w:r>
    </w:p>
    <w:p>
      <w:pPr>
        <w:spacing w:after="0" w:line="203" w:lineRule="exact"/>
        <w:rPr>
          <w:rFonts w:ascii="Arial" w:cs="Arial" w:eastAsia="Arial" w:hAnsi="Arial"/>
          <w:sz w:val="20"/>
          <w:szCs w:val="20"/>
          <w:color w:val="auto"/>
        </w:rPr>
      </w:pPr>
    </w:p>
    <w:p>
      <w:pPr>
        <w:ind w:left="2080" w:hanging="679"/>
        <w:spacing w:after="0"/>
        <w:tabs>
          <w:tab w:leader="none" w:pos="2080" w:val="left"/>
        </w:tabs>
        <w:numPr>
          <w:ilvl w:val="3"/>
          <w:numId w:val="375"/>
        </w:numPr>
        <w:rPr>
          <w:rFonts w:ascii="Arial" w:cs="Arial" w:eastAsia="Arial" w:hAnsi="Arial"/>
          <w:sz w:val="20"/>
          <w:szCs w:val="20"/>
          <w:color w:val="auto"/>
        </w:rPr>
      </w:pPr>
      <w:r>
        <w:rPr>
          <w:rFonts w:ascii="Arial" w:cs="Arial" w:eastAsia="Arial" w:hAnsi="Arial"/>
          <w:sz w:val="20"/>
          <w:szCs w:val="20"/>
          <w:color w:val="auto"/>
        </w:rPr>
        <w:t>any encumbrance or restriction pursuant to Hedging Obligations;</w:t>
      </w:r>
    </w:p>
    <w:p>
      <w:pPr>
        <w:spacing w:after="0" w:line="256" w:lineRule="exact"/>
        <w:rPr>
          <w:rFonts w:ascii="Arial" w:cs="Arial" w:eastAsia="Arial" w:hAnsi="Arial"/>
          <w:sz w:val="20"/>
          <w:szCs w:val="20"/>
          <w:color w:val="auto"/>
        </w:rPr>
      </w:pPr>
    </w:p>
    <w:p>
      <w:pPr>
        <w:jc w:val="both"/>
        <w:ind w:left="780" w:firstLine="567"/>
        <w:spacing w:after="0" w:line="250" w:lineRule="auto"/>
        <w:tabs>
          <w:tab w:leader="none" w:pos="1941" w:val="left"/>
        </w:tabs>
        <w:numPr>
          <w:ilvl w:val="3"/>
          <w:numId w:val="375"/>
        </w:numPr>
        <w:rPr>
          <w:rFonts w:ascii="Arial" w:cs="Arial" w:eastAsia="Arial" w:hAnsi="Arial"/>
          <w:sz w:val="20"/>
          <w:szCs w:val="20"/>
          <w:color w:val="auto"/>
        </w:rPr>
      </w:pPr>
      <w:r>
        <w:rPr>
          <w:rFonts w:ascii="Arial" w:cs="Arial" w:eastAsia="Arial" w:hAnsi="Arial"/>
          <w:sz w:val="20"/>
          <w:szCs w:val="20"/>
          <w:color w:val="auto"/>
        </w:rPr>
        <w:t xml:space="preserve">other Indebtedness, Disqualified Stock or Preferred Stock of Foreign Subsidiaries permitted to be Incurred or issued subsequent to the Closing Date pursuant to the provisions of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that impose restrictions solely on the Foreign Subsidiaries party thereto or their Subsidiaries;</w:t>
      </w:r>
    </w:p>
    <w:p>
      <w:pPr>
        <w:spacing w:after="0" w:line="226" w:lineRule="exact"/>
        <w:rPr>
          <w:rFonts w:ascii="Arial" w:cs="Arial" w:eastAsia="Arial" w:hAnsi="Arial"/>
          <w:sz w:val="20"/>
          <w:szCs w:val="20"/>
          <w:color w:val="auto"/>
        </w:rPr>
      </w:pPr>
    </w:p>
    <w:p>
      <w:pPr>
        <w:jc w:val="both"/>
        <w:ind w:left="780" w:firstLine="511"/>
        <w:spacing w:after="0" w:line="316" w:lineRule="auto"/>
        <w:tabs>
          <w:tab w:leader="none" w:pos="1941" w:val="left"/>
        </w:tabs>
        <w:numPr>
          <w:ilvl w:val="3"/>
          <w:numId w:val="375"/>
        </w:numPr>
        <w:rPr>
          <w:rFonts w:ascii="Arial" w:cs="Arial" w:eastAsia="Arial" w:hAnsi="Arial"/>
          <w:sz w:val="18"/>
          <w:szCs w:val="18"/>
          <w:color w:val="auto"/>
        </w:rPr>
      </w:pPr>
      <w:r>
        <w:rPr>
          <w:rFonts w:ascii="Arial" w:cs="Arial" w:eastAsia="Arial" w:hAnsi="Arial"/>
          <w:sz w:val="18"/>
          <w:szCs w:val="18"/>
          <w:color w:val="auto"/>
        </w:rPr>
        <w:t>restrictions created in connection with any Qualified Securitization Financing or Receivables Facility that, in the good faith determination of the Borrower, are necessary or advisable to effect such Securitization Facility or Receivables Facility;</w:t>
      </w:r>
    </w:p>
    <w:p>
      <w:pPr>
        <w:spacing w:after="0" w:line="156" w:lineRule="exact"/>
        <w:rPr>
          <w:rFonts w:ascii="Arial" w:cs="Arial" w:eastAsia="Arial" w:hAnsi="Arial"/>
          <w:sz w:val="18"/>
          <w:szCs w:val="18"/>
          <w:color w:val="auto"/>
        </w:rPr>
      </w:pPr>
    </w:p>
    <w:p>
      <w:pPr>
        <w:jc w:val="both"/>
        <w:ind w:left="780" w:firstLine="524"/>
        <w:spacing w:after="0" w:line="256" w:lineRule="auto"/>
        <w:tabs>
          <w:tab w:leader="none" w:pos="1938" w:val="left"/>
        </w:tabs>
        <w:numPr>
          <w:ilvl w:val="1"/>
          <w:numId w:val="375"/>
        </w:numPr>
        <w:rPr>
          <w:rFonts w:ascii="Arial" w:cs="Arial" w:eastAsia="Arial" w:hAnsi="Arial"/>
          <w:sz w:val="19"/>
          <w:szCs w:val="19"/>
          <w:color w:val="auto"/>
        </w:rPr>
      </w:pPr>
      <w:r>
        <w:rPr>
          <w:rFonts w:ascii="Arial" w:cs="Arial" w:eastAsia="Arial" w:hAnsi="Arial"/>
          <w:sz w:val="19"/>
          <w:szCs w:val="19"/>
          <w:color w:val="auto"/>
        </w:rPr>
        <w:t xml:space="preserve">any encumbrance or restriction arising pursuant to an agreement or instrument (which, if it relates to any Indebtedness, shall only be permitted if such Indebtedness is permitted to be Incurred pursuant to the provisions of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hereof) if (i) the encumbrances and restrictions contained in any such agreement or instrument taken as a whole are not materially less favorable to the Lenders than (a) the encumbrances and restrictions contained in the this Agreement, together with the security documents associated therewith or (b) in comparable financings (as determined in good faith by the Borrower) or (ii) either (a) the Borrower determines at the time of entry into such agreement or instrument that such encumbrances or restrictions will not adversely affect, in any material respect, the Borrower’s ability to make principal or interest payments on the Secured Obligations or (b) such encumbrance or restriction applies only during the continuance of a default in respect of a payment relating to such agreement or instrument;</w:t>
      </w:r>
    </w:p>
    <w:p>
      <w:pPr>
        <w:spacing w:after="0" w:line="224" w:lineRule="exact"/>
        <w:rPr>
          <w:rFonts w:ascii="Arial" w:cs="Arial" w:eastAsia="Arial" w:hAnsi="Arial"/>
          <w:sz w:val="19"/>
          <w:szCs w:val="19"/>
          <w:color w:val="auto"/>
        </w:rPr>
      </w:pPr>
    </w:p>
    <w:p>
      <w:pPr>
        <w:ind w:left="1940" w:hanging="581"/>
        <w:spacing w:after="0"/>
        <w:tabs>
          <w:tab w:leader="none" w:pos="1940" w:val="left"/>
        </w:tabs>
        <w:numPr>
          <w:ilvl w:val="1"/>
          <w:numId w:val="375"/>
        </w:numPr>
        <w:rPr>
          <w:rFonts w:ascii="Arial" w:cs="Arial" w:eastAsia="Arial" w:hAnsi="Arial"/>
          <w:sz w:val="20"/>
          <w:szCs w:val="20"/>
          <w:color w:val="auto"/>
        </w:rPr>
      </w:pPr>
      <w:r>
        <w:rPr>
          <w:rFonts w:ascii="Arial" w:cs="Arial" w:eastAsia="Arial" w:hAnsi="Arial"/>
          <w:sz w:val="20"/>
          <w:szCs w:val="20"/>
          <w:color w:val="auto"/>
        </w:rPr>
        <w:t xml:space="preserve">any encumbrance or restriction existing by reason of any Lien permitted under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hereof; or</w:t>
      </w:r>
    </w:p>
    <w:p>
      <w:pPr>
        <w:spacing w:after="0" w:line="337" w:lineRule="exact"/>
        <w:rPr>
          <w:rFonts w:ascii="Arial" w:cs="Arial" w:eastAsia="Arial" w:hAnsi="Arial"/>
          <w:sz w:val="20"/>
          <w:szCs w:val="20"/>
          <w:color w:val="auto"/>
        </w:rPr>
      </w:pPr>
    </w:p>
    <w:p>
      <w:pPr>
        <w:jc w:val="both"/>
        <w:ind w:left="780" w:firstLine="523"/>
        <w:spacing w:after="0" w:line="246" w:lineRule="auto"/>
        <w:tabs>
          <w:tab w:leader="none" w:pos="1951" w:val="left"/>
        </w:tabs>
        <w:numPr>
          <w:ilvl w:val="1"/>
          <w:numId w:val="375"/>
        </w:numPr>
        <w:rPr>
          <w:rFonts w:ascii="Arial" w:cs="Arial" w:eastAsia="Arial" w:hAnsi="Arial"/>
          <w:sz w:val="20"/>
          <w:szCs w:val="20"/>
          <w:color w:val="auto"/>
        </w:rPr>
      </w:pPr>
      <w:r>
        <w:rPr>
          <w:rFonts w:ascii="Arial" w:cs="Arial" w:eastAsia="Arial" w:hAnsi="Arial"/>
          <w:sz w:val="20"/>
          <w:szCs w:val="20"/>
          <w:color w:val="auto"/>
        </w:rPr>
        <w:t xml:space="preserve">any encumbrance or restriction pursuant to an agreement or instrument effecting a refinancing of Indebtedness Incurred pursuant to, or that otherwise refinances, an agreement or instrument referred to in clauses (i) to (xv)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7.08(b)</w:t>
      </w:r>
      <w:r>
        <w:rPr>
          <w:rFonts w:ascii="Arial" w:cs="Arial" w:eastAsia="Arial" w:hAnsi="Arial"/>
          <w:sz w:val="20"/>
          <w:szCs w:val="20"/>
          <w:color w:val="auto"/>
        </w:rPr>
        <w:t xml:space="preserve"> or this clause (xvi) (an “</w:t>
      </w:r>
      <w:r>
        <w:rPr>
          <w:rFonts w:ascii="Arial" w:cs="Arial" w:eastAsia="Arial" w:hAnsi="Arial"/>
          <w:sz w:val="20"/>
          <w:szCs w:val="20"/>
          <w:u w:val="single" w:color="auto"/>
          <w:color w:val="auto"/>
        </w:rPr>
        <w:t>Initial Agreement</w:t>
      </w:r>
      <w:r>
        <w:rPr>
          <w:rFonts w:ascii="Arial" w:cs="Arial" w:eastAsia="Arial" w:hAnsi="Arial"/>
          <w:sz w:val="20"/>
          <w:szCs w:val="20"/>
          <w:color w:val="auto"/>
        </w:rPr>
        <w:t>”) or contained in any amendment, supplement or other modification to an agreement</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-342-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2" w:name="page473"/>
    <w:bookmarkEnd w:id="47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 xml:space="preserve">referred to in clauses (i) to (xv) of this </w:t>
      </w:r>
      <w:r>
        <w:rPr>
          <w:rFonts w:ascii="Arial" w:cs="Arial" w:eastAsia="Arial" w:hAnsi="Arial"/>
          <w:sz w:val="20"/>
          <w:szCs w:val="20"/>
          <w:u w:val="single" w:color="auto"/>
          <w:color w:val="auto"/>
        </w:rPr>
        <w:t>Section 7.08(b)</w:t>
      </w:r>
      <w:r>
        <w:rPr>
          <w:rFonts w:ascii="Arial" w:cs="Arial" w:eastAsia="Arial" w:hAnsi="Arial"/>
          <w:sz w:val="20"/>
          <w:szCs w:val="20"/>
          <w:color w:val="auto"/>
        </w:rPr>
        <w:t xml:space="preserve"> or this clause (xvi);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encumbrances and restrictions with respect to such Restricted Subsidiary contained in any such</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-343-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3" w:name="page474"/>
    <w:bookmarkEnd w:id="47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right="20"/>
        <w:spacing w:after="0" w:line="250" w:lineRule="auto"/>
        <w:rPr>
          <w:sz w:val="20"/>
          <w:szCs w:val="20"/>
          <w:color w:val="auto"/>
        </w:rPr>
      </w:pPr>
      <w:r>
        <w:rPr>
          <w:rFonts w:ascii="Arial" w:cs="Arial" w:eastAsia="Arial" w:hAnsi="Arial"/>
          <w:sz w:val="20"/>
          <w:szCs w:val="20"/>
          <w:color w:val="auto"/>
        </w:rPr>
        <w:t>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w:t>
      </w:r>
    </w:p>
    <w:p>
      <w:pPr>
        <w:spacing w:after="0" w:line="226" w:lineRule="exact"/>
        <w:rPr>
          <w:sz w:val="20"/>
          <w:szCs w:val="20"/>
          <w:color w:val="auto"/>
        </w:rPr>
      </w:pPr>
    </w:p>
    <w:p>
      <w:pPr>
        <w:jc w:val="both"/>
        <w:ind w:left="140" w:firstLine="1296"/>
        <w:spacing w:after="0" w:line="242" w:lineRule="auto"/>
        <w:rPr>
          <w:sz w:val="20"/>
          <w:szCs w:val="20"/>
          <w:color w:val="auto"/>
        </w:rPr>
      </w:pPr>
      <w:r>
        <w:rPr>
          <w:rFonts w:ascii="Arial" w:cs="Arial" w:eastAsia="Arial" w:hAnsi="Arial"/>
          <w:sz w:val="20"/>
          <w:szCs w:val="20"/>
          <w:color w:val="auto"/>
        </w:rPr>
        <w:t xml:space="preserve">Section 7.09 </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Except with the written consent of the Required Revolving Credit Lenders and subject to </w:t>
      </w:r>
      <w:r>
        <w:rPr>
          <w:rFonts w:ascii="Arial" w:cs="Arial" w:eastAsia="Arial" w:hAnsi="Arial"/>
          <w:sz w:val="20"/>
          <w:szCs w:val="20"/>
          <w:u w:val="single" w:color="auto"/>
          <w:color w:val="auto"/>
        </w:rPr>
        <w:t>Section 8.05</w:t>
      </w:r>
      <w:r>
        <w:rPr>
          <w:rFonts w:ascii="Arial" w:cs="Arial" w:eastAsia="Arial" w:hAnsi="Arial"/>
          <w:sz w:val="20"/>
          <w:szCs w:val="20"/>
          <w:color w:val="auto"/>
        </w:rPr>
        <w:t xml:space="preserve">, Holdings shall not permit the Consolidated First Lien Secured Leverage Ratio as of the last day of any Test Period (commencing with the last day of the first full fiscal quarter of Holdings commencing after the Closing Date) to be greater than 7.10:1.00. Notwithstanding the foregoing, this </w:t>
      </w:r>
      <w:r>
        <w:rPr>
          <w:rFonts w:ascii="Arial" w:cs="Arial" w:eastAsia="Arial" w:hAnsi="Arial"/>
          <w:sz w:val="20"/>
          <w:szCs w:val="20"/>
          <w:u w:val="single" w:color="auto"/>
          <w:color w:val="auto"/>
        </w:rPr>
        <w:t>Section 7.09</w:t>
      </w:r>
      <w:r>
        <w:rPr>
          <w:rFonts w:ascii="Arial" w:cs="Arial" w:eastAsia="Arial" w:hAnsi="Arial"/>
          <w:sz w:val="20"/>
          <w:szCs w:val="20"/>
          <w:color w:val="auto"/>
        </w:rPr>
        <w:t xml:space="preserve"> shall only be tested when the sum of (i) the Outstanding Amount of Letters of Credit (other than those (x) that remain undrawn in an amount not to exceed</w:t>
      </w:r>
    </w:p>
    <w:p>
      <w:pPr>
        <w:spacing w:after="0" w:line="4" w:lineRule="exact"/>
        <w:rPr>
          <w:sz w:val="20"/>
          <w:szCs w:val="20"/>
          <w:color w:val="auto"/>
        </w:rPr>
      </w:pPr>
    </w:p>
    <w:p>
      <w:pPr>
        <w:jc w:val="both"/>
        <w:ind w:left="140"/>
        <w:spacing w:after="0"/>
        <w:rPr>
          <w:sz w:val="20"/>
          <w:szCs w:val="20"/>
          <w:color w:val="auto"/>
        </w:rPr>
      </w:pPr>
      <w:r>
        <w:rPr>
          <w:rFonts w:ascii="Arial" w:cs="Arial" w:eastAsia="Arial" w:hAnsi="Arial"/>
          <w:sz w:val="20"/>
          <w:szCs w:val="20"/>
          <w:color w:val="auto"/>
        </w:rPr>
        <w:t xml:space="preserve">$50,000,000 and (y) that are Cash Collateralized in an amount equal to the Outstanding Amount thereof) and (ii) the Outstanding Amount of Revolving Credit Loans exceeds 35.0% of the Revolving Credit Commitments as of the last day of such Test Period; </w:t>
      </w:r>
      <w:r>
        <w:rPr>
          <w:rFonts w:ascii="Arial" w:cs="Arial" w:eastAsia="Arial" w:hAnsi="Arial"/>
          <w:sz w:val="20"/>
          <w:szCs w:val="20"/>
          <w:i w:val="1"/>
          <w:iCs w:val="1"/>
          <w:color w:val="auto"/>
        </w:rPr>
        <w:t>provided</w:t>
      </w:r>
      <w:r>
        <w:rPr>
          <w:rFonts w:ascii="Arial" w:cs="Arial" w:eastAsia="Arial" w:hAnsi="Arial"/>
          <w:sz w:val="20"/>
          <w:szCs w:val="20"/>
          <w:color w:val="auto"/>
        </w:rPr>
        <w:t>, Revolving Credit Loans originally borrowed on the Closing Date to pay a portion of the Transactions (including any working capital) or pay transaction expense or to fund original issue discount or upfront fees in connection with the “market flex” provisions of the Fee Letter shall be excluded from such calculation for the first four full fiscal quarter periods ending after the Closing Date (the “</w:t>
      </w:r>
      <w:r>
        <w:rPr>
          <w:rFonts w:ascii="Arial" w:cs="Arial" w:eastAsia="Arial" w:hAnsi="Arial"/>
          <w:sz w:val="20"/>
          <w:szCs w:val="20"/>
          <w:u w:val="single" w:color="auto"/>
          <w:color w:val="auto"/>
        </w:rPr>
        <w:t>Financial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Covenant</w:t>
      </w:r>
      <w:r>
        <w:rPr>
          <w:rFonts w:ascii="Arial" w:cs="Arial" w:eastAsia="Arial" w:hAnsi="Arial"/>
          <w:sz w:val="20"/>
          <w:szCs w:val="20"/>
          <w:color w:val="auto"/>
        </w:rPr>
        <w:t>”).</w:t>
      </w:r>
    </w:p>
    <w:p>
      <w:pPr>
        <w:spacing w:after="0" w:line="305"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8"/>
          <w:szCs w:val="18"/>
          <w:u w:val="single" w:color="auto"/>
          <w:color w:val="auto"/>
        </w:rPr>
        <w:t>Permitted Activities of Holdings</w:t>
      </w:r>
      <w:r>
        <w:rPr>
          <w:rFonts w:ascii="Arial" w:cs="Arial" w:eastAsia="Arial" w:hAnsi="Arial"/>
          <w:sz w:val="18"/>
          <w:szCs w:val="18"/>
          <w:color w:val="auto"/>
        </w:rPr>
        <w:t>.</w:t>
      </w:r>
    </w:p>
    <w:p>
      <w:pPr>
        <w:spacing w:after="0" w:line="32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Holdings shall not:</w:t>
      </w:r>
    </w:p>
    <w:p>
      <w:pPr>
        <w:spacing w:after="0" w:line="243" w:lineRule="exact"/>
        <w:rPr>
          <w:sz w:val="20"/>
          <w:szCs w:val="20"/>
          <w:color w:val="auto"/>
        </w:rPr>
      </w:pPr>
    </w:p>
    <w:p>
      <w:pPr>
        <w:jc w:val="both"/>
        <w:ind w:left="140" w:firstLine="1289"/>
        <w:spacing w:after="0" w:line="269" w:lineRule="auto"/>
        <w:tabs>
          <w:tab w:leader="none" w:pos="1953" w:val="left"/>
        </w:tabs>
        <w:numPr>
          <w:ilvl w:val="1"/>
          <w:numId w:val="376"/>
        </w:numPr>
        <w:rPr>
          <w:rFonts w:ascii="Arial" w:cs="Arial" w:eastAsia="Arial" w:hAnsi="Arial"/>
          <w:sz w:val="19"/>
          <w:szCs w:val="19"/>
          <w:color w:val="auto"/>
        </w:rPr>
      </w:pPr>
      <w:r>
        <w:rPr>
          <w:rFonts w:ascii="Arial" w:cs="Arial" w:eastAsia="Arial" w:hAnsi="Arial"/>
          <w:sz w:val="19"/>
          <w:szCs w:val="19"/>
          <w:color w:val="auto"/>
        </w:rPr>
        <w:t>incur any Indebtedness for borrowed money other than (i) Guarantees of Indebtedness or other obligations of the Borrower and/or any Restricted Subsidiary, which Indebtedness or other obligations are otherwise permitted hereunder and (ii) Indebtedness owed to the Borrower or any Restricted Subsidiary otherwise permitted hereunder;</w:t>
      </w:r>
    </w:p>
    <w:p>
      <w:pPr>
        <w:spacing w:after="0" w:line="210" w:lineRule="exact"/>
        <w:rPr>
          <w:rFonts w:ascii="Arial" w:cs="Arial" w:eastAsia="Arial" w:hAnsi="Arial"/>
          <w:sz w:val="19"/>
          <w:szCs w:val="19"/>
          <w:color w:val="auto"/>
        </w:rPr>
      </w:pPr>
    </w:p>
    <w:p>
      <w:pPr>
        <w:jc w:val="both"/>
        <w:ind w:left="140" w:right="20" w:firstLine="1290"/>
        <w:spacing w:after="0" w:line="309" w:lineRule="auto"/>
        <w:tabs>
          <w:tab w:leader="none" w:pos="195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create or suffer to exist any Lien on any property or asset now owned or hereafter acquired by it other than (i) the Liens created under the Collateral Documents and, subject to any Customary Intercreditor Agreement, as applicable, to which it is a party,</w:t>
      </w:r>
    </w:p>
    <w:p>
      <w:pPr>
        <w:spacing w:after="0" w:line="1" w:lineRule="exact"/>
        <w:rPr>
          <w:rFonts w:ascii="Arial" w:cs="Arial" w:eastAsia="Arial" w:hAnsi="Arial"/>
          <w:sz w:val="16"/>
          <w:szCs w:val="16"/>
          <w:color w:val="auto"/>
        </w:rPr>
      </w:pPr>
    </w:p>
    <w:p>
      <w:pPr>
        <w:jc w:val="both"/>
        <w:ind w:left="140" w:hanging="6"/>
        <w:spacing w:after="0" w:line="276" w:lineRule="auto"/>
        <w:tabs>
          <w:tab w:leader="none" w:pos="44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[reserved], or (iii) Permitted Liens on the Collateral that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Secured Obligations, so long as such Permitted Liens secure Guarantees permitted under </w:t>
      </w:r>
      <w:r>
        <w:rPr>
          <w:rFonts w:ascii="Arial" w:cs="Arial" w:eastAsia="Arial" w:hAnsi="Arial"/>
          <w:sz w:val="18"/>
          <w:szCs w:val="18"/>
          <w:u w:val="single" w:color="auto"/>
          <w:color w:val="auto"/>
        </w:rPr>
        <w:t>clause(a)(i)</w:t>
      </w:r>
      <w:r>
        <w:rPr>
          <w:rFonts w:ascii="Arial" w:cs="Arial" w:eastAsia="Arial" w:hAnsi="Arial"/>
          <w:sz w:val="18"/>
          <w:szCs w:val="18"/>
          <w:color w:val="auto"/>
        </w:rPr>
        <w:t xml:space="preserve"> above and the underlying Indebtedness subject to such Guarantee is permitted to be secured on the same basis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(iv) Liens of the type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(other than in respect of Indebtedness for borrowed money not referred to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or</w:t>
      </w:r>
    </w:p>
    <w:p>
      <w:pPr>
        <w:spacing w:after="0" w:line="287" w:lineRule="exact"/>
        <w:rPr>
          <w:rFonts w:ascii="Arial" w:cs="Arial" w:eastAsia="Arial" w:hAnsi="Arial"/>
          <w:sz w:val="18"/>
          <w:szCs w:val="18"/>
          <w:color w:val="auto"/>
        </w:rPr>
      </w:pPr>
    </w:p>
    <w:p>
      <w:pPr>
        <w:jc w:val="both"/>
        <w:ind w:left="140" w:firstLine="1289"/>
        <w:spacing w:after="0" w:line="255" w:lineRule="auto"/>
        <w:tabs>
          <w:tab w:leader="none" w:pos="1953" w:val="left"/>
        </w:tabs>
        <w:numPr>
          <w:ilvl w:val="1"/>
          <w:numId w:val="377"/>
        </w:numPr>
        <w:rPr>
          <w:rFonts w:ascii="Arial" w:cs="Arial" w:eastAsia="Arial" w:hAnsi="Arial"/>
          <w:sz w:val="19"/>
          <w:szCs w:val="19"/>
          <w:color w:val="auto"/>
        </w:rPr>
      </w:pPr>
      <w:r>
        <w:rPr>
          <w:rFonts w:ascii="Arial" w:cs="Arial" w:eastAsia="Arial" w:hAnsi="Arial"/>
          <w:sz w:val="19"/>
          <w:szCs w:val="19"/>
          <w:color w:val="auto"/>
        </w:rPr>
        <w:t xml:space="preserve">engage in any material business activity or own any material assets other than (i) holding the Capital Stock of the Borrower, and, indirectly, any other subsidiary of the Borrower (and/or any joint venture of any thereof); (ii) performing its obligations under the Loan Documents and other Indebtedness, Liens (including the granting of Liens) and Guarantees permitted hereunder; (iii) issuing its own Capital Stock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 including tax distributions made pursuant to </w:t>
      </w:r>
      <w:r>
        <w:rPr>
          <w:rFonts w:ascii="Arial" w:cs="Arial" w:eastAsia="Arial" w:hAnsi="Arial"/>
          <w:sz w:val="19"/>
          <w:szCs w:val="19"/>
          <w:u w:val="single" w:color="auto"/>
          <w:color w:val="auto"/>
        </w:rPr>
        <w:t>Section 7.06(ix)</w:t>
      </w:r>
      <w:r>
        <w:rPr>
          <w:rFonts w:ascii="Arial" w:cs="Arial" w:eastAsia="Arial" w:hAnsi="Arial"/>
          <w:sz w:val="19"/>
          <w:szCs w:val="19"/>
          <w:color w:val="auto"/>
        </w:rPr>
        <w:t xml:space="preserve"> 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initial public offering of its Capital Stock;</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-344-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4" w:name="page475"/>
    <w:bookmarkEnd w:id="47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hanging="7"/>
        <w:spacing w:after="0" w:line="260" w:lineRule="auto"/>
        <w:tabs>
          <w:tab w:leader="none" w:pos="59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holding (A) cash, Cash Equivalents and other assets received in connection with permitted distributions or dividends received from, or Permitted Investments or permitted Dispositions made by, any of its subsidiaries or permitted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-345-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475" w:name="page476"/>
    <w:bookmarkEnd w:id="47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8" w:lineRule="auto"/>
        <w:rPr>
          <w:sz w:val="20"/>
          <w:szCs w:val="20"/>
          <w:color w:val="auto"/>
        </w:rPr>
      </w:pPr>
      <w:r>
        <w:rPr>
          <w:rFonts w:ascii="Arial" w:cs="Arial" w:eastAsia="Arial" w:hAnsi="Arial"/>
          <w:sz w:val="18"/>
          <w:szCs w:val="18"/>
          <w:color w:val="auto"/>
        </w:rPr>
        <w:t xml:space="preserve">contributions to the capital of, or proceeds from the issuance of Capital Stock of, Holdings pending the application thereof, or otherwise received and held so long as such other assets are not “operated” and (B) the proceeds of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(ix) providing indemnification for its officers, directors, members of management, employees and advisors or consultants; (x) participating in tax, accounting and other administrative matters; (xi) making payments of the type permitted under </w:t>
      </w:r>
      <w:r>
        <w:rPr>
          <w:rFonts w:ascii="Arial" w:cs="Arial" w:eastAsia="Arial" w:hAnsi="Arial"/>
          <w:sz w:val="18"/>
          <w:szCs w:val="18"/>
          <w:u w:val="single" w:color="auto"/>
          <w:color w:val="auto"/>
        </w:rPr>
        <w:t>Section 7.07(b)(xi)</w:t>
      </w:r>
      <w:r>
        <w:rPr>
          <w:rFonts w:ascii="Arial" w:cs="Arial" w:eastAsia="Arial" w:hAnsi="Arial"/>
          <w:sz w:val="18"/>
          <w:szCs w:val="18"/>
          <w:color w:val="auto"/>
        </w:rPr>
        <w:t xml:space="preserve"> and the performance of its obligations under any document, agreement and/or Investment contemplated by the Transactions or otherwise not prohibited under this Agreement; (xii) complying with applicable Laws (including with respect to the maintenance of its existence); (xiii) financing activities, including the receipt and payment of dividends and distributions, making contributions to the capital of its Subsidiaries and guaranteeing the obligations of the Borrower and the Borrower’s other Subsidiaries to the extent permitted hereunder;</w:t>
      </w:r>
    </w:p>
    <w:p>
      <w:pPr>
        <w:spacing w:after="0" w:line="3" w:lineRule="exact"/>
        <w:rPr>
          <w:sz w:val="20"/>
          <w:szCs w:val="20"/>
          <w:color w:val="auto"/>
        </w:rPr>
      </w:pPr>
    </w:p>
    <w:p>
      <w:pPr>
        <w:jc w:val="both"/>
        <w:ind w:left="140" w:hanging="6"/>
        <w:spacing w:after="0" w:line="266" w:lineRule="auto"/>
        <w:tabs>
          <w:tab w:leader="none" w:pos="57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repurchases of Indebtedness through open market purchases and/or “Dutch Auctions” permitted hereunder; (xv) activities incidental to Permitted Acquisitions or similar Investments consummated by the Borrower and/or any Restricted Subsidiaries, including the formation of acquisition vehicle entities and intercompany loans and/or Investments incidental to such Permitted Acquisitions or similar Investments; (xvi) consummating any Permitted IPO Reorganization or any Permitted Tax Restructuring; (xvii) the maintenance of its legal existence (including the ability to incur and pay, as applicable, fees, costs and expenses and taxes related to such maintenance);</w:t>
      </w:r>
    </w:p>
    <w:p>
      <w:pPr>
        <w:ind w:left="140" w:hanging="6"/>
        <w:spacing w:after="0" w:line="244" w:lineRule="auto"/>
        <w:tabs>
          <w:tab w:leader="none" w:pos="707" w:val="left"/>
        </w:tabs>
        <w:numPr>
          <w:ilvl w:val="0"/>
          <w:numId w:val="380"/>
        </w:numPr>
        <w:rPr>
          <w:rFonts w:ascii="Arial" w:cs="Arial" w:eastAsia="Arial" w:hAnsi="Arial"/>
          <w:sz w:val="20"/>
          <w:szCs w:val="20"/>
          <w:color w:val="auto"/>
        </w:rPr>
      </w:pPr>
      <w:r>
        <w:rPr>
          <w:rFonts w:ascii="Arial" w:cs="Arial" w:eastAsia="Arial" w:hAnsi="Arial"/>
          <w:sz w:val="20"/>
          <w:szCs w:val="20"/>
          <w:color w:val="auto"/>
        </w:rPr>
        <w:t xml:space="preserve">any transaction expressly permitted pursuant to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7.10</w:t>
      </w:r>
      <w:r>
        <w:rPr>
          <w:rFonts w:ascii="Arial" w:cs="Arial" w:eastAsia="Arial" w:hAnsi="Arial"/>
          <w:sz w:val="20"/>
          <w:szCs w:val="20"/>
          <w:color w:val="auto"/>
        </w:rPr>
        <w:t xml:space="preserve"> and (xix) activities incidental or reasonably related to any of the foregoing; or</w:t>
      </w:r>
    </w:p>
    <w:p>
      <w:pPr>
        <w:spacing w:after="0" w:line="231" w:lineRule="exact"/>
        <w:rPr>
          <w:rFonts w:ascii="Arial" w:cs="Arial" w:eastAsia="Arial" w:hAnsi="Arial"/>
          <w:sz w:val="20"/>
          <w:szCs w:val="20"/>
          <w:color w:val="auto"/>
        </w:rPr>
      </w:pPr>
    </w:p>
    <w:p>
      <w:pPr>
        <w:jc w:val="both"/>
        <w:ind w:left="140" w:firstLine="1289"/>
        <w:spacing w:after="0" w:line="255" w:lineRule="auto"/>
        <w:tabs>
          <w:tab w:leader="none" w:pos="1951" w:val="left"/>
        </w:tabs>
        <w:numPr>
          <w:ilvl w:val="1"/>
          <w:numId w:val="380"/>
        </w:numPr>
        <w:rPr>
          <w:rFonts w:ascii="Arial" w:cs="Arial" w:eastAsia="Arial" w:hAnsi="Arial"/>
          <w:sz w:val="19"/>
          <w:szCs w:val="19"/>
          <w:color w:val="auto"/>
        </w:rPr>
      </w:pPr>
      <w:r>
        <w:rPr>
          <w:rFonts w:ascii="Arial" w:cs="Arial" w:eastAsia="Arial" w:hAnsi="Arial"/>
          <w:sz w:val="19"/>
          <w:szCs w:val="19"/>
          <w:color w:val="auto"/>
        </w:rPr>
        <w:t xml:space="preserve">consolidate or amalgamate with, or merge with or into, or convey, sell or otherwise transfer all or substantially all of its assets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exists or would result therefrom, Holdings may consolidate or amalgamate with, or merge with or into, any other Person (other than the Borrower and any of its Subsidiaries) so long as (i) Holdings is the continuing or surviving Person or (ii) if the Person formed by or surviving any such consolidation, amalgamation or merger is not Holdings, (x) (i) the successor Person expressly assumes all obligations of Holdings under this Agreement and the other Loan Documents to which Holdings is a party pursuant to a supplement hereto and/or thereto in a form reasonably satisfactory to the Administrative Agent and (ii) the successor Person will be a Person organized or existing under the laws of the jurisdiction of the Borrower or the United States of America, any State of the United States or the District of Columbia or any territory thereo, (y) the Borrower delivers a certificate of a Responsible Officer with respect to the satisfaction of the conditions set forth in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(A)(ii)</w:t>
      </w:r>
      <w:r>
        <w:rPr>
          <w:rFonts w:ascii="Arial" w:cs="Arial" w:eastAsia="Arial" w:hAnsi="Arial"/>
          <w:sz w:val="19"/>
          <w:szCs w:val="19"/>
          <w:color w:val="auto"/>
        </w:rPr>
        <w:t>, and (z) 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w:t>
      </w:r>
    </w:p>
    <w:p>
      <w:pPr>
        <w:spacing w:after="0" w:line="200" w:lineRule="exact"/>
        <w:rPr>
          <w:sz w:val="20"/>
          <w:szCs w:val="20"/>
          <w:color w:val="auto"/>
        </w:rPr>
      </w:pPr>
    </w:p>
    <w:p>
      <w:pPr>
        <w:spacing w:after="0" w:line="254"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u w:val="single" w:color="auto"/>
          <w:color w:val="auto"/>
        </w:rPr>
        <w:t>Nature of Business</w:t>
      </w:r>
      <w:r>
        <w:rPr>
          <w:rFonts w:ascii="Arial" w:cs="Arial" w:eastAsia="Arial" w:hAnsi="Arial"/>
          <w:sz w:val="20"/>
          <w:szCs w:val="20"/>
          <w:color w:val="auto"/>
        </w:rPr>
        <w:t>. Holdings and its Restricted Subsidiaries will engage only in material lines of business substantially similar to those lines of business conducted by Holdings and its Restricted Subsidiaries on the Closing Date or any business reasonably related, complementary or ancillary thereto.</w:t>
      </w:r>
    </w:p>
    <w:p>
      <w:pPr>
        <w:spacing w:after="0" w:line="226"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Amendments of Material Documents</w:t>
      </w:r>
      <w:r>
        <w:rPr>
          <w:rFonts w:ascii="Arial" w:cs="Arial" w:eastAsia="Arial" w:hAnsi="Arial"/>
          <w:sz w:val="19"/>
          <w:szCs w:val="19"/>
          <w:color w:val="auto"/>
        </w:rPr>
        <w:t xml:space="preserve">. The Borrower shall not, nor shall the Borrower permit any Loan Party to, amend or modify its organizational documents in a manner that is materially adverse to the Lenders (in their capacities as such) without obtaining the prior written consent of the Administrative Agent; provided that, for the avoidance of doubt, it is understood and agreed that the Borrower and/or any Loan Party may amend or modify its organizational documents to effect a change to its respective organizational form and/or consummate any other transaction that is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-346-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6" w:name="page477"/>
    <w:bookmarkEnd w:id="47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u w:val="single" w:color="auto"/>
          <w:color w:val="auto"/>
        </w:rPr>
        <w:t>Changes in Fiscal Year</w:t>
      </w:r>
      <w:r>
        <w:rPr>
          <w:rFonts w:ascii="Arial" w:cs="Arial" w:eastAsia="Arial" w:hAnsi="Arial"/>
          <w:sz w:val="20"/>
          <w:szCs w:val="20"/>
          <w:color w:val="auto"/>
        </w:rPr>
        <w:t xml:space="preserve">. Holdings will not permit any change to its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that Holdings may change its fiscal year end one or more times with the consent of the Administrative Agent, subject to such adjustments to this Agreement as the Borrower and Administrative Agent shall reasonably agree are necessary or appropriate in connection with such change (and the parties hereto hereby authorize the Borrower and the Administrative Agent to make any such amendments to this Agreement as they jointly deem necessary to give effect to the foregoing).</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VIII</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Events of Default and Remedies</w:t>
      </w:r>
    </w:p>
    <w:p>
      <w:pPr>
        <w:spacing w:after="0" w:line="324"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events referred to in any of</w:t>
      </w:r>
      <w:r>
        <w:rPr>
          <w:rFonts w:ascii="Arial" w:cs="Arial" w:eastAsia="Arial" w:hAnsi="Arial"/>
          <w:sz w:val="18"/>
          <w:szCs w:val="18"/>
          <w:u w:val="single" w:color="auto"/>
          <w:color w:val="auto"/>
        </w:rPr>
        <w:t xml:space="preserve"> clauses (a) </w:t>
      </w:r>
      <w:r>
        <w:rPr>
          <w:rFonts w:ascii="Arial" w:cs="Arial" w:eastAsia="Arial" w:hAnsi="Arial"/>
          <w:sz w:val="18"/>
          <w:szCs w:val="18"/>
          <w:color w:val="auto"/>
        </w:rPr>
        <w:t>through</w:t>
      </w:r>
      <w:r>
        <w:rPr>
          <w:rFonts w:ascii="Arial" w:cs="Arial" w:eastAsia="Arial" w:hAnsi="Arial"/>
          <w:sz w:val="18"/>
          <w:szCs w:val="18"/>
          <w:u w:val="single" w:color="auto"/>
          <w:color w:val="auto"/>
        </w:rPr>
        <w:t xml:space="preserve"> (j) </w:t>
      </w:r>
      <w:r>
        <w:rPr>
          <w:rFonts w:ascii="Arial" w:cs="Arial" w:eastAsia="Arial" w:hAnsi="Arial"/>
          <w:sz w:val="18"/>
          <w:szCs w:val="18"/>
          <w:color w:val="auto"/>
        </w:rPr>
        <w:t>inclusive of this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shall constitute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308" w:lineRule="exact"/>
        <w:rPr>
          <w:sz w:val="20"/>
          <w:szCs w:val="20"/>
          <w:color w:val="auto"/>
        </w:rPr>
      </w:pPr>
    </w:p>
    <w:p>
      <w:pPr>
        <w:jc w:val="both"/>
        <w:ind w:left="780" w:firstLine="650"/>
        <w:spacing w:after="0" w:line="250" w:lineRule="auto"/>
        <w:tabs>
          <w:tab w:leader="none" w:pos="1945" w:val="left"/>
        </w:tabs>
        <w:numPr>
          <w:ilvl w:val="1"/>
          <w:numId w:val="381"/>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Any Loan Party fails to pay (i) when and as required to be paid herein, any amount of principal of any Loan or (ii) within five (5) Business Days after the same becomes due, any interest on any Loan or any other amount payable hereunder or with respect to any other Loan Document; or</w:t>
      </w:r>
    </w:p>
    <w:p>
      <w:pPr>
        <w:spacing w:after="0" w:line="226" w:lineRule="exact"/>
        <w:rPr>
          <w:rFonts w:ascii="Arial" w:cs="Arial" w:eastAsia="Arial" w:hAnsi="Arial"/>
          <w:sz w:val="20"/>
          <w:szCs w:val="20"/>
          <w:color w:val="auto"/>
        </w:rPr>
      </w:pPr>
    </w:p>
    <w:p>
      <w:pPr>
        <w:jc w:val="both"/>
        <w:ind w:left="780" w:firstLine="650"/>
        <w:spacing w:after="0" w:line="245" w:lineRule="auto"/>
        <w:tabs>
          <w:tab w:leader="none" w:pos="1942" w:val="left"/>
        </w:tabs>
        <w:numPr>
          <w:ilvl w:val="1"/>
          <w:numId w:val="381"/>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Loan Party fails to perform or observe any term, covenant or agreement contained in any of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7.09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7.09</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jc w:val="both"/>
        <w:ind w:left="780" w:firstLine="2"/>
        <w:spacing w:after="0" w:line="269" w:lineRule="auto"/>
        <w:tabs>
          <w:tab w:leader="none" w:pos="129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a Default or an Event of Default in respect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shall not occur until the earlier of (x) the expiration of the fifteenth (15th) Business Day subsequent to the date the financial statements for the applicable fiscal quarter or fiscal year are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(y) the date on which the Borrower notifies the Administrative Agent that the Cure Right shall not be exercised with respect to such breach, and then shall occur only if the Cure Amount has not been received on or prior to such date and (ii) a Financial Covenant Event of Default (or in each case, under any revolving facility that constitutes a Refinancing Indebtedness thereof) shall not constitute an Event of Default with respect to any Term Loans;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and any Incremental Revolving Credit Commitments if such Incremental Revolving Lenders shall have agreed not to have the benefit of the Financial Covenant) unless and until the Required Revolving Credit Lenders have declared all amounts outstanding under the Revolving Credit Facility to be immediately due and payable and all outstanding Revolving Credit Commitments to be immediately terminated, in each case in accordance with this Agreement and such declaration has not been rescinded on or before such date (the “</w:t>
      </w:r>
      <w:r>
        <w:rPr>
          <w:rFonts w:ascii="Arial" w:cs="Arial" w:eastAsia="Arial" w:hAnsi="Arial"/>
          <w:sz w:val="18"/>
          <w:szCs w:val="18"/>
          <w:u w:val="single" w:color="auto"/>
          <w:color w:val="auto"/>
        </w:rPr>
        <w:t>Term Loan Standstill Period</w:t>
      </w:r>
      <w:r>
        <w:rPr>
          <w:rFonts w:ascii="Arial" w:cs="Arial" w:eastAsia="Arial" w:hAnsi="Arial"/>
          <w:sz w:val="18"/>
          <w:szCs w:val="18"/>
          <w:color w:val="auto"/>
        </w:rPr>
        <w:t>”); or</w:t>
      </w:r>
    </w:p>
    <w:p>
      <w:pPr>
        <w:spacing w:after="0" w:line="280" w:lineRule="exact"/>
        <w:rPr>
          <w:rFonts w:ascii="Arial" w:cs="Arial" w:eastAsia="Arial" w:hAnsi="Arial"/>
          <w:sz w:val="18"/>
          <w:szCs w:val="18"/>
          <w:color w:val="auto"/>
        </w:rPr>
      </w:pPr>
    </w:p>
    <w:p>
      <w:pPr>
        <w:jc w:val="both"/>
        <w:ind w:left="780" w:firstLine="649"/>
        <w:spacing w:after="0" w:line="257" w:lineRule="auto"/>
        <w:tabs>
          <w:tab w:leader="none" w:pos="1945" w:val="left"/>
        </w:tabs>
        <w:numPr>
          <w:ilvl w:val="1"/>
          <w:numId w:val="382"/>
        </w:numPr>
        <w:rPr>
          <w:rFonts w:ascii="Arial" w:cs="Arial" w:eastAsia="Arial" w:hAnsi="Arial"/>
          <w:sz w:val="19"/>
          <w:szCs w:val="19"/>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xml:space="preserve">. Any Loan Party fails to perform or observe any other covenant or agreement (not specified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contained in any Loan Document on its part to be performed or observed and such failure continues for thirty (30) days after receipt by the Borrower of written notice thereof by the Administrative Agent or the Required Lenders;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Administrative Agent shall not be entitled to notify the Borrower of a Default under this Section 8.01(c)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actions taken and reported by the Borrower to the Administrative Agent and the Lenders pursuant to a notice provided by the Borrower to the Administrative Agent more than two years prior to such notice of Default and no Default or Event of Default can occur as a result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two year limitation shall not apply if (i) the Administrative Agent has commenced any remedial action in respect of any such Event of Default or (ii) any</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-347-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7" w:name="page478"/>
    <w:bookmarkEnd w:id="47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Loan Party had actual knowledge of such Default or Event of Default and failed to notify to Administrative Agent as required hereby; or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-348-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8" w:name="page479"/>
    <w:bookmarkEnd w:id="47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780" w:firstLine="650"/>
        <w:spacing w:after="0" w:line="244" w:lineRule="auto"/>
        <w:tabs>
          <w:tab w:leader="none" w:pos="1943" w:val="left"/>
        </w:tabs>
        <w:numPr>
          <w:ilvl w:val="1"/>
          <w:numId w:val="38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or</w:t>
      </w:r>
    </w:p>
    <w:p>
      <w:pPr>
        <w:spacing w:after="0" w:line="221" w:lineRule="exact"/>
        <w:rPr>
          <w:rFonts w:ascii="Arial" w:cs="Arial" w:eastAsia="Arial" w:hAnsi="Arial"/>
          <w:sz w:val="20"/>
          <w:szCs w:val="20"/>
          <w:color w:val="auto"/>
        </w:rPr>
      </w:pPr>
    </w:p>
    <w:p>
      <w:pPr>
        <w:jc w:val="both"/>
        <w:ind w:left="780" w:firstLine="650"/>
        <w:spacing w:after="0" w:line="308" w:lineRule="auto"/>
        <w:tabs>
          <w:tab w:leader="none" w:pos="1941"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(B) fails to observe or perform any other agreement or condition relating to any such Indebtedness, or any other event occurs (other than (i) with respect to Indebtedness consisting of Swap Contracts, termination events or equivalent events pursuant to the terms of such Swap Contracts and (ii)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(e)</w:t>
      </w:r>
    </w:p>
    <w:p>
      <w:pPr>
        <w:spacing w:after="0" w:line="179" w:lineRule="exact"/>
        <w:rPr>
          <w:rFonts w:ascii="Arial" w:cs="Arial" w:eastAsia="Arial" w:hAnsi="Arial"/>
          <w:sz w:val="16"/>
          <w:szCs w:val="16"/>
          <w:color w:val="auto"/>
        </w:rPr>
      </w:pPr>
    </w:p>
    <w:p>
      <w:pPr>
        <w:jc w:val="both"/>
        <w:ind w:left="780" w:firstLine="2"/>
        <w:spacing w:after="0" w:line="272" w:lineRule="auto"/>
        <w:tabs>
          <w:tab w:leader="none" w:pos="1098" w:val="left"/>
        </w:tabs>
        <w:numPr>
          <w:ilvl w:val="0"/>
          <w:numId w:val="384"/>
        </w:numPr>
        <w:rPr>
          <w:rFonts w:ascii="Arial" w:cs="Arial" w:eastAsia="Arial" w:hAnsi="Arial"/>
          <w:sz w:val="18"/>
          <w:szCs w:val="18"/>
          <w:u w:val="single" w:color="auto"/>
          <w:color w:val="auto"/>
        </w:rPr>
      </w:pPr>
      <w:r>
        <w:rPr>
          <w:rFonts w:ascii="Arial" w:cs="Arial" w:eastAsia="Arial" w:hAnsi="Arial"/>
          <w:sz w:val="18"/>
          <w:szCs w:val="18"/>
          <w:color w:val="auto"/>
        </w:rPr>
        <w:t xml:space="preserve">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(x) such failure is unremedied and is not waived by the required holders of such Indebtedness and (y) for the avoidance of doubt, any event or condition set forth under this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shall not, until the expiration of any applicable grace period or the delivery of notice by the applicable holder or holders of such Indebtedness, constitute a Default or an Event of Default for purposes of this Agreement; or</w:t>
      </w:r>
    </w:p>
    <w:p>
      <w:pPr>
        <w:spacing w:after="0" w:line="210" w:lineRule="exact"/>
        <w:rPr>
          <w:rFonts w:ascii="Arial" w:cs="Arial" w:eastAsia="Arial" w:hAnsi="Arial"/>
          <w:sz w:val="18"/>
          <w:szCs w:val="18"/>
          <w:u w:val="single" w:color="auto"/>
          <w:color w:val="auto"/>
        </w:rPr>
      </w:pPr>
    </w:p>
    <w:p>
      <w:pPr>
        <w:jc w:val="both"/>
        <w:ind w:left="780" w:firstLine="650"/>
        <w:spacing w:after="0" w:line="267" w:lineRule="auto"/>
        <w:tabs>
          <w:tab w:leader="none" w:pos="1943"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Except with respect to any dissolution or liquidation of a Restricted Subsidiary expressly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in connection with the consummation of a Permitted IPO Reorganization or Permitted Tax Restructuring,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w:t>
      </w:r>
    </w:p>
    <w:p>
      <w:pPr>
        <w:spacing w:after="0" w:line="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(60) calendar days; or an order for relief is entered in any such proceeding;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-349-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79" w:name="page480"/>
    <w:bookmarkEnd w:id="47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left="6660" w:hanging="5206"/>
        <w:spacing w:after="0" w:line="275" w:lineRule="auto"/>
        <w:tabs>
          <w:tab w:leader="none" w:pos="196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Restricted Subsidiary admits in writing its inability or fails generally to pay its debts as they become due, or</w:t>
      </w:r>
    </w:p>
    <w:p>
      <w:pPr>
        <w:ind w:left="3640" w:hanging="287"/>
        <w:spacing w:after="0"/>
        <w:tabs>
          <w:tab w:leader="none" w:pos="36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any writ or warrant of attachment or execution or similar process is issued or levied against all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-350-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0" w:name="page481"/>
    <w:bookmarkEnd w:id="48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or any material part of the property of the Loan Parties, taken as a whole, and is not released, vacated or fully bonded within sixty</w:t>
      </w:r>
    </w:p>
    <w:p>
      <w:pPr>
        <w:spacing w:after="0" w:line="39" w:lineRule="exact"/>
        <w:rPr>
          <w:sz w:val="20"/>
          <w:szCs w:val="20"/>
          <w:color w:val="auto"/>
        </w:rPr>
      </w:pPr>
    </w:p>
    <w:p>
      <w:pPr>
        <w:ind w:left="1160" w:hanging="378"/>
        <w:spacing w:after="0"/>
        <w:tabs>
          <w:tab w:leader="none" w:pos="11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days after its issue or levy; or</w:t>
      </w:r>
    </w:p>
    <w:p>
      <w:pPr>
        <w:spacing w:after="0" w:line="240" w:lineRule="exact"/>
        <w:rPr>
          <w:rFonts w:ascii="Arial" w:cs="Arial" w:eastAsia="Arial" w:hAnsi="Arial"/>
          <w:sz w:val="20"/>
          <w:szCs w:val="20"/>
          <w:color w:val="auto"/>
        </w:rPr>
      </w:pPr>
    </w:p>
    <w:p>
      <w:pPr>
        <w:jc w:val="both"/>
        <w:ind w:left="780" w:firstLine="650"/>
        <w:spacing w:after="0" w:line="246" w:lineRule="auto"/>
        <w:tabs>
          <w:tab w:leader="none" w:pos="1943" w:val="left"/>
        </w:tabs>
        <w:numPr>
          <w:ilvl w:val="1"/>
          <w:numId w:val="386"/>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days after such judgment becomes final;</w:t>
      </w:r>
    </w:p>
    <w:p>
      <w:pPr>
        <w:spacing w:after="0" w:line="218" w:lineRule="exact"/>
        <w:rPr>
          <w:rFonts w:ascii="Arial" w:cs="Arial" w:eastAsia="Arial" w:hAnsi="Arial"/>
          <w:sz w:val="20"/>
          <w:szCs w:val="20"/>
          <w:color w:val="auto"/>
        </w:rPr>
      </w:pPr>
    </w:p>
    <w:p>
      <w:pPr>
        <w:jc w:val="both"/>
        <w:ind w:left="780" w:firstLine="650"/>
        <w:spacing w:after="0" w:line="255" w:lineRule="auto"/>
        <w:tabs>
          <w:tab w:leader="none" w:pos="1941" w:val="left"/>
        </w:tabs>
        <w:numPr>
          <w:ilvl w:val="1"/>
          <w:numId w:val="386"/>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xml:space="preserve">. Any material provision of any Loan Document, at any time after its execution and delivery and for any reason other than as expressly permitted hereunder or thereunder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7.05</w:t>
      </w:r>
      <w:r>
        <w:rPr>
          <w:rFonts w:ascii="Arial" w:cs="Arial" w:eastAsia="Arial" w:hAnsi="Arial"/>
          <w:sz w:val="19"/>
          <w:szCs w:val="19"/>
          <w:color w:val="auto"/>
        </w:rPr>
        <w:t>) or as a result of acts by the Administrative Agent in the sole control of the Administrative Agent or, omissions by the Administrative Agent in the sole control of the Administrative Agent or the payment in full of all the Obligations and termination of all Commitments, ceases to be in full force and effect or ceases to create a valid and perfected lien on a material portion the Collateral covered thereby other than Collateral having a fair market value not exceeding $10.0 million;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and termination of the Aggregate Commitments), or purports in writing to revoke or rescind any Collateral Document;</w:t>
      </w:r>
    </w:p>
    <w:p>
      <w:pPr>
        <w:spacing w:after="0" w:line="230" w:lineRule="exact"/>
        <w:rPr>
          <w:rFonts w:ascii="Arial" w:cs="Arial" w:eastAsia="Arial" w:hAnsi="Arial"/>
          <w:sz w:val="19"/>
          <w:szCs w:val="19"/>
          <w:color w:val="auto"/>
        </w:rPr>
      </w:pPr>
    </w:p>
    <w:p>
      <w:pPr>
        <w:ind w:left="2060" w:hanging="631"/>
        <w:spacing w:after="0"/>
        <w:tabs>
          <w:tab w:leader="none" w:pos="2060" w:val="left"/>
        </w:tabs>
        <w:numPr>
          <w:ilvl w:val="1"/>
          <w:numId w:val="386"/>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323" w:lineRule="exact"/>
        <w:rPr>
          <w:rFonts w:ascii="Arial" w:cs="Arial" w:eastAsia="Arial" w:hAnsi="Arial"/>
          <w:sz w:val="20"/>
          <w:szCs w:val="20"/>
          <w:color w:val="auto"/>
        </w:rPr>
      </w:pPr>
    </w:p>
    <w:p>
      <w:pPr>
        <w:ind w:left="780" w:right="20" w:firstLine="650"/>
        <w:spacing w:after="0" w:line="260" w:lineRule="auto"/>
        <w:tabs>
          <w:tab w:leader="none" w:pos="1941" w:val="left"/>
        </w:tabs>
        <w:numPr>
          <w:ilvl w:val="1"/>
          <w:numId w:val="386"/>
        </w:numPr>
        <w:rPr>
          <w:rFonts w:ascii="Arial" w:cs="Arial" w:eastAsia="Arial" w:hAnsi="Arial"/>
          <w:sz w:val="20"/>
          <w:szCs w:val="20"/>
          <w:color w:val="auto"/>
        </w:rPr>
      </w:pPr>
      <w:r>
        <w:rPr>
          <w:rFonts w:ascii="Arial" w:cs="Arial" w:eastAsia="Arial" w:hAnsi="Arial"/>
          <w:sz w:val="20"/>
          <w:szCs w:val="20"/>
          <w:u w:val="single" w:color="auto"/>
          <w:color w:val="auto"/>
        </w:rPr>
        <w:t>ERISA Event</w:t>
      </w:r>
      <w:r>
        <w:rPr>
          <w:rFonts w:ascii="Arial" w:cs="Arial" w:eastAsia="Arial" w:hAnsi="Arial"/>
          <w:sz w:val="20"/>
          <w:szCs w:val="20"/>
          <w:color w:val="auto"/>
        </w:rPr>
        <w:t>. An ERISA Event shall have occurred that, when taken together with all other ERISA Events that have occurred, could reasonably be expected to have a Material Adverse Effect.</w:t>
      </w:r>
    </w:p>
    <w:p>
      <w:pPr>
        <w:spacing w:after="0" w:line="217" w:lineRule="exact"/>
        <w:rPr>
          <w:sz w:val="20"/>
          <w:szCs w:val="20"/>
          <w:color w:val="auto"/>
        </w:rPr>
      </w:pPr>
    </w:p>
    <w:p>
      <w:pPr>
        <w:jc w:val="both"/>
        <w:ind w:left="140" w:firstLine="648"/>
        <w:spacing w:after="0" w:line="256" w:lineRule="auto"/>
        <w:rPr>
          <w:sz w:val="20"/>
          <w:szCs w:val="20"/>
          <w:color w:val="auto"/>
        </w:rPr>
      </w:pPr>
      <w:r>
        <w:rPr>
          <w:rFonts w:ascii="Arial" w:cs="Arial" w:eastAsia="Arial" w:hAnsi="Arial"/>
          <w:sz w:val="19"/>
          <w:szCs w:val="19"/>
          <w:color w:val="auto"/>
        </w:rPr>
        <w:t xml:space="preserve">Notwithstanding anything to the contrary contained herein, any “Default” under this Section 8.01 will not constitute an “Event of Default” until the Loan Parties do not cure such “Default” within the time period (if any) specified in the applicable clauses of this Section 8.01 after receipt of any required notice provided for therein to the extent such clauses of Section 8.01 provide for such cure periods;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Administrative Agent shall not be entitled to notify the Borrower of a Default under this Section 8.01 for actions taken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reported by the Borrower to the Administrative Agent and the Lenders pursuant to a notice provided by the Borrower to the Administrative Agent more than two years prior to such notice of Default and no Default or Event of Default can occur as a result thereof;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two year limitation shall not apply if (i) the Administrative Agent has commenced any remedial action in respect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such Event of Default or (ii) any Loan Party had actual knowledge of such Default or Event of Default and failed to notify to Administrative Agent as required hereby.</w:t>
      </w:r>
    </w:p>
    <w:p>
      <w:pPr>
        <w:spacing w:after="0" w:line="211" w:lineRule="exact"/>
        <w:rPr>
          <w:sz w:val="20"/>
          <w:szCs w:val="20"/>
          <w:color w:val="auto"/>
        </w:rPr>
      </w:pPr>
    </w:p>
    <w:p>
      <w:pPr>
        <w:jc w:val="both"/>
        <w:ind w:left="140" w:firstLine="648"/>
        <w:spacing w:after="0" w:line="274" w:lineRule="auto"/>
        <w:rPr>
          <w:sz w:val="20"/>
          <w:szCs w:val="20"/>
          <w:color w:val="auto"/>
        </w:rPr>
      </w:pPr>
      <w:r>
        <w:rPr>
          <w:rFonts w:ascii="Arial" w:cs="Arial" w:eastAsia="Arial" w:hAnsi="Arial"/>
          <w:sz w:val="18"/>
          <w:szCs w:val="18"/>
          <w:color w:val="auto"/>
        </w:rPr>
        <w:t>If any Default or Event of Default occurs due to (i) the failure by any Loan Party or Restricted Subsidiary to take any action by a specified time, such Default or Event of Default shall be deemed to have been cured at the time, if any, that the applicable Loan Party or any Restricted Subsidiary takes such action (regardless of whether taken before or after the specified time) or (ii) the taking of any action by any Loan Party or any Restricted Subsidiary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and (y) the date on which such action is unwound or otherwise modified to the extent necessary for such modified action to be permitted at such time by this Agreement</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-351-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1" w:name="page482"/>
    <w:bookmarkEnd w:id="48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 the other Loan Documents, but only so long as, in the case of each of the foregoing clauses (i) and (ii), such Event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-352-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82" w:name="page483"/>
    <w:bookmarkEnd w:id="48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3" w:lineRule="auto"/>
        <w:rPr>
          <w:sz w:val="20"/>
          <w:szCs w:val="20"/>
          <w:color w:val="auto"/>
        </w:rPr>
      </w:pPr>
      <w:r>
        <w:rPr>
          <w:rFonts w:ascii="Arial" w:cs="Arial" w:eastAsia="Arial" w:hAnsi="Arial"/>
          <w:sz w:val="19"/>
          <w:szCs w:val="19"/>
          <w:color w:val="auto"/>
        </w:rPr>
        <w:t>of Default has been cured pursuant to clause (i) or (ii), as applicable, prior to the time at which the Administrative Agent and/or the Required Lenders (as applicable) have declared that an Event of Default has occurred and the Loans have been accelerated hereunder. If any Default or Event of Default has occurred hereunder (any such Default or Event of Default, an “Initial Default”) and is subsequently cured (a “Cured Default”), any other Default or Event of Default that resulted from (i) the making or deemed making of any representation or warranty by any Loan Party or any Restricted Subsidiary or (ii) the taking of (or the failure to take) any action by any Loan Party or any Restricted Subsidiary that was prohibited (or required) hereunder solely as a result of the continuation of such Cured Default (and was not otherwise prohibited (or required) by this Agreement), in each case which subsequent Default or Event of Default would not have arisen had the Cured Default not been continuing at the time of such representation, warranty or action or inaction, shall be deemed to automatically be cured upon, and simultaneously with, the cure of the Cured Default, so long as at the time of such representation, warranty, action or inaction, no Responsible Officer of the Borrower had actual knowledge of any such Initial Default. Furthermore, any court of competent jurisdiction may (x) extend or stay any grace period prior to when any actual or alleged Default becomes an actual or alleged Event of Default or (y) stay the exercise of remedies by any Administrative Agent upon the occurrence of an actual or alleged Event of Default, in each case of clauses</w:t>
      </w:r>
    </w:p>
    <w:p>
      <w:pPr>
        <w:spacing w:after="0" w:line="5" w:lineRule="exact"/>
        <w:rPr>
          <w:sz w:val="20"/>
          <w:szCs w:val="20"/>
          <w:color w:val="auto"/>
        </w:rPr>
      </w:pPr>
    </w:p>
    <w:p>
      <w:pPr>
        <w:ind w:left="1440" w:right="5740" w:hanging="1307"/>
        <w:spacing w:after="0" w:line="667" w:lineRule="auto"/>
        <w:tabs>
          <w:tab w:leader="none" w:pos="41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and (y), in accordance with the requirements of applicable law. Section 8.02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jc w:val="both"/>
        <w:ind w:left="220" w:firstLine="1290"/>
        <w:spacing w:after="0" w:line="243" w:lineRule="auto"/>
        <w:tabs>
          <w:tab w:leader="none" w:pos="1949" w:val="left"/>
        </w:tabs>
        <w:numPr>
          <w:ilvl w:val="2"/>
          <w:numId w:val="387"/>
        </w:numPr>
        <w:rPr>
          <w:rFonts w:ascii="Arial" w:cs="Arial" w:eastAsia="Arial" w:hAnsi="Arial"/>
          <w:sz w:val="20"/>
          <w:szCs w:val="20"/>
          <w:color w:val="auto"/>
        </w:rPr>
      </w:pPr>
      <w:r>
        <w:rPr>
          <w:rFonts w:ascii="Arial" w:cs="Arial" w:eastAsia="Arial" w:hAnsi="Arial"/>
          <w:sz w:val="20"/>
          <w:szCs w:val="20"/>
          <w:color w:val="auto"/>
        </w:rPr>
        <w:t>If any Event of Default occurs and is continuing, the Administrative Agent may, and shall, at the request of the Required Lenders, take any or all of the following actions (or, if a Financial Covenant Event of Default occurs and is continuing and prior to the expiration of the Term Loan Standstill Period, if the only Events of Default then having occurred and continuing are pursuant to a Financial Covenant Event of Default, at the request of the Required Revolving Credit Lenders under the Revolving Credit Facility only, and in such case only with respect to the Revolving Credit Commitments, Revolving Credit Loans, L/C Obligations, any Letters of Credit and L/C Credit Extensions):</w:t>
      </w:r>
    </w:p>
    <w:p>
      <w:pPr>
        <w:spacing w:after="0" w:line="236" w:lineRule="exact"/>
        <w:rPr>
          <w:rFonts w:ascii="Arial" w:cs="Arial" w:eastAsia="Arial" w:hAnsi="Arial"/>
          <w:sz w:val="20"/>
          <w:szCs w:val="20"/>
          <w:color w:val="auto"/>
        </w:rPr>
      </w:pPr>
    </w:p>
    <w:p>
      <w:pPr>
        <w:ind w:left="780" w:right="20" w:firstLine="721"/>
        <w:spacing w:after="0" w:line="260" w:lineRule="auto"/>
        <w:tabs>
          <w:tab w:leader="none" w:pos="1943" w:val="left"/>
        </w:tabs>
        <w:numPr>
          <w:ilvl w:val="1"/>
          <w:numId w:val="387"/>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217" w:lineRule="exact"/>
        <w:rPr>
          <w:rFonts w:ascii="Arial" w:cs="Arial" w:eastAsia="Arial" w:hAnsi="Arial"/>
          <w:sz w:val="20"/>
          <w:szCs w:val="20"/>
          <w:color w:val="auto"/>
        </w:rPr>
      </w:pPr>
    </w:p>
    <w:p>
      <w:pPr>
        <w:jc w:val="both"/>
        <w:ind w:left="780" w:firstLine="666"/>
        <w:spacing w:after="0" w:line="269" w:lineRule="auto"/>
        <w:tabs>
          <w:tab w:leader="none" w:pos="1943" w:val="left"/>
        </w:tabs>
        <w:numPr>
          <w:ilvl w:val="1"/>
          <w:numId w:val="387"/>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96" w:lineRule="exact"/>
        <w:rPr>
          <w:rFonts w:ascii="Arial" w:cs="Arial" w:eastAsia="Arial" w:hAnsi="Arial"/>
          <w:sz w:val="19"/>
          <w:szCs w:val="19"/>
          <w:color w:val="auto"/>
        </w:rPr>
      </w:pPr>
    </w:p>
    <w:p>
      <w:pPr>
        <w:ind w:left="780" w:right="440" w:firstLine="610"/>
        <w:spacing w:after="0" w:line="260" w:lineRule="auto"/>
        <w:tabs>
          <w:tab w:leader="none" w:pos="1942" w:val="left"/>
        </w:tabs>
        <w:numPr>
          <w:ilvl w:val="1"/>
          <w:numId w:val="387"/>
        </w:numPr>
        <w:rPr>
          <w:rFonts w:ascii="Arial" w:cs="Arial" w:eastAsia="Arial" w:hAnsi="Arial"/>
          <w:sz w:val="20"/>
          <w:szCs w:val="20"/>
          <w:color w:val="auto"/>
        </w:rPr>
      </w:pPr>
      <w:r>
        <w:rPr>
          <w:rFonts w:ascii="Arial" w:cs="Arial" w:eastAsia="Arial" w:hAnsi="Arial"/>
          <w:sz w:val="20"/>
          <w:szCs w:val="20"/>
          <w:color w:val="auto"/>
        </w:rPr>
        <w:t>require that the Borrower Cash Collateralizes the L/C Obligations (in an amount equal to the then Outstanding Amount thereof); and</w:t>
      </w:r>
    </w:p>
    <w:p>
      <w:pPr>
        <w:spacing w:after="0" w:line="217" w:lineRule="exact"/>
        <w:rPr>
          <w:rFonts w:ascii="Arial" w:cs="Arial" w:eastAsia="Arial" w:hAnsi="Arial"/>
          <w:sz w:val="20"/>
          <w:szCs w:val="20"/>
          <w:color w:val="auto"/>
        </w:rPr>
      </w:pPr>
    </w:p>
    <w:p>
      <w:pPr>
        <w:ind w:left="780" w:right="240" w:firstLine="622"/>
        <w:spacing w:after="0" w:line="260" w:lineRule="auto"/>
        <w:tabs>
          <w:tab w:leader="none" w:pos="1943" w:val="left"/>
        </w:tabs>
        <w:numPr>
          <w:ilvl w:val="1"/>
          <w:numId w:val="387"/>
        </w:numPr>
        <w:rPr>
          <w:rFonts w:ascii="Arial" w:cs="Arial" w:eastAsia="Arial" w:hAnsi="Arial"/>
          <w:sz w:val="20"/>
          <w:szCs w:val="20"/>
          <w:color w:val="auto"/>
        </w:rPr>
      </w:pPr>
      <w:r>
        <w:rPr>
          <w:rFonts w:ascii="Arial" w:cs="Arial" w:eastAsia="Arial" w:hAnsi="Arial"/>
          <w:sz w:val="20"/>
          <w:szCs w:val="20"/>
          <w:color w:val="181818"/>
        </w:rPr>
        <w:t xml:space="preserve">exercise </w:t>
      </w:r>
      <w:r>
        <w:rPr>
          <w:rFonts w:ascii="Arial" w:cs="Arial" w:eastAsia="Arial" w:hAnsi="Arial"/>
          <w:sz w:val="20"/>
          <w:szCs w:val="20"/>
          <w:color w:val="000000"/>
        </w:rPr>
        <w:t>on behalf of itself and the Lenders all rights and remedies available to it and the Lenders under the Loan</w:t>
      </w:r>
      <w:r>
        <w:rPr>
          <w:rFonts w:ascii="Arial" w:cs="Arial" w:eastAsia="Arial" w:hAnsi="Arial"/>
          <w:sz w:val="20"/>
          <w:szCs w:val="20"/>
          <w:color w:val="181818"/>
        </w:rPr>
        <w:t xml:space="preserve"> </w:t>
      </w:r>
      <w:r>
        <w:rPr>
          <w:rFonts w:ascii="Arial" w:cs="Arial" w:eastAsia="Arial" w:hAnsi="Arial"/>
          <w:sz w:val="20"/>
          <w:szCs w:val="20"/>
          <w:color w:val="000000"/>
        </w:rPr>
        <w:t>Documents or applicable Law;</w:t>
      </w:r>
    </w:p>
    <w:p>
      <w:pPr>
        <w:spacing w:after="0" w:line="217" w:lineRule="exact"/>
        <w:rPr>
          <w:sz w:val="20"/>
          <w:szCs w:val="20"/>
          <w:color w:val="auto"/>
        </w:rPr>
      </w:pPr>
    </w:p>
    <w:p>
      <w:pPr>
        <w:jc w:val="both"/>
        <w:ind w:left="140"/>
        <w:spacing w:after="0" w:line="29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the occurrence of an Event of Default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the obligation of each Lender to make Loans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the L/C Issuer to make L/C Credit Extensions shall automatically terminate, the unpaid principal amount of all outstanding Loans and all interest and other amounts as aforesaid shall automatically become due and payable, and the obligation of the Borrower to</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-353-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3" w:name="page484"/>
    <w:bookmarkEnd w:id="48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Cash Collateralize the L/C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-354-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4" w:name="page485"/>
    <w:bookmarkEnd w:id="48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20" w:firstLine="1296"/>
        <w:spacing w:after="0" w:line="276"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Exclusion of Immaterial Subsidiaries</w:t>
      </w:r>
      <w:r>
        <w:rPr>
          <w:rFonts w:ascii="Arial" w:cs="Arial" w:eastAsia="Arial" w:hAnsi="Arial"/>
          <w:sz w:val="18"/>
          <w:szCs w:val="18"/>
          <w:color w:val="auto"/>
        </w:rPr>
        <w:t xml:space="preserve">. Solely for the purpose of determining whether a Default has occurred under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8.01</w:t>
      </w:r>
      <w:r>
        <w:rPr>
          <w:rFonts w:ascii="Arial" w:cs="Arial" w:eastAsia="Arial" w:hAnsi="Arial"/>
          <w:sz w:val="18"/>
          <w:szCs w:val="18"/>
          <w:color w:val="auto"/>
        </w:rPr>
        <w:t>, any reference in any such clause to any Restricted Subsidiary or Loan Party shall be deemed not to include any Subsidiary that is an Immaterial Subsidiary or at such time could, upon designation by the Borrower, become an Immaterial Subsidiary affected by any event or circumstances referred to in any such clause unless the Consolidated EBITDA of such Subsidiary together with the Consolidated EBITDA of all other Subsidiaries affected by such event or circumstance referred to in such clause, shall exceed 5.0% of the Consolidated EBITDA of Holdings and its Restricted Subsidiaries.</w:t>
      </w:r>
    </w:p>
    <w:p>
      <w:pPr>
        <w:spacing w:after="0" w:line="205" w:lineRule="exact"/>
        <w:rPr>
          <w:sz w:val="20"/>
          <w:szCs w:val="20"/>
          <w:color w:val="auto"/>
        </w:rPr>
      </w:pPr>
    </w:p>
    <w:p>
      <w:pPr>
        <w:jc w:val="both"/>
        <w:ind w:left="140" w:firstLine="1296"/>
        <w:spacing w:after="0" w:line="243"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Application of Funds</w:t>
      </w:r>
      <w:r>
        <w:rPr>
          <w:rFonts w:ascii="Arial" w:cs="Arial" w:eastAsia="Arial" w:hAnsi="Arial"/>
          <w:sz w:val="20"/>
          <w:szCs w:val="20"/>
          <w:color w:val="auto"/>
        </w:rPr>
        <w:t xml:space="preserve">. If the circumstances described in </w:t>
      </w:r>
      <w:r>
        <w:rPr>
          <w:rFonts w:ascii="Arial" w:cs="Arial" w:eastAsia="Arial" w:hAnsi="Arial"/>
          <w:sz w:val="20"/>
          <w:szCs w:val="20"/>
          <w:u w:val="single" w:color="auto"/>
          <w:color w:val="auto"/>
        </w:rPr>
        <w:t>Section 2.12(g</w:t>
      </w:r>
      <w:r>
        <w:rPr>
          <w:rFonts w:ascii="Arial" w:cs="Arial" w:eastAsia="Arial" w:hAnsi="Arial"/>
          <w:sz w:val="20"/>
          <w:szCs w:val="20"/>
          <w:color w:val="auto"/>
        </w:rPr>
        <w:t xml:space="preserve">) have occurred, or 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including in any bankruptcy or insolvency proceeding, any amounts received on account of the Secured Obligations (and proceeds of Collateral) shall be applied by the Administrative Agent, subject to any Customary Intercreditor Agreement then in effect, in each case, in the following order:</w:t>
      </w:r>
    </w:p>
    <w:p>
      <w:pPr>
        <w:spacing w:after="0" w:line="223" w:lineRule="exact"/>
        <w:rPr>
          <w:sz w:val="20"/>
          <w:szCs w:val="20"/>
          <w:color w:val="auto"/>
        </w:rPr>
      </w:pPr>
    </w:p>
    <w:p>
      <w:pPr>
        <w:jc w:val="both"/>
        <w:ind w:left="780" w:right="20" w:firstLine="648"/>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Secured Obligations constituting fees, indemnities, expenses and other amounts (other than principal and interest, but including Attorney Costs payable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payable to each Agent in its capacity as such;</w:t>
      </w:r>
    </w:p>
    <w:p>
      <w:pPr>
        <w:spacing w:after="0" w:line="226" w:lineRule="exact"/>
        <w:rPr>
          <w:sz w:val="20"/>
          <w:szCs w:val="20"/>
          <w:color w:val="auto"/>
        </w:rPr>
      </w:pPr>
    </w:p>
    <w:p>
      <w:pPr>
        <w:jc w:val="both"/>
        <w:ind w:left="780" w:firstLine="648"/>
        <w:spacing w:after="0" w:line="26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Secured Obligations constituting fees, indemnities and other amounts (other than principal, interest, and obligations under Secured Hedge Agreements and Secured Cash Management Obligations) payable to the Lenders (including Attorney Costs payable under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amounts described in this </w:t>
      </w:r>
      <w:r>
        <w:rPr>
          <w:rFonts w:ascii="Arial" w:cs="Arial" w:eastAsia="Arial" w:hAnsi="Arial"/>
          <w:sz w:val="19"/>
          <w:szCs w:val="19"/>
          <w:u w:val="single" w:color="auto"/>
          <w:color w:val="auto"/>
        </w:rPr>
        <w:t>clause Second</w:t>
      </w:r>
      <w:r>
        <w:rPr>
          <w:rFonts w:ascii="Arial" w:cs="Arial" w:eastAsia="Arial" w:hAnsi="Arial"/>
          <w:sz w:val="19"/>
          <w:szCs w:val="19"/>
          <w:color w:val="auto"/>
        </w:rPr>
        <w:t xml:space="preserve"> payable to them;</w:t>
      </w:r>
    </w:p>
    <w:p>
      <w:pPr>
        <w:spacing w:after="0" w:line="284" w:lineRule="exact"/>
        <w:rPr>
          <w:sz w:val="20"/>
          <w:szCs w:val="20"/>
          <w:color w:val="auto"/>
        </w:rPr>
      </w:pPr>
    </w:p>
    <w:p>
      <w:pPr>
        <w:jc w:val="both"/>
        <w:ind w:left="780" w:firstLine="648"/>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Secured Obligations constituting accrued and unpaid interest (including, but not limited to, post-petition interest), ratably among the Lenders in proportion to the respective amounts described in this </w:t>
      </w:r>
      <w:r>
        <w:rPr>
          <w:rFonts w:ascii="Arial" w:cs="Arial" w:eastAsia="Arial" w:hAnsi="Arial"/>
          <w:sz w:val="20"/>
          <w:szCs w:val="20"/>
          <w:u w:val="single" w:color="auto"/>
          <w:color w:val="auto"/>
        </w:rPr>
        <w:t>clause Third</w:t>
      </w:r>
      <w:r>
        <w:rPr>
          <w:rFonts w:ascii="Arial" w:cs="Arial" w:eastAsia="Arial" w:hAnsi="Arial"/>
          <w:sz w:val="20"/>
          <w:szCs w:val="20"/>
          <w:color w:val="auto"/>
        </w:rPr>
        <w:t xml:space="preserve"> payable to them;</w:t>
      </w:r>
    </w:p>
    <w:p>
      <w:pPr>
        <w:spacing w:after="0" w:line="294" w:lineRule="exact"/>
        <w:rPr>
          <w:sz w:val="20"/>
          <w:szCs w:val="20"/>
          <w:color w:val="auto"/>
        </w:rPr>
      </w:pPr>
    </w:p>
    <w:p>
      <w:pPr>
        <w:jc w:val="both"/>
        <w:ind w:left="780" w:firstLine="648"/>
        <w:spacing w:after="0" w:line="260"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Secured Obligations constituting unpaid principal, Unreimbursed Amounts or face amounts of the Revolving Credit Loans, L/C Borrowings and Swap Termination Value under Secured Hedge Agreements and Secured Cash Management Obligations and for the account of the L/C Issuers, to Cash Collateralize that portion of L/C Obligations comprised of the aggregate undrawn amount of Letters of Credit, ratably among the Secured Parties in proportion to the respective amounts described in this </w:t>
      </w:r>
      <w:r>
        <w:rPr>
          <w:rFonts w:ascii="Arial" w:cs="Arial" w:eastAsia="Arial" w:hAnsi="Arial"/>
          <w:sz w:val="19"/>
          <w:szCs w:val="19"/>
          <w:u w:val="single" w:color="auto"/>
          <w:color w:val="auto"/>
        </w:rPr>
        <w:t>clause Fourth</w:t>
      </w:r>
      <w:r>
        <w:rPr>
          <w:rFonts w:ascii="Arial" w:cs="Arial" w:eastAsia="Arial" w:hAnsi="Arial"/>
          <w:sz w:val="19"/>
          <w:szCs w:val="19"/>
          <w:color w:val="auto"/>
        </w:rPr>
        <w:t xml:space="preserve"> held by them;</w:t>
      </w:r>
    </w:p>
    <w:p>
      <w:pPr>
        <w:spacing w:after="0" w:line="288" w:lineRule="exact"/>
        <w:rPr>
          <w:sz w:val="20"/>
          <w:szCs w:val="20"/>
          <w:color w:val="auto"/>
        </w:rPr>
      </w:pPr>
    </w:p>
    <w:p>
      <w:pPr>
        <w:jc w:val="both"/>
        <w:ind w:left="780" w:right="20" w:firstLine="648"/>
        <w:spacing w:after="0" w:line="250"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of all other Secured Obligations that are due and payable to the Administrative Agent and the other Secured Parties on such date, ratably based upon the respective aggregate amounts of all such Secured Obligations owing to the Administrative Agent and the other Secured Parties on such date; and</w:t>
      </w:r>
    </w:p>
    <w:p>
      <w:pPr>
        <w:spacing w:after="0" w:line="226" w:lineRule="exact"/>
        <w:rPr>
          <w:sz w:val="20"/>
          <w:szCs w:val="20"/>
          <w:color w:val="auto"/>
        </w:rPr>
      </w:pPr>
    </w:p>
    <w:p>
      <w:pPr>
        <w:jc w:val="both"/>
        <w:ind w:left="780" w:right="2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Secured Obligations have been paid in full, to the Borrower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-355-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5" w:name="page486"/>
    <w:bookmarkEnd w:id="48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amounts used to Cash Collateralize the aggregate undrawn amount of Letters of Credit pursuant to </w:t>
      </w:r>
      <w:r>
        <w:rPr>
          <w:rFonts w:ascii="Arial" w:cs="Arial" w:eastAsia="Arial" w:hAnsi="Arial"/>
          <w:sz w:val="20"/>
          <w:szCs w:val="20"/>
          <w:u w:val="single" w:color="auto"/>
          <w:color w:val="auto"/>
        </w:rPr>
        <w:t>clause Fourth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-356-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6" w:name="page487"/>
    <w:bookmarkEnd w:id="48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Obligations, if any, in the order set forth above and, if no Secured Obligations remain outstanding, to the Borrower.</w:t>
      </w:r>
    </w:p>
    <w:p>
      <w:pPr>
        <w:spacing w:after="0" w:line="256"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 xml:space="preserve">Notwithstanding the foregoing, (a) amounts received from the Borrower or any Guarantor that is not a “Eligible Contract Participant” (as defined in the Commodity Exchange Act) shall not be applied to the obligations that are Excluded Swap Obligations (it being understood, that in the event that any amount is applied to Secured Obligations other than Excluded Swap Obligations as a result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to the extent permitted by applicable law, the Administrative Agent shall make such adjustments as it determines are appropriate to distributions pursuant to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above from amounts received from “Eligible Contract Participants” to ensure, as nearly as possible, that the proportional aggregate recoveries with respect to obligations described in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above by the holders of any Excluded Swap Obligations are the same as the proportional aggregate recoveries with respect to other obligations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above) and (b) Secured Cash Management Obligations and Obligations under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Each Cash Management Bank and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99"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8.05</w:t>
      </w:r>
      <w:r>
        <w:rPr>
          <w:sz w:val="20"/>
          <w:szCs w:val="20"/>
          <w:color w:val="auto"/>
        </w:rPr>
        <w:tab/>
      </w:r>
      <w:r>
        <w:rPr>
          <w:rFonts w:ascii="Arial" w:cs="Arial" w:eastAsia="Arial" w:hAnsi="Arial"/>
          <w:sz w:val="18"/>
          <w:szCs w:val="18"/>
          <w:u w:val="single" w:color="auto"/>
          <w:color w:val="auto"/>
        </w:rPr>
        <w:t>Permitted Holders’ Right to Cure</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69" w:lineRule="auto"/>
        <w:tabs>
          <w:tab w:leader="none" w:pos="1948" w:val="left"/>
        </w:tabs>
        <w:numPr>
          <w:ilvl w:val="1"/>
          <w:numId w:val="38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8.01(b)</w:t>
      </w:r>
      <w:r>
        <w:rPr>
          <w:rFonts w:ascii="Arial" w:cs="Arial" w:eastAsia="Arial" w:hAnsi="Arial"/>
          <w:sz w:val="18"/>
          <w:szCs w:val="18"/>
          <w:color w:val="auto"/>
        </w:rPr>
        <w:t>, in the event that Holdings fails to comply with the requirement of the Financial Covenant as of the last day of the any Test Period, any of the Permitted Holders shall have the right, during the period beginning at the start of any fiscal quarter in which Holdings determines that a breach of the Financial Covenant may occur, until the expiration of the fifteenth Business Day (the “</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after the date on which financial statements with respect to the applicable Test Period in which the Financial Covenant is being measured are required to be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to make a direct or indirect equity investment in Holdings in cash in the form of common Capital Stock (or other Qualified Capital Stock reasonably acceptable to the Administrative Agent), which proceeds shall be contributed to the Borrower (the “</w:t>
      </w:r>
      <w:r>
        <w:rPr>
          <w:rFonts w:ascii="Arial" w:cs="Arial" w:eastAsia="Arial" w:hAnsi="Arial"/>
          <w:sz w:val="18"/>
          <w:szCs w:val="18"/>
          <w:u w:val="single" w:color="auto"/>
          <w:color w:val="auto"/>
        </w:rPr>
        <w:t>Cure Right</w:t>
      </w:r>
      <w:r>
        <w:rPr>
          <w:rFonts w:ascii="Arial" w:cs="Arial" w:eastAsia="Arial" w:hAnsi="Arial"/>
          <w:sz w:val="18"/>
          <w:szCs w:val="18"/>
          <w:color w:val="auto"/>
        </w:rPr>
        <w:t>”), and upon the receipt by the Borrower of Net Cash Proceeds pursuant to the exercise of the Cure Right (the “</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the Financial Covenant shall be recalculated, giving effect to a pro forma increase to Consolidated EBITDA for such Test Period in an amount equal to such Cure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pro forma adjustment to Consolidated EBITDA shall be given solely for the purpose of determining the existence of a Default or an Event of Default under the Financial Covenant with respect to any Test Period that includes the fiscal quarter for which such Cure Right was exercised and not for any other purpose under any Loan Document (including for purposes of determining pricing, mandatory prepayments and the availability or amount permitted pursuant to any covenant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for the quarter with respect to which such Cure Right was exercised and (y) there shall be no reduction in Indebtedness in connection with any Cure Amounts for determining compliance with Section 7.09 and no Cure Amounts will reduce (or count towards) the Consolidated First Lien Secured Leverage Ratio, Consolidated Total Senior Secured Leverage Ratio or the Consolidated Total Leverage Ratio for purposes of any calculation thereof for the fiscal quarter with respect to which such Cure Right was exercised.</w:t>
      </w:r>
    </w:p>
    <w:p>
      <w:pPr>
        <w:spacing w:after="0" w:line="214" w:lineRule="exact"/>
        <w:rPr>
          <w:rFonts w:ascii="Arial" w:cs="Arial" w:eastAsia="Arial" w:hAnsi="Arial"/>
          <w:sz w:val="18"/>
          <w:szCs w:val="18"/>
          <w:color w:val="auto"/>
        </w:rPr>
      </w:pPr>
    </w:p>
    <w:p>
      <w:pPr>
        <w:ind w:left="2160" w:hanging="650"/>
        <w:spacing w:after="0"/>
        <w:tabs>
          <w:tab w:leader="none" w:pos="216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 xml:space="preserve">If, after the exercise of the Cure Right and the recalculations pursuant to </w:t>
      </w:r>
      <w:r>
        <w:rPr>
          <w:rFonts w:ascii="Arial" w:cs="Arial" w:eastAsia="Arial" w:hAnsi="Arial"/>
          <w:sz w:val="20"/>
          <w:szCs w:val="20"/>
          <w:u w:val="single" w:color="auto"/>
          <w:color w:val="auto"/>
        </w:rPr>
        <w:t>clause</w:t>
      </w:r>
    </w:p>
    <w:p>
      <w:pPr>
        <w:spacing w:after="0" w:line="15" w:lineRule="exact"/>
        <w:rPr>
          <w:rFonts w:ascii="Arial" w:cs="Arial" w:eastAsia="Arial" w:hAnsi="Arial"/>
          <w:sz w:val="20"/>
          <w:szCs w:val="20"/>
          <w:color w:val="auto"/>
        </w:rPr>
      </w:pPr>
    </w:p>
    <w:p>
      <w:pPr>
        <w:ind w:left="220" w:hanging="5"/>
        <w:spacing w:after="0" w:line="244" w:lineRule="auto"/>
        <w:tabs>
          <w:tab w:leader="none" w:pos="656" w:val="left"/>
        </w:tabs>
        <w:numPr>
          <w:ilvl w:val="0"/>
          <w:numId w:val="389"/>
        </w:numPr>
        <w:rPr>
          <w:rFonts w:ascii="Arial" w:cs="Arial" w:eastAsia="Arial" w:hAnsi="Arial"/>
          <w:sz w:val="20"/>
          <w:szCs w:val="20"/>
          <w:u w:val="single" w:color="auto"/>
          <w:color w:val="auto"/>
        </w:rPr>
      </w:pPr>
      <w:r>
        <w:rPr>
          <w:rFonts w:ascii="Arial" w:cs="Arial" w:eastAsia="Arial" w:hAnsi="Arial"/>
          <w:sz w:val="20"/>
          <w:szCs w:val="20"/>
          <w:color w:val="auto"/>
        </w:rPr>
        <w:t xml:space="preserve">above, the Borrower shall then be in compliance with the requirements of the Financial Covenant during such Test Period (including for purposes of </w:t>
      </w:r>
      <w:r>
        <w:rPr>
          <w:rFonts w:ascii="Arial" w:cs="Arial" w:eastAsia="Arial" w:hAnsi="Arial"/>
          <w:sz w:val="20"/>
          <w:szCs w:val="20"/>
          <w:u w:val="single" w:color="auto"/>
          <w:color w:val="auto"/>
        </w:rPr>
        <w:t>Section 4.02</w:t>
      </w:r>
      <w:r>
        <w:rPr>
          <w:rFonts w:ascii="Arial" w:cs="Arial" w:eastAsia="Arial" w:hAnsi="Arial"/>
          <w:sz w:val="20"/>
          <w:szCs w:val="20"/>
          <w:color w:val="auto"/>
        </w:rPr>
        <w:t>), Holdings shall be deemed to have</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-357-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7" w:name="page488"/>
    <w:bookmarkEnd w:id="48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satisfied the requirements of the Financial Covenant as of the relevant date of determination with the same effect as though there had been no failure to comply therewith at such date, and the applicable Default or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-358-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8" w:name="page489"/>
    <w:bookmarkEnd w:id="48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63" w:lineRule="auto"/>
        <w:rPr>
          <w:sz w:val="20"/>
          <w:szCs w:val="20"/>
          <w:color w:val="auto"/>
        </w:rPr>
      </w:pPr>
      <w:r>
        <w:rPr>
          <w:rFonts w:ascii="Arial" w:cs="Arial" w:eastAsia="Arial" w:hAnsi="Arial"/>
          <w:sz w:val="19"/>
          <w:szCs w:val="19"/>
          <w:color w:val="auto"/>
        </w:rPr>
        <w:t xml:space="preserve">Event of Default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that had occurred shall be deemed cured;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Cure Right may be exercised on no more than five (5) occasions, (ii) in each four consecutive fiscal quarter period, there shall be at least two fiscal quarters in respect of which no Cure Right is exercised, and (iii) with respect to any exercise of the Cure Right, the Cure Amount shall not be given effect in an amount greater than the amount required to cause Holdings to be in compliance with the Financial Covenant.</w:t>
      </w:r>
    </w:p>
    <w:p>
      <w:pPr>
        <w:spacing w:after="0" w:line="217" w:lineRule="exact"/>
        <w:rPr>
          <w:sz w:val="20"/>
          <w:szCs w:val="20"/>
          <w:color w:val="auto"/>
        </w:rPr>
      </w:pPr>
    </w:p>
    <w:p>
      <w:pPr>
        <w:jc w:val="both"/>
        <w:ind w:left="220"/>
        <w:spacing w:after="0" w:line="260" w:lineRule="auto"/>
        <w:rPr>
          <w:sz w:val="20"/>
          <w:szCs w:val="20"/>
          <w:color w:val="auto"/>
        </w:rPr>
      </w:pPr>
      <w:r>
        <w:rPr>
          <w:rFonts w:ascii="Arial" w:cs="Arial" w:eastAsia="Arial" w:hAnsi="Arial"/>
          <w:sz w:val="19"/>
          <w:szCs w:val="19"/>
          <w:color w:val="auto"/>
        </w:rPr>
        <w:t xml:space="preserve">Notwithstanding anything herein to the contrary, prior to the expiration of the Cure Period (x) the Lenders shall not be permitted to exercise any rights then available as a result of an Event of Default under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on the basis of a breach of the Financial Covenant so as to enable Holdings to consummate its Cure Rights as permitted under this </w:t>
      </w:r>
      <w:r>
        <w:rPr>
          <w:rFonts w:ascii="Arial" w:cs="Arial" w:eastAsia="Arial" w:hAnsi="Arial"/>
          <w:sz w:val="19"/>
          <w:szCs w:val="19"/>
          <w:u w:val="single" w:color="auto"/>
          <w:color w:val="auto"/>
        </w:rPr>
        <w:t>Section 8.05(c)</w:t>
      </w:r>
      <w:r>
        <w:rPr>
          <w:rFonts w:ascii="Arial" w:cs="Arial" w:eastAsia="Arial" w:hAnsi="Arial"/>
          <w:sz w:val="19"/>
          <w:szCs w:val="19"/>
          <w:color w:val="auto"/>
        </w:rPr>
        <w:t xml:space="preserve"> and (y) the Lenders shall not be required to make any Credit Extension, unless and until Holdings has received the Cure Amount required to cause Holdings to be in compliance with the Financial Covenant or all existing Events of Default are waived or cured</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IX</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Administrative Agent and Other Agents</w:t>
      </w:r>
    </w:p>
    <w:p>
      <w:pPr>
        <w:spacing w:after="0" w:line="33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Appointment and Authorization of Agents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186"/>
        <w:spacing w:after="0" w:line="269" w:lineRule="auto"/>
        <w:tabs>
          <w:tab w:leader="none" w:pos="194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Without limiting the generality of the foregoing, the Lenders hereby expressly authorize the Collateral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spacing w:after="0" w:line="221" w:lineRule="exact"/>
        <w:rPr>
          <w:rFonts w:ascii="Arial" w:cs="Arial" w:eastAsia="Arial" w:hAnsi="Arial"/>
          <w:sz w:val="18"/>
          <w:szCs w:val="18"/>
          <w:color w:val="auto"/>
        </w:rPr>
      </w:pPr>
    </w:p>
    <w:p>
      <w:pPr>
        <w:jc w:val="both"/>
        <w:ind w:left="220" w:firstLine="1131"/>
        <w:spacing w:after="0" w:line="259" w:lineRule="auto"/>
        <w:tabs>
          <w:tab w:leader="none" w:pos="1948" w:val="left"/>
        </w:tabs>
        <w:numPr>
          <w:ilvl w:val="0"/>
          <w:numId w:val="390"/>
        </w:numPr>
        <w:rPr>
          <w:rFonts w:ascii="Arial" w:cs="Arial" w:eastAsia="Arial" w:hAnsi="Arial"/>
          <w:sz w:val="19"/>
          <w:szCs w:val="19"/>
          <w:color w:val="auto"/>
        </w:rPr>
      </w:pPr>
      <w:r>
        <w:rPr>
          <w:rFonts w:ascii="Arial" w:cs="Arial" w:eastAsia="Arial" w:hAnsi="Arial"/>
          <w:sz w:val="19"/>
          <w:szCs w:val="19"/>
          <w:color w:val="auto"/>
        </w:rPr>
        <w:t xml:space="preserve">Each L/C Issuer shall act on behalf of the Lenders with respect to any Letters of Credit issued by it and the documents associated therewith, and each such L/C Issuer shall have all of the benefits and immunities (i) provided to the Agents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in the definition of “Agent-Related Person” included such L/C Issuer with respect to such acts or omissions, and (ii) as additionally provided herein with respect to such L/C Issuer.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-359-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89" w:name="page490"/>
    <w:bookmarkEnd w:id="48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20" w:firstLine="1076"/>
        <w:spacing w:after="0" w:line="250" w:lineRule="auto"/>
        <w:tabs>
          <w:tab w:leader="none" w:pos="1948"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The Administrative Agent shall also act as the “collateral agent” under the Loan Documents, and each of the Lenders (in its capacities as a Lender, L/C Issuer (if applicable) and a potential Hedge Bank or Cash Management Bank) hereby irrevocably appoints and authorizes the Administrative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-360-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0" w:name="page491"/>
    <w:bookmarkEnd w:id="49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313" w:lineRule="auto"/>
        <w:rPr>
          <w:sz w:val="20"/>
          <w:szCs w:val="20"/>
          <w:color w:val="auto"/>
        </w:rPr>
      </w:pPr>
      <w:r>
        <w:rPr>
          <w:rFonts w:ascii="Arial" w:cs="Arial" w:eastAsia="Arial" w:hAnsi="Arial"/>
          <w:sz w:val="16"/>
          <w:szCs w:val="16"/>
          <w:color w:val="auto"/>
        </w:rPr>
        <w:t xml:space="preserve">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 in-fact appointed by the Administrative Agent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9.07</w:t>
      </w:r>
      <w:r>
        <w:rPr>
          <w:rFonts w:ascii="Arial" w:cs="Arial" w:eastAsia="Arial" w:hAnsi="Arial"/>
          <w:sz w:val="16"/>
          <w:szCs w:val="16"/>
          <w:color w:val="auto"/>
        </w:rPr>
        <w:t>, as though such co- 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13"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(including without limitation J.P. Morgan Europe Limited),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spacing w:after="0" w:line="212" w:lineRule="exact"/>
        <w:rPr>
          <w:sz w:val="20"/>
          <w:szCs w:val="20"/>
          <w:color w:val="auto"/>
        </w:rPr>
      </w:pPr>
    </w:p>
    <w:p>
      <w:pPr>
        <w:jc w:val="both"/>
        <w:ind w:left="140" w:firstLine="1296"/>
        <w:spacing w:after="0" w:line="26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xml:space="preserve">.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the Collateral Documents, or the satisfaction of any condition set forth in Article IV or elsewhere herein, other than to confirm receipt of items expressly required to be delivered to the Administrative Agent,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-361-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1" w:name="page492"/>
    <w:bookmarkEnd w:id="49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herein or in the other Loan Documents), or in the absence of its own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-362-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92" w:name="page493"/>
    <w:bookmarkEnd w:id="49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tabs>
          <w:tab w:leader="none" w:pos="260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u w:val="single" w:color="auto"/>
          <w:color w:val="auto"/>
        </w:rPr>
        <w:t>Reliance by Agents and Lead Arrangers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0"/>
        <w:spacing w:after="0" w:line="255" w:lineRule="auto"/>
        <w:tabs>
          <w:tab w:leader="none" w:pos="1952" w:val="left"/>
        </w:tabs>
        <w:numPr>
          <w:ilvl w:val="0"/>
          <w:numId w:val="392"/>
        </w:numPr>
        <w:rPr>
          <w:rFonts w:ascii="Arial" w:cs="Arial" w:eastAsia="Arial" w:hAnsi="Arial"/>
          <w:sz w:val="19"/>
          <w:szCs w:val="19"/>
          <w:color w:val="auto"/>
        </w:rPr>
      </w:pPr>
      <w:r>
        <w:rPr>
          <w:rFonts w:ascii="Arial" w:cs="Arial" w:eastAsia="Arial" w:hAnsi="Arial"/>
          <w:sz w:val="19"/>
          <w:szCs w:val="19"/>
          <w:color w:val="auto"/>
        </w:rPr>
        <w:t>Each Agent and Lead Arranger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or Lead Arranger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224" w:lineRule="exact"/>
        <w:rPr>
          <w:rFonts w:ascii="Arial" w:cs="Arial" w:eastAsia="Arial" w:hAnsi="Arial"/>
          <w:sz w:val="19"/>
          <w:szCs w:val="19"/>
          <w:color w:val="auto"/>
        </w:rPr>
      </w:pPr>
    </w:p>
    <w:p>
      <w:pPr>
        <w:jc w:val="both"/>
        <w:ind w:left="220" w:firstLine="1291"/>
        <w:spacing w:after="0" w:line="282" w:lineRule="auto"/>
        <w:tabs>
          <w:tab w:leader="none" w:pos="194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 Administrative Agent shall take such action with respect to any Event of Default as may be directed by the Required Lenders (or, if a Financial Covenant Event of Default occurs and is continuing and prior to the expiration of the Term Loan Standstill Period, if the only Events of Default then having occurred and continuing are pursuant to a Financial Covenant Event of Default, the Required Revolving Credit Lenders under the Revolving Credit Facility only, and in such case only with respect to the Revolving Credit Commitments, Revolving Credit Loans, L/C Obligations, Letters of Credit and L/C Credit Extensions)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216" w:lineRule="exact"/>
        <w:rPr>
          <w:sz w:val="20"/>
          <w:szCs w:val="20"/>
          <w:color w:val="auto"/>
        </w:rPr>
      </w:pPr>
    </w:p>
    <w:p>
      <w:pPr>
        <w:jc w:val="both"/>
        <w:ind w:left="140" w:firstLine="1296"/>
        <w:spacing w:after="0" w:line="27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Credit Decision; Disclosure of Information by Agents</w:t>
      </w:r>
      <w:r>
        <w:rPr>
          <w:rFonts w:ascii="Arial" w:cs="Arial" w:eastAsia="Arial" w:hAnsi="Arial"/>
          <w:sz w:val="18"/>
          <w:szCs w:val="18"/>
          <w:color w:val="auto"/>
        </w:rPr>
        <w:t>. Each Lender acknowledges that no Agent-Related Person or Lead Arranger has made any representation or warranty to it, and that no act by any Agent or Lead Arranger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or Lead Arrangers have disclosed material information in their possession. Each Lender represents to each Agent and Lead Arranger that it has, independently and without reliance upon any Agent-Related Person or Lead Arranger and based on such documents and information as it has deemed appropriate, made its own appraisal of and</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-363-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3" w:name="page494"/>
    <w:bookmarkEnd w:id="49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investigation into the business, prospects, operations, property, financial and other condition and creditworthiness of the Loan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-364-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94" w:name="page495"/>
    <w:bookmarkEnd w:id="49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1" w:lineRule="auto"/>
        <w:rPr>
          <w:sz w:val="20"/>
          <w:szCs w:val="20"/>
          <w:color w:val="auto"/>
        </w:rPr>
      </w:pPr>
      <w:r>
        <w:rPr>
          <w:rFonts w:ascii="Arial" w:cs="Arial" w:eastAsia="Arial" w:hAnsi="Arial"/>
          <w:sz w:val="18"/>
          <w:szCs w:val="18"/>
          <w:color w:val="auto"/>
        </w:rPr>
        <w:t>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214" w:lineRule="exact"/>
        <w:rPr>
          <w:sz w:val="20"/>
          <w:szCs w:val="20"/>
          <w:color w:val="auto"/>
        </w:rPr>
      </w:pPr>
    </w:p>
    <w:p>
      <w:pPr>
        <w:jc w:val="both"/>
        <w:ind w:left="140" w:firstLine="1296"/>
        <w:spacing w:after="0" w:line="254"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Indemnification of Agents</w:t>
      </w:r>
      <w:r>
        <w:rPr>
          <w:rFonts w:ascii="Arial" w:cs="Arial" w:eastAsia="Arial" w:hAnsi="Arial"/>
          <w:sz w:val="19"/>
          <w:szCs w:val="19"/>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be liable for the payment to any Agent-Related Person of any portion of such Indemnified Liabilities resulting from such Agent-Related Person’s own gross negligence or willful misconduct, as determined by the final judgment of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In the case of any investigation, litigation or proceeding giving rise to any Indemnified Liabilities,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reimbursement by the Lenders shall not affect the Borrower’s continuing reimbursement obligations with respect thereto, if any. The undertaking in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shall survive termination of the Aggregate Commitments, the payment of all other Obligations and the resignation of the Administrative Agent.</w:t>
      </w:r>
    </w:p>
    <w:p>
      <w:pPr>
        <w:spacing w:after="0" w:line="212" w:lineRule="exact"/>
        <w:rPr>
          <w:sz w:val="20"/>
          <w:szCs w:val="20"/>
          <w:color w:val="auto"/>
        </w:rPr>
      </w:pPr>
    </w:p>
    <w:p>
      <w:pPr>
        <w:jc w:val="both"/>
        <w:ind w:left="140" w:firstLine="1296"/>
        <w:spacing w:after="0" w:line="272"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Agents in their Individual Capacities</w:t>
      </w:r>
      <w:r>
        <w:rPr>
          <w:rFonts w:ascii="Arial" w:cs="Arial" w:eastAsia="Arial" w:hAnsi="Arial"/>
          <w:sz w:val="18"/>
          <w:szCs w:val="18"/>
          <w:color w:val="auto"/>
        </w:rPr>
        <w:t>. Goldman Sachs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Goldman Sachs were not the Administrative Agent hereunder and without notice to or consent of the Lenders. The Lenders acknowledge that, pursuant to such activities, Goldman Sachs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Goldman Sachs shall have the same rights and powers under this Agreement as any other Lender and may exercise such rights and powers as though it were not the Administrative Agent, and the terms “Lender” and “Lenders” include Goldman Sachs in its individual capacity.</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-365-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-366-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496" w:name="page497"/>
    <w:bookmarkEnd w:id="49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68"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Successor Agents</w:t>
      </w:r>
      <w:r>
        <w:rPr>
          <w:rFonts w:ascii="Arial" w:cs="Arial" w:eastAsia="Arial" w:hAnsi="Arial"/>
          <w:sz w:val="18"/>
          <w:szCs w:val="18"/>
          <w:color w:val="auto"/>
        </w:rPr>
        <w:t xml:space="preserve">. The Administrative Agent may resign as the Administrative Agent and Collateral Agent upon ten (10) days’ notice to the Borrower and the Lenders. If the Administrative Agent resigns under this Agreement, the Required Lenders shall appoint from among the Lenders a successor agent for the Lenders, which appointment of a successor agent shall require the consent of the Borrower at all times other than during the existence of an Event of Default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(which consent of the Borrower shall not be unreasonably withheld or delayed). If no successor agent is appointed prior to the effective date of the resignation of the Administrative Agent, the resigning Administrative Agent may appoint, after consulting with the Borrower and the Lenders, a successor agent from among the Lenders. Upon the acceptance of its 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and/or supplemental agent, as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9.01(c)</w:t>
      </w:r>
      <w:r>
        <w:rPr>
          <w:rFonts w:ascii="Arial" w:cs="Arial" w:eastAsia="Arial" w:hAnsi="Arial"/>
          <w:sz w:val="18"/>
          <w:szCs w:val="18"/>
          <w:color w:val="auto"/>
        </w:rPr>
        <w:t xml:space="preserve">), and the retiring Administrative Agent’s appointment, powers and duties as the Administrative Agent and Collateral Agent shall be terminated. After the retiring Administrative Agent’s resignation hereunder as the Administrative Agent and Collateral Agent,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or the L/C Issuer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any Mortgages, and such other security agreements,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w:t>
      </w:r>
    </w:p>
    <w:p>
      <w:pPr>
        <w:spacing w:after="0" w:line="212"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7" w:lineRule="exact"/>
        <w:rPr>
          <w:sz w:val="20"/>
          <w:szCs w:val="20"/>
          <w:color w:val="auto"/>
        </w:rPr>
      </w:pPr>
    </w:p>
    <w:p>
      <w:pPr>
        <w:jc w:val="both"/>
        <w:ind w:left="780" w:firstLine="649"/>
        <w:spacing w:after="0" w:line="263" w:lineRule="auto"/>
        <w:tabs>
          <w:tab w:leader="none" w:pos="1945"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-367-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7" w:name="page498"/>
    <w:bookmarkEnd w:id="49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 xml:space="preserve">Agent and their respective agents and counsel and all other amounts due the Lenders and the Administrative Agent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10.04</w:t>
      </w:r>
      <w:r>
        <w:rPr>
          <w:rFonts w:ascii="Arial" w:cs="Arial" w:eastAsia="Arial" w:hAnsi="Arial"/>
          <w:sz w:val="20"/>
          <w:szCs w:val="20"/>
          <w:color w:val="auto"/>
        </w:rPr>
        <w:t>) allowed in such judicial proceeding; and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-368-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8" w:name="page499"/>
    <w:bookmarkEnd w:id="49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40" w:hanging="511"/>
        <w:spacing w:after="0"/>
        <w:tabs>
          <w:tab w:leader="none" w:pos="19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same; and</w:t>
      </w:r>
    </w:p>
    <w:p>
      <w:pPr>
        <w:spacing w:after="0" w:line="240" w:lineRule="exact"/>
        <w:rPr>
          <w:rFonts w:ascii="Arial" w:cs="Arial" w:eastAsia="Arial" w:hAnsi="Arial"/>
          <w:sz w:val="18"/>
          <w:szCs w:val="18"/>
          <w:color w:val="auto"/>
        </w:rPr>
      </w:pPr>
    </w:p>
    <w:p>
      <w:pPr>
        <w:jc w:val="both"/>
        <w:ind w:left="780" w:right="20" w:firstLine="649"/>
        <w:spacing w:after="0" w:line="278" w:lineRule="auto"/>
        <w:tabs>
          <w:tab w:leader="none" w:pos="194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273" w:lineRule="exact"/>
        <w:rPr>
          <w:sz w:val="20"/>
          <w:szCs w:val="20"/>
          <w:color w:val="auto"/>
        </w:rPr>
      </w:pPr>
    </w:p>
    <w:p>
      <w:pPr>
        <w:jc w:val="both"/>
        <w:ind w:left="140" w:firstLine="1295"/>
        <w:spacing w:after="0" w:line="291"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w:t>
      </w:r>
    </w:p>
    <w:p>
      <w:pPr>
        <w:spacing w:after="0" w:line="179"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20"/>
          <w:szCs w:val="20"/>
          <w:color w:val="auto"/>
        </w:rPr>
        <w:t>Section 9.11</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irrevocably agree:</w:t>
      </w:r>
    </w:p>
    <w:p>
      <w:pPr>
        <w:spacing w:after="0" w:line="337" w:lineRule="exact"/>
        <w:rPr>
          <w:sz w:val="20"/>
          <w:szCs w:val="20"/>
          <w:color w:val="auto"/>
        </w:rPr>
      </w:pPr>
    </w:p>
    <w:p>
      <w:pPr>
        <w:jc w:val="both"/>
        <w:ind w:left="780" w:firstLine="649"/>
        <w:spacing w:after="0" w:line="269" w:lineRule="auto"/>
        <w:tabs>
          <w:tab w:leader="none" w:pos="19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that any Lien on any property granted to or held by the Administrative Agent or the Collateral Agent under any Loan Document shall be automatically released (i) upon termination of the Aggregate Commitments and payment in full of all Secured Obligations (other than (x) obligations under Secured Hedge Agreements not yet due and payable, (y) Secured Cash Management Obligations not yet due and payable and (z) contingent indemnification obligations not yet accrued and payable), the expiration or termination of all Letters of Credit (other than Letters of Credit that have been Cash Collateralized or back-stopped or as to which other arrangements reasonably satisfactory to the Administrative Agent and the applicable L/C Issuer have been made), (ii) at the time the property subject to such Lien is transferred as part of or in connection with any transfer permitted hereunder (including any Asset Disposition permitted hereunder) or under any other Loan Document to any Person other than any other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transfer of assets from a Loan Party to another Loan Party organized in a different jurisdiction, the Collateral Agent shall, upon request of the Borrower or any other Loan Party, release such Lien if such transferee Loan Party takes all actions reasonably necessary to grant a Lien in such transferred assets to the Collateral Agent (to the extent required by the Collateral and Guarantee Requirement)), (iii) subject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or (v) if the property subject to such Lien becomes Excluded Property;</w:t>
      </w:r>
    </w:p>
    <w:p>
      <w:pPr>
        <w:spacing w:after="0" w:line="219" w:lineRule="exact"/>
        <w:rPr>
          <w:rFonts w:ascii="Arial" w:cs="Arial" w:eastAsia="Arial" w:hAnsi="Arial"/>
          <w:sz w:val="18"/>
          <w:szCs w:val="18"/>
          <w:color w:val="auto"/>
        </w:rPr>
      </w:pPr>
    </w:p>
    <w:p>
      <w:pPr>
        <w:jc w:val="both"/>
        <w:ind w:left="780" w:firstLine="649"/>
        <w:spacing w:after="0" w:line="246" w:lineRule="auto"/>
        <w:tabs>
          <w:tab w:leader="none" w:pos="1941"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to release or subordinate any Lien on any property granted to or held by the Administrative Agent or the Collateral Agent under any Loan Document to the holder of any Lien on such property that is a Permitted Lien under clauses (i) or (l) (in the case of clause (l), upon the reasonable request of the Borrower, to the extent required by the terms of the agreements governing such Permitted Lien) of the definition thereof.</w:t>
      </w:r>
    </w:p>
    <w:p>
      <w:pPr>
        <w:spacing w:after="0" w:line="218" w:lineRule="exact"/>
        <w:rPr>
          <w:rFonts w:ascii="Arial" w:cs="Arial" w:eastAsia="Arial" w:hAnsi="Arial"/>
          <w:sz w:val="20"/>
          <w:szCs w:val="20"/>
          <w:color w:val="auto"/>
        </w:rPr>
      </w:pPr>
    </w:p>
    <w:p>
      <w:pPr>
        <w:jc w:val="both"/>
        <w:ind w:left="780" w:firstLine="650"/>
        <w:spacing w:after="0" w:line="250" w:lineRule="auto"/>
        <w:tabs>
          <w:tab w:leader="none" w:pos="1945" w:val="left"/>
        </w:tabs>
        <w:numPr>
          <w:ilvl w:val="0"/>
          <w:numId w:val="395"/>
        </w:numPr>
        <w:rPr>
          <w:rFonts w:ascii="Arial" w:cs="Arial" w:eastAsia="Arial" w:hAnsi="Arial"/>
          <w:sz w:val="20"/>
          <w:szCs w:val="20"/>
          <w:color w:val="auto"/>
        </w:rPr>
      </w:pPr>
      <w:r>
        <w:rPr>
          <w:rFonts w:ascii="Arial" w:cs="Arial" w:eastAsia="Arial" w:hAnsi="Arial"/>
          <w:sz w:val="20"/>
          <w:szCs w:val="20"/>
          <w:color w:val="auto"/>
        </w:rPr>
        <w:t>if any Subsidiary Guarantor ceases to be a Restricted Subsidiary, or becomes an Excluded Subsidiary, in each case as a result of a transaction permitted hereunder or designation permitted hereunder (as certified in writing delivered to the Administrative Agent by a</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-369-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499" w:name="page500"/>
    <w:bookmarkEnd w:id="49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780"/>
        <w:spacing w:after="0" w:line="250" w:lineRule="auto"/>
        <w:rPr>
          <w:sz w:val="20"/>
          <w:szCs w:val="20"/>
          <w:color w:val="auto"/>
        </w:rPr>
      </w:pPr>
      <w:r>
        <w:rPr>
          <w:rFonts w:ascii="Arial" w:cs="Arial" w:eastAsia="Arial" w:hAnsi="Arial"/>
          <w:sz w:val="20"/>
          <w:szCs w:val="20"/>
          <w:color w:val="auto"/>
        </w:rPr>
        <w:t>Responsible Officer of the Borrower) (provided that the release of any Subsidiary Guarantor from its obligations under the Loan Documents solely as a result of such Subsidiary Guarantor becoming an Excluded Subsidiary of the type described in clause (j) or (l) of the definition thereof shall only be permitted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-370-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0" w:name="page501"/>
    <w:bookmarkEnd w:id="50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0"/>
        <w:spacing w:after="0" w:line="246" w:lineRule="auto"/>
        <w:rPr>
          <w:sz w:val="20"/>
          <w:szCs w:val="20"/>
          <w:color w:val="auto"/>
        </w:rPr>
      </w:pPr>
      <w:r>
        <w:rPr>
          <w:rFonts w:ascii="Arial" w:cs="Arial" w:eastAsia="Arial" w:hAnsi="Arial"/>
          <w:sz w:val="20"/>
          <w:szCs w:val="20"/>
          <w:color w:val="auto"/>
        </w:rPr>
        <w:t>if such Subsidiary Guarantor becomes such an Excluded Subsidiary pursuant to a transaction with a third party that is not otherwise an Affiliate of the Borrower and such transaction was not for the primary purpose of release the Guarantee of such Subsidiary Guarantor, and, in the case of an Excluded Subsidiary of the type described in clause (j) of the definition thereof, only if such Subsidiary Guarantor ceases to be a Restricted Subsidiary).</w:t>
      </w:r>
    </w:p>
    <w:p>
      <w:pPr>
        <w:spacing w:after="0" w:line="232"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 xml:space="preserve">Notwithstanding anything contained herein to the contrary, upon request by the Administrative Agent at any time, the Required Lenders shall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provided that the absence of such confirmation shall not affect in any way the validity of the automatic releases of security interest or Guaranty contemplated by this Agreement or the Administrative Agent’s obligations to comply with the provisions of the immediately following sentence. In each case as specified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the Administrative Agent will promptly (and each Lender irrevocably authorizes the Administrative Agent to), at the Borrower’s expense, execute and deliver to the applicable Loan Party such documents as such Loan Party may reasonably request (i) to evidence the release or subordination of such item of Collateral from the assignment and security interest granted under the Collateral Documents (including the filing of termination statements or the return of pledged collateral), or to evidence the release of such Guarantor from its obligations under the Guaranty, in each case in accordance with the terms of the Loan Documents and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request, the Borrower shall have in each case delivered to the Administrative Agent written request therefor and, to the extent requested by the Administrative Agent, a certificate of the Borrower to the effect that the release of such Guarantor or Collateral, as applicable, is in compliance with the Loan Documents. Each of the Lenders irrevocably authorizes the Administrative Agent to rely on any such certificate without independent investigation and release its interests in any Collateral or release any Guarantor from its obligations under the Loan Documents pursuant to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(including, in each case of the foregoing, by filing applicable termination statements and/or returning pledged Collateral); it being acknowledged and agreed by each Secured Party that the Administrative Agent, in its capacity as such, shall have no liability with respect to relying on such certificate and taking actions to evidence such release.</w:t>
      </w:r>
    </w:p>
    <w:p>
      <w:pPr>
        <w:spacing w:after="0" w:line="198"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Other Agents; Arrangers and Managers</w:t>
      </w:r>
      <w:r>
        <w:rPr>
          <w:rFonts w:ascii="Arial" w:cs="Arial" w:eastAsia="Arial" w:hAnsi="Arial"/>
          <w:sz w:val="19"/>
          <w:szCs w:val="19"/>
          <w:color w:val="auto"/>
        </w:rPr>
        <w:t>. None of the Lenders, the Agents, the Lead Arrangers or other Persons identified on the facing page or signature pages of this Agreement as a “co-arranger” shall have any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Agents, Lead Arrangers, Lenders or other Persons so identified in deciding to enter into this Agreement or in taking or not taking action hereunder. Each Lead Arranger shall be an intended third party beneficiary of the provisions of this Agreement applicable thereto.</w:t>
      </w:r>
    </w:p>
    <w:p>
      <w:pPr>
        <w:spacing w:after="0" w:line="225"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color w:val="auto"/>
        </w:rPr>
        <w:t>Section 9.13</w:t>
      </w:r>
      <w:r>
        <w:rPr>
          <w:sz w:val="20"/>
          <w:szCs w:val="20"/>
          <w:color w:val="auto"/>
        </w:rPr>
        <w:tab/>
      </w:r>
      <w:r>
        <w:rPr>
          <w:rFonts w:ascii="Arial" w:cs="Arial" w:eastAsia="Arial" w:hAnsi="Arial"/>
          <w:sz w:val="18"/>
          <w:szCs w:val="18"/>
          <w:u w:val="single" w:color="auto"/>
          <w:color w:val="auto"/>
        </w:rPr>
        <w:t>Appointment of Supplemental Administrative Agents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186"/>
        <w:spacing w:after="0" w:line="243" w:lineRule="auto"/>
        <w:tabs>
          <w:tab w:leader="none" w:pos="1948" w:val="left"/>
        </w:tabs>
        <w:numPr>
          <w:ilvl w:val="0"/>
          <w:numId w:val="396"/>
        </w:numPr>
        <w:rPr>
          <w:rFonts w:ascii="Arial" w:cs="Arial" w:eastAsia="Arial" w:hAnsi="Arial"/>
          <w:sz w:val="20"/>
          <w:szCs w:val="20"/>
          <w:color w:val="auto"/>
        </w:rPr>
      </w:pPr>
      <w:r>
        <w:rPr>
          <w:rFonts w:ascii="Arial" w:cs="Arial" w:eastAsia="Arial" w:hAnsi="Arial"/>
          <w:sz w:val="20"/>
          <w:szCs w:val="20"/>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-371-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1" w:name="page502"/>
    <w:bookmarkEnd w:id="50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individual or institution selected by the Administrative Agent in its sole discretion as a separate trustee,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-372-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02" w:name="page503"/>
    <w:bookmarkEnd w:id="50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50" w:lineRule="auto"/>
        <w:rPr>
          <w:sz w:val="20"/>
          <w:szCs w:val="20"/>
          <w:color w:val="auto"/>
        </w:rPr>
      </w:pPr>
      <w:r>
        <w:rPr>
          <w:rFonts w:ascii="Arial" w:cs="Arial" w:eastAsia="Arial" w:hAnsi="Arial"/>
          <w:sz w:val="20"/>
          <w:szCs w:val="20"/>
          <w:color w:val="auto"/>
        </w:rPr>
        <w:t>co-trustee, administrative agent, collateral agent, administrative sub-agent or administrative co-agent (any such additional individual or institution being referred to herein individually as a “</w:t>
      </w:r>
      <w:r>
        <w:rPr>
          <w:rFonts w:ascii="Arial" w:cs="Arial" w:eastAsia="Arial" w:hAnsi="Arial"/>
          <w:sz w:val="20"/>
          <w:szCs w:val="20"/>
          <w:u w:val="single" w:color="auto"/>
          <w:color w:val="auto"/>
        </w:rPr>
        <w:t>Supplemental Administrative Agent</w:t>
      </w:r>
      <w:r>
        <w:rPr>
          <w:rFonts w:ascii="Arial" w:cs="Arial" w:eastAsia="Arial" w:hAnsi="Arial"/>
          <w:sz w:val="20"/>
          <w:szCs w:val="20"/>
          <w:color w:val="auto"/>
        </w:rPr>
        <w:t>” and, collectively, as “</w:t>
      </w:r>
      <w:r>
        <w:rPr>
          <w:rFonts w:ascii="Arial" w:cs="Arial" w:eastAsia="Arial" w:hAnsi="Arial"/>
          <w:sz w:val="20"/>
          <w:szCs w:val="20"/>
          <w:u w:val="single" w:color="auto"/>
          <w:color w:val="auto"/>
        </w:rPr>
        <w:t>Supplemental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Administrative Agents</w:t>
      </w:r>
      <w:r>
        <w:rPr>
          <w:rFonts w:ascii="Arial" w:cs="Arial" w:eastAsia="Arial" w:hAnsi="Arial"/>
          <w:sz w:val="20"/>
          <w:szCs w:val="20"/>
          <w:color w:val="auto"/>
        </w:rPr>
        <w:t>”).</w:t>
      </w:r>
    </w:p>
    <w:p>
      <w:pPr>
        <w:spacing w:after="0" w:line="307" w:lineRule="exact"/>
        <w:rPr>
          <w:sz w:val="20"/>
          <w:szCs w:val="20"/>
          <w:color w:val="auto"/>
        </w:rPr>
      </w:pPr>
    </w:p>
    <w:p>
      <w:pPr>
        <w:jc w:val="both"/>
        <w:ind w:left="220" w:firstLine="1187"/>
        <w:spacing w:after="0" w:line="241" w:lineRule="auto"/>
        <w:tabs>
          <w:tab w:leader="none" w:pos="1948" w:val="left"/>
        </w:tabs>
        <w:numPr>
          <w:ilvl w:val="0"/>
          <w:numId w:val="397"/>
        </w:numPr>
        <w:rPr>
          <w:rFonts w:ascii="Arial" w:cs="Arial" w:eastAsia="Arial" w:hAnsi="Arial"/>
          <w:sz w:val="20"/>
          <w:szCs w:val="20"/>
          <w:color w:val="auto"/>
        </w:rPr>
      </w:pPr>
      <w:r>
        <w:rPr>
          <w:rFonts w:ascii="Arial" w:cs="Arial" w:eastAsia="Arial" w:hAnsi="Arial"/>
          <w:sz w:val="20"/>
          <w:szCs w:val="20"/>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227" w:lineRule="exact"/>
        <w:rPr>
          <w:rFonts w:ascii="Arial" w:cs="Arial" w:eastAsia="Arial" w:hAnsi="Arial"/>
          <w:sz w:val="20"/>
          <w:szCs w:val="20"/>
          <w:color w:val="auto"/>
        </w:rPr>
      </w:pPr>
    </w:p>
    <w:p>
      <w:pPr>
        <w:jc w:val="both"/>
        <w:ind w:left="220" w:firstLine="1131"/>
        <w:spacing w:after="0" w:line="243" w:lineRule="auto"/>
        <w:tabs>
          <w:tab w:leader="none" w:pos="1948" w:val="left"/>
        </w:tabs>
        <w:numPr>
          <w:ilvl w:val="0"/>
          <w:numId w:val="397"/>
        </w:numPr>
        <w:rPr>
          <w:rFonts w:ascii="Arial" w:cs="Arial" w:eastAsia="Arial" w:hAnsi="Arial"/>
          <w:sz w:val="20"/>
          <w:szCs w:val="20"/>
          <w:color w:val="auto"/>
        </w:rPr>
      </w:pPr>
      <w:r>
        <w:rPr>
          <w:rFonts w:ascii="Arial" w:cs="Arial" w:eastAsia="Arial" w:hAnsi="Arial"/>
          <w:sz w:val="20"/>
          <w:szCs w:val="20"/>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233"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amounts at any time owing to such Lender under this Agreement or any other Loan Document against any amount due the Administrative Agent under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include any L/C Issuer and (2) this </w:t>
      </w:r>
      <w:r>
        <w:rPr>
          <w:rFonts w:ascii="Arial" w:cs="Arial" w:eastAsia="Arial" w:hAnsi="Arial"/>
          <w:sz w:val="18"/>
          <w:szCs w:val="18"/>
          <w:u w:val="single" w:color="auto"/>
          <w:color w:val="auto"/>
        </w:rPr>
        <w:t>Section 9.14</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-373-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3" w:name="page504"/>
    <w:bookmarkEnd w:id="50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shall not limit or expand the obligations of the Borrower or any Guarantor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-374-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860"/>
          </w:cols>
          <w:pgMar w:left="320" w:top="121" w:right="719" w:bottom="1440" w:gutter="0" w:footer="0" w:header="0"/>
        </w:sectPr>
      </w:pPr>
    </w:p>
    <w:bookmarkStart w:id="504" w:name="page505"/>
    <w:bookmarkEnd w:id="50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Secured Cash Management Obligations; Secured Hedge Agreements</w:t>
      </w:r>
      <w:r>
        <w:rPr>
          <w:rFonts w:ascii="Arial" w:cs="Arial" w:eastAsia="Arial" w:hAnsi="Arial"/>
          <w:sz w:val="19"/>
          <w:szCs w:val="19"/>
          <w:color w:val="auto"/>
        </w:rPr>
        <w:t xml:space="preserve">. Except as otherwise expressly set forth herein or in any Collateral Document, no Cash Management Bank or Hedge Bank that obtains the benefits of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any Guaranty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Secured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230" w:lineRule="exact"/>
        <w:rPr>
          <w:sz w:val="20"/>
          <w:szCs w:val="20"/>
          <w:color w:val="auto"/>
        </w:rPr>
      </w:pPr>
    </w:p>
    <w:p>
      <w:pPr>
        <w:jc w:val="both"/>
        <w:ind w:left="140" w:firstLine="648"/>
        <w:spacing w:after="0" w:line="246"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18" w:lineRule="exact"/>
        <w:rPr>
          <w:sz w:val="20"/>
          <w:szCs w:val="20"/>
          <w:color w:val="auto"/>
        </w:rPr>
      </w:pPr>
    </w:p>
    <w:p>
      <w:pPr>
        <w:jc w:val="both"/>
        <w:ind w:left="780" w:right="20" w:firstLine="650"/>
        <w:spacing w:after="0" w:line="250" w:lineRule="auto"/>
        <w:tabs>
          <w:tab w:leader="none" w:pos="1939" w:val="left"/>
        </w:tabs>
        <w:numPr>
          <w:ilvl w:val="1"/>
          <w:numId w:val="398"/>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with respect to such Lender’s entrance into, participation in, administration of and performance of the Loans, the Letters of Credit, the Commitments or this Agreement,</w:t>
      </w:r>
    </w:p>
    <w:p>
      <w:pPr>
        <w:spacing w:after="0" w:line="212" w:lineRule="exact"/>
        <w:rPr>
          <w:rFonts w:ascii="Arial" w:cs="Arial" w:eastAsia="Arial" w:hAnsi="Arial"/>
          <w:sz w:val="20"/>
          <w:szCs w:val="20"/>
          <w:color w:val="auto"/>
        </w:rPr>
      </w:pPr>
    </w:p>
    <w:p>
      <w:pPr>
        <w:jc w:val="both"/>
        <w:ind w:left="780" w:firstLine="649"/>
        <w:spacing w:after="0" w:line="274" w:lineRule="auto"/>
        <w:tabs>
          <w:tab w:leader="none" w:pos="194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95" w:lineRule="exact"/>
        <w:rPr>
          <w:rFonts w:ascii="Arial" w:cs="Arial" w:eastAsia="Arial" w:hAnsi="Arial"/>
          <w:sz w:val="18"/>
          <w:szCs w:val="18"/>
          <w:color w:val="auto"/>
        </w:rPr>
      </w:pPr>
    </w:p>
    <w:p>
      <w:pPr>
        <w:jc w:val="both"/>
        <w:ind w:left="780" w:firstLine="648"/>
        <w:spacing w:after="0" w:line="255" w:lineRule="auto"/>
        <w:tabs>
          <w:tab w:leader="none" w:pos="1940" w:val="left"/>
        </w:tabs>
        <w:numPr>
          <w:ilvl w:val="1"/>
          <w:numId w:val="398"/>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2" w:lineRule="exact"/>
        <w:rPr>
          <w:rFonts w:ascii="Arial" w:cs="Arial" w:eastAsia="Arial" w:hAnsi="Arial"/>
          <w:sz w:val="19"/>
          <w:szCs w:val="19"/>
          <w:color w:val="auto"/>
        </w:rPr>
      </w:pPr>
    </w:p>
    <w:p>
      <w:pPr>
        <w:ind w:left="1060" w:hanging="279"/>
        <w:spacing w:after="0"/>
        <w:tabs>
          <w:tab w:leader="none" w:pos="10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w:t>
      </w:r>
    </w:p>
    <w:p>
      <w:pPr>
        <w:spacing w:after="0" w:line="22" w:lineRule="exact"/>
        <w:rPr>
          <w:rFonts w:ascii="Arial" w:cs="Arial" w:eastAsia="Arial" w:hAnsi="Arial"/>
          <w:sz w:val="18"/>
          <w:szCs w:val="18"/>
          <w:color w:val="auto"/>
        </w:rPr>
      </w:pPr>
    </w:p>
    <w:p>
      <w:pPr>
        <w:ind w:left="780"/>
        <w:spacing w:after="0" w:line="244" w:lineRule="auto"/>
        <w:rPr>
          <w:rFonts w:ascii="Arial" w:cs="Arial" w:eastAsia="Arial" w:hAnsi="Arial"/>
          <w:sz w:val="18"/>
          <w:szCs w:val="18"/>
          <w:color w:val="auto"/>
        </w:rPr>
      </w:pPr>
      <w:r>
        <w:rPr>
          <w:rFonts w:ascii="Arial" w:cs="Arial" w:eastAsia="Arial" w:hAnsi="Arial"/>
          <w:sz w:val="20"/>
          <w:szCs w:val="20"/>
          <w:color w:val="auto"/>
        </w:rPr>
        <w:t>14 are satisfied with respect to such Lender’s entrance into, participation in, administration of and performance of the Loans, the Letters of Credit, the Commitments and this Agreement, or</w:t>
      </w:r>
    </w:p>
    <w:p>
      <w:pPr>
        <w:spacing w:after="0" w:line="218" w:lineRule="exact"/>
        <w:rPr>
          <w:rFonts w:ascii="Arial" w:cs="Arial" w:eastAsia="Arial" w:hAnsi="Arial"/>
          <w:sz w:val="18"/>
          <w:szCs w:val="18"/>
          <w:color w:val="auto"/>
        </w:rPr>
      </w:pPr>
    </w:p>
    <w:p>
      <w:pPr>
        <w:ind w:left="780" w:firstLine="648"/>
        <w:spacing w:after="0" w:line="260" w:lineRule="auto"/>
        <w:tabs>
          <w:tab w:leader="none" w:pos="1942" w:val="left"/>
        </w:tabs>
        <w:numPr>
          <w:ilvl w:val="1"/>
          <w:numId w:val="399"/>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-375-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-376-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06" w:name="page507"/>
    <w:bookmarkEnd w:id="50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641"/>
        <w:spacing w:after="0" w:line="256" w:lineRule="auto"/>
        <w:tabs>
          <w:tab w:leader="none" w:pos="1301"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X</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Miscellaneous</w:t>
      </w:r>
    </w:p>
    <w:p>
      <w:pPr>
        <w:spacing w:after="0" w:line="324"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each such waiver or consent shall be effective only in the specific instance and for the specific purpose for which given;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no such amendment, waiver or consent shall:</w:t>
      </w:r>
    </w:p>
    <w:p>
      <w:pPr>
        <w:spacing w:after="0" w:line="235" w:lineRule="exact"/>
        <w:rPr>
          <w:sz w:val="20"/>
          <w:szCs w:val="20"/>
          <w:color w:val="auto"/>
        </w:rPr>
      </w:pPr>
    </w:p>
    <w:p>
      <w:pPr>
        <w:jc w:val="both"/>
        <w:ind w:left="780" w:firstLine="462"/>
        <w:spacing w:after="0" w:line="246" w:lineRule="auto"/>
        <w:tabs>
          <w:tab w:leader="none" w:pos="1941" w:val="left"/>
        </w:tabs>
        <w:numPr>
          <w:ilvl w:val="1"/>
          <w:numId w:val="401"/>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without the written consent of each Lender directly and adversely affected thereby (it being understood that a waiver of any condition precedent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the waiver of any Default or Event of Default, mandatory prepayment or mandatory reduction of the Commitments shall not constitute an extension or increase of any Commitment of any Lender);</w:t>
      </w:r>
    </w:p>
    <w:p>
      <w:pPr>
        <w:spacing w:after="0" w:line="231" w:lineRule="exact"/>
        <w:rPr>
          <w:rFonts w:ascii="Arial" w:cs="Arial" w:eastAsia="Arial" w:hAnsi="Arial"/>
          <w:sz w:val="20"/>
          <w:szCs w:val="20"/>
          <w:color w:val="auto"/>
        </w:rPr>
      </w:pPr>
    </w:p>
    <w:p>
      <w:pPr>
        <w:jc w:val="both"/>
        <w:ind w:left="780" w:firstLine="407"/>
        <w:spacing w:after="0" w:line="259" w:lineRule="auto"/>
        <w:tabs>
          <w:tab w:leader="none" w:pos="1941" w:val="left"/>
        </w:tabs>
        <w:numPr>
          <w:ilvl w:val="1"/>
          <w:numId w:val="401"/>
        </w:numPr>
        <w:rPr>
          <w:rFonts w:ascii="Arial" w:cs="Arial" w:eastAsia="Arial" w:hAnsi="Arial"/>
          <w:sz w:val="19"/>
          <w:szCs w:val="19"/>
          <w:color w:val="auto"/>
        </w:rPr>
      </w:pPr>
      <w:r>
        <w:rPr>
          <w:rFonts w:ascii="Arial" w:cs="Arial" w:eastAsia="Arial" w:hAnsi="Arial"/>
          <w:sz w:val="19"/>
          <w:szCs w:val="19"/>
          <w:color w:val="auto"/>
        </w:rPr>
        <w:t xml:space="preserve">postpone any date scheduled for, or reduce the amount of, any payment of principal or interest under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2.08</w:t>
      </w:r>
      <w:r>
        <w:rPr>
          <w:rFonts w:ascii="Arial" w:cs="Arial" w:eastAsia="Arial" w:hAnsi="Arial"/>
          <w:sz w:val="19"/>
          <w:szCs w:val="19"/>
          <w:color w:val="auto"/>
        </w:rPr>
        <w:t>, fees or other amounts without the written consent of each Lender directly and adversely affected thereby (it being understood that no amendment, modification or waiver of, or consent to departure from, any condition precedent, covenant, Event of Default, waiver of (or amendment to the terms of) any mandatory prepayment of the Term Loans, waiver of default interest, waiver of the MFN Adjustment or mandatory reduction of the Commitments shall not constitute a postponement of any date scheduled for the payment of principal or interest);</w:t>
      </w:r>
    </w:p>
    <w:p>
      <w:pPr>
        <w:spacing w:after="0" w:line="205" w:lineRule="exact"/>
        <w:rPr>
          <w:rFonts w:ascii="Arial" w:cs="Arial" w:eastAsia="Arial" w:hAnsi="Arial"/>
          <w:sz w:val="19"/>
          <w:szCs w:val="19"/>
          <w:color w:val="auto"/>
        </w:rPr>
      </w:pPr>
    </w:p>
    <w:p>
      <w:pPr>
        <w:ind w:left="1940" w:hanging="807"/>
        <w:spacing w:after="0"/>
        <w:tabs>
          <w:tab w:leader="none" w:pos="194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w:t>
      </w:r>
    </w:p>
    <w:p>
      <w:pPr>
        <w:spacing w:after="0" w:line="38" w:lineRule="exact"/>
        <w:rPr>
          <w:rFonts w:ascii="Arial" w:cs="Arial" w:eastAsia="Arial" w:hAnsi="Arial"/>
          <w:sz w:val="18"/>
          <w:szCs w:val="18"/>
          <w:color w:val="auto"/>
        </w:rPr>
      </w:pPr>
    </w:p>
    <w:p>
      <w:pPr>
        <w:jc w:val="both"/>
        <w:ind w:left="780" w:firstLine="1"/>
        <w:spacing w:after="0"/>
        <w:tabs>
          <w:tab w:leader="none" w:pos="1130" w:val="left"/>
        </w:tabs>
        <w:numPr>
          <w:ilvl w:val="0"/>
          <w:numId w:val="402"/>
        </w:numPr>
        <w:rPr>
          <w:rFonts w:ascii="Arial" w:cs="Arial" w:eastAsia="Arial" w:hAnsi="Arial"/>
          <w:sz w:val="20"/>
          <w:szCs w:val="20"/>
          <w:u w:val="single" w:color="auto"/>
          <w:color w:val="auto"/>
        </w:rPr>
      </w:pPr>
      <w:r>
        <w:rPr>
          <w:rFonts w:ascii="Arial" w:cs="Arial" w:eastAsia="Arial" w:hAnsi="Arial"/>
          <w:sz w:val="20"/>
          <w:szCs w:val="20"/>
          <w:color w:val="auto"/>
        </w:rPr>
        <w:t xml:space="preserve">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directly and adversely affected thereby, it being understood that any change to the definition of Consolidated First Lien Secured Leverage Ratio or in the component definitions thereof shall not constitute a reduction in the rate of interest or fees;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only the consent of the Required Lenders shall be necessary to amend the definition of “Default Rate”, to waive any obligation of the Borrower to pay interest at the Default Rate or to waive the MFN Adjustment;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-377-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7" w:name="page508"/>
    <w:bookmarkEnd w:id="50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80" w:firstLine="364"/>
        <w:spacing w:after="0" w:line="260" w:lineRule="auto"/>
        <w:tabs>
          <w:tab w:leader="none" w:pos="1941" w:val="left"/>
        </w:tabs>
        <w:numPr>
          <w:ilvl w:val="0"/>
          <w:numId w:val="403"/>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definitions of “Required Lenders,” or “Required Revolving Credit Lenders” or </w:t>
      </w:r>
      <w:r>
        <w:rPr>
          <w:rFonts w:ascii="Arial" w:cs="Arial" w:eastAsia="Arial" w:hAnsi="Arial"/>
          <w:sz w:val="20"/>
          <w:szCs w:val="20"/>
          <w:u w:val="single" w:color="auto"/>
          <w:color w:val="auto"/>
        </w:rPr>
        <w:t>Sections 2.05(b)(iv), 2.13</w:t>
      </w:r>
      <w:r>
        <w:rPr>
          <w:rFonts w:ascii="Arial" w:cs="Arial" w:eastAsia="Arial" w:hAnsi="Arial"/>
          <w:sz w:val="20"/>
          <w:szCs w:val="20"/>
          <w:color w:val="auto"/>
        </w:rPr>
        <w:t xml:space="preserve"> or 8.04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-39370</wp:posOffset>
            </wp:positionV>
            <wp:extent cx="2514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-378-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8" w:name="page509"/>
    <w:bookmarkEnd w:id="50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alter the pro rata sharing payments without the written consent of each Lender directly and adversely affected thereby;</w:t>
      </w:r>
    </w:p>
    <w:p>
      <w:pPr>
        <w:spacing w:after="0" w:line="268" w:lineRule="exact"/>
        <w:rPr>
          <w:sz w:val="20"/>
          <w:szCs w:val="20"/>
          <w:color w:val="auto"/>
        </w:rPr>
      </w:pPr>
    </w:p>
    <w:p>
      <w:pPr>
        <w:jc w:val="both"/>
        <w:ind w:left="780" w:firstLine="545"/>
        <w:spacing w:after="0" w:line="291" w:lineRule="auto"/>
        <w:tabs>
          <w:tab w:leader="none" w:pos="194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in any transaction or series of related transactions, without the written consent of each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not be subject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to the extent such transaction does not result in the release of all or substantially all of the Collateral;</w:t>
      </w:r>
    </w:p>
    <w:p>
      <w:pPr>
        <w:spacing w:after="0" w:line="178" w:lineRule="exact"/>
        <w:rPr>
          <w:rFonts w:ascii="Arial" w:cs="Arial" w:eastAsia="Arial" w:hAnsi="Arial"/>
          <w:sz w:val="18"/>
          <w:szCs w:val="18"/>
          <w:color w:val="auto"/>
        </w:rPr>
      </w:pPr>
    </w:p>
    <w:p>
      <w:pPr>
        <w:jc w:val="both"/>
        <w:ind w:left="780" w:firstLine="490"/>
        <w:spacing w:after="0" w:line="291" w:lineRule="auto"/>
        <w:tabs>
          <w:tab w:leader="none" w:pos="194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Guarantees in any transaction or series of related transactions, without the written consent of each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not be subject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to the extent such transaction does not result in the release of all or substantially all of the Guarantees;</w:t>
      </w:r>
    </w:p>
    <w:p>
      <w:pPr>
        <w:spacing w:after="0" w:line="192" w:lineRule="exact"/>
        <w:rPr>
          <w:rFonts w:ascii="Arial" w:cs="Arial" w:eastAsia="Arial" w:hAnsi="Arial"/>
          <w:sz w:val="18"/>
          <w:szCs w:val="18"/>
          <w:color w:val="auto"/>
        </w:rPr>
      </w:pPr>
    </w:p>
    <w:p>
      <w:pPr>
        <w:jc w:val="both"/>
        <w:ind w:left="780" w:firstLine="435"/>
        <w:spacing w:after="0" w:line="250" w:lineRule="auto"/>
        <w:tabs>
          <w:tab w:leader="none" w:pos="1940" w:val="left"/>
        </w:tabs>
        <w:numPr>
          <w:ilvl w:val="1"/>
          <w:numId w:val="404"/>
        </w:numPr>
        <w:rPr>
          <w:rFonts w:ascii="Arial" w:cs="Arial" w:eastAsia="Arial" w:hAnsi="Arial"/>
          <w:sz w:val="20"/>
          <w:szCs w:val="20"/>
          <w:color w:val="auto"/>
        </w:rPr>
      </w:pPr>
      <w:r>
        <w:rPr>
          <w:rFonts w:ascii="Arial" w:cs="Arial" w:eastAsia="Arial" w:hAnsi="Arial"/>
          <w:sz w:val="20"/>
          <w:szCs w:val="20"/>
          <w:color w:val="auto"/>
        </w:rPr>
        <w:t>subordinate the Liens on the Collateral for the benefit of any of the Lenders (in its capacity as a Secured Party hereunder) in respect of any of its Obligations to any other Lien in respect of any Indebtedness without the prior written consent of each Lender adversely affected thereby; or</w:t>
      </w:r>
    </w:p>
    <w:p>
      <w:pPr>
        <w:spacing w:after="0" w:line="226" w:lineRule="exact"/>
        <w:rPr>
          <w:rFonts w:ascii="Arial" w:cs="Arial" w:eastAsia="Arial" w:hAnsi="Arial"/>
          <w:sz w:val="20"/>
          <w:szCs w:val="20"/>
          <w:color w:val="auto"/>
        </w:rPr>
      </w:pPr>
    </w:p>
    <w:p>
      <w:pPr>
        <w:ind w:left="780" w:right="20" w:firstLine="446"/>
        <w:spacing w:after="0" w:line="260" w:lineRule="auto"/>
        <w:tabs>
          <w:tab w:leader="none" w:pos="1927" w:val="left"/>
        </w:tabs>
        <w:numPr>
          <w:ilvl w:val="0"/>
          <w:numId w:val="405"/>
        </w:numPr>
        <w:rPr>
          <w:rFonts w:ascii="Arial" w:cs="Arial" w:eastAsia="Arial" w:hAnsi="Arial"/>
          <w:sz w:val="20"/>
          <w:szCs w:val="20"/>
          <w:color w:val="auto"/>
        </w:rPr>
      </w:pPr>
      <w:r>
        <w:rPr>
          <w:rFonts w:ascii="Arial" w:cs="Arial" w:eastAsia="Arial" w:hAnsi="Arial"/>
          <w:sz w:val="20"/>
          <w:szCs w:val="20"/>
          <w:color w:val="auto"/>
        </w:rPr>
        <w:t>effectuate any payment subordination with respect to the Obligations owing to any Lender without the prior written consent of each Lender adversely effected thereby;</w:t>
      </w:r>
    </w:p>
    <w:p>
      <w:pPr>
        <w:spacing w:after="0" w:line="204" w:lineRule="exact"/>
        <w:rPr>
          <w:sz w:val="20"/>
          <w:szCs w:val="20"/>
          <w:color w:val="auto"/>
        </w:rPr>
      </w:pPr>
    </w:p>
    <w:p>
      <w:pPr>
        <w:jc w:val="both"/>
        <w:ind w:left="140"/>
        <w:spacing w:after="0" w:line="245"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 no amendment, waiver or consent shall, unless in writing and signed by each L/C Issuer in addition to the Lenders required above, affect the rights or duties of a L/C Issuer under this Agreement or any Letter of Credit Application relating to any Letter of Credit issued or to be issued by it;</w:t>
      </w:r>
    </w:p>
    <w:p>
      <w:pPr>
        <w:jc w:val="both"/>
        <w:ind w:left="140" w:hanging="6"/>
        <w:spacing w:after="0" w:line="239" w:lineRule="auto"/>
        <w:tabs>
          <w:tab w:leader="none" w:pos="446" w:val="left"/>
        </w:tabs>
        <w:numPr>
          <w:ilvl w:val="0"/>
          <w:numId w:val="406"/>
        </w:numPr>
        <w:rPr>
          <w:rFonts w:ascii="Arial" w:cs="Arial" w:eastAsia="Arial" w:hAnsi="Arial"/>
          <w:sz w:val="20"/>
          <w:szCs w:val="20"/>
          <w:color w:val="auto"/>
        </w:rPr>
      </w:pPr>
      <w:r>
        <w:rPr>
          <w:rFonts w:ascii="Arial" w:cs="Arial" w:eastAsia="Arial" w:hAnsi="Arial"/>
          <w:sz w:val="20"/>
          <w:szCs w:val="20"/>
          <w:color w:val="auto"/>
        </w:rPr>
        <w:t>[reserved];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w:t>
      </w:r>
    </w:p>
    <w:p>
      <w:pPr>
        <w:spacing w:after="0" w:line="1" w:lineRule="exact"/>
        <w:rPr>
          <w:rFonts w:ascii="Arial" w:cs="Arial" w:eastAsia="Arial" w:hAnsi="Arial"/>
          <w:sz w:val="20"/>
          <w:szCs w:val="20"/>
          <w:color w:val="auto"/>
        </w:rPr>
      </w:pPr>
    </w:p>
    <w:p>
      <w:pPr>
        <w:jc w:val="both"/>
        <w:ind w:left="140" w:hanging="7"/>
        <w:spacing w:after="0" w:line="268" w:lineRule="auto"/>
        <w:tabs>
          <w:tab w:leader="none" w:pos="475"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Section 10.07(h)</w:t>
      </w:r>
      <w:r>
        <w:rPr>
          <w:rFonts w:ascii="Arial" w:cs="Arial" w:eastAsia="Arial" w:hAnsi="Arial"/>
          <w:sz w:val="18"/>
          <w:szCs w:val="18"/>
          <w:color w:val="auto"/>
        </w:rPr>
        <w:t xml:space="preserve"> may not be amended, waived or otherwise modified without the consent of each Granting Lender all or any part of whose Loans are being funded by an SPC at the time of such amendment, waiver or other modification; (v)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(vi) the consent of the Required Revolving Credit Lenders (and no other Lenders) shall be necessary to amend or waive the terms and provisions of </w:t>
      </w:r>
      <w:r>
        <w:rPr>
          <w:rFonts w:ascii="Arial" w:cs="Arial" w:eastAsia="Arial" w:hAnsi="Arial"/>
          <w:sz w:val="18"/>
          <w:szCs w:val="18"/>
          <w:u w:val="single" w:color="auto"/>
          <w:color w:val="auto"/>
        </w:rPr>
        <w:t>Sections 7.09</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(and related definitions as used in such Sections, but not as used in other Sections of this Agreement); and (vii) the consent of the Required Revolving Credit Lenders and the Required Lenders shall be necessary to permit the Borrower to incur additional Indebtedness that is pari passu with or senior to the Revolving Credit Facility in right of payment and with respect to security. 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 provided that for the avoidance of doubt, the consent of the Required Revolving Credit Lenders shall be required with respect to any amendment that permits the Loan Parties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-379-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09" w:name="page510"/>
    <w:bookmarkEnd w:id="50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to incur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senior to the Revolving Credit Facility in right of security and payment.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-380-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10" w:name="page511"/>
    <w:bookmarkEnd w:id="51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71"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Law or advice of local counsel, (ii) to cure ambiguities, inconsistencies, omissions, mistakes or defects (including to correct or cure incorrect cross references or similar inaccuracies), (iii) to effect administrative changes of a technical or immaterial nature or (iv)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 (including to correct or cure incorrect cross references or similar inaccuracies.</w:t>
      </w:r>
    </w:p>
    <w:p>
      <w:pPr>
        <w:spacing w:after="0" w:line="214" w:lineRule="exact"/>
        <w:rPr>
          <w:sz w:val="20"/>
          <w:szCs w:val="20"/>
          <w:color w:val="auto"/>
        </w:rPr>
      </w:pPr>
    </w:p>
    <w:p>
      <w:pPr>
        <w:jc w:val="both"/>
        <w:ind w:left="140" w:firstLine="1345"/>
        <w:spacing w:after="0" w:line="242" w:lineRule="auto"/>
        <w:rPr>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 (a) technical and conforming modifications to the Loan Documents may be made with the consent of the Borrower and the Administrative Agent to the extent necessary (i) to integrate any Incremental Facilities, Refinancing Revolving Credit Commitments, Refinancing Term Loans, Extended Term Loans or Extended Revolving Credit Commitments, (ii) to integrate or make administrative modifications with respect to borrowings and issuances of Letters of Credit and (iii) to integrate and terms or conditions from any Incremental Facility Amendment that are more restrictive than this Agreement in accordance with </w:t>
      </w:r>
      <w:r>
        <w:rPr>
          <w:rFonts w:ascii="Arial" w:cs="Arial" w:eastAsia="Arial" w:hAnsi="Arial"/>
          <w:sz w:val="20"/>
          <w:szCs w:val="20"/>
          <w:u w:val="single" w:color="auto"/>
          <w:color w:val="auto"/>
        </w:rPr>
        <w:t>Section 2.14(d)</w:t>
      </w:r>
      <w:r>
        <w:rPr>
          <w:rFonts w:ascii="Arial" w:cs="Arial" w:eastAsia="Arial" w:hAnsi="Arial"/>
          <w:sz w:val="20"/>
          <w:szCs w:val="20"/>
          <w:color w:val="auto"/>
        </w:rPr>
        <w:t xml:space="preserve"> and</w:t>
      </w:r>
    </w:p>
    <w:p>
      <w:pPr>
        <w:spacing w:after="0" w:line="2" w:lineRule="exact"/>
        <w:rPr>
          <w:sz w:val="20"/>
          <w:szCs w:val="20"/>
          <w:color w:val="auto"/>
        </w:rPr>
      </w:pPr>
    </w:p>
    <w:p>
      <w:pPr>
        <w:jc w:val="both"/>
        <w:ind w:left="140" w:hanging="7"/>
        <w:spacing w:after="0" w:line="267" w:lineRule="auto"/>
        <w:tabs>
          <w:tab w:leader="none" w:pos="44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without the consent of any Lender or L/C Issuer, the Loan Parties, the Administrative Agent or the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contemplated by this Agreement,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Arial" w:cs="Arial" w:eastAsia="Arial" w:hAnsi="Arial"/>
          <w:sz w:val="18"/>
          <w:szCs w:val="18"/>
          <w:u w:val="single" w:color="auto"/>
          <w:color w:val="auto"/>
        </w:rPr>
        <w:t>Section 2.05(a)(iv)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2.14(b)(ii)</w:t>
      </w:r>
      <w:r>
        <w:rPr>
          <w:rFonts w:ascii="Arial" w:cs="Arial" w:eastAsia="Arial" w:hAnsi="Arial"/>
          <w:sz w:val="18"/>
          <w:szCs w:val="18"/>
          <w:color w:val="auto"/>
        </w:rPr>
        <w:t xml:space="preserve"> hereof) and/or (iii) with the consent of the Administrative Agent (provided that any amendment shall not become effective unless the Lenders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modify any other provision hereunder or under any other Loan Document in a manner, as determined by the Administrative Agent in its sole discretion, more favorable to the then-existing Lenders or Class or Classes of Lenders, in each case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 existing Classes of Loans or Commitments under this Agreement share in the benefit of such more favorable terms in order to comply with the provisions hereof relating to the incurrence of such Incremental Facilities or other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-381-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1" w:name="page512"/>
    <w:bookmarkEnd w:id="51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will have at least five Business Days (or such shorter period to which the Administrative Agent may consent in its reasonable discretion) after written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-382-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2" w:name="page513"/>
    <w:bookmarkEnd w:id="51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60"/>
        <w:spacing w:after="0" w:line="260" w:lineRule="auto"/>
        <w:rPr>
          <w:sz w:val="20"/>
          <w:szCs w:val="20"/>
          <w:color w:val="auto"/>
        </w:rPr>
      </w:pPr>
      <w:r>
        <w:rPr>
          <w:rFonts w:ascii="Arial" w:cs="Arial" w:eastAsia="Arial" w:hAnsi="Arial"/>
          <w:sz w:val="20"/>
          <w:szCs w:val="20"/>
          <w:color w:val="auto"/>
        </w:rPr>
        <w:t>notice from the Borrower to provide such consent and may, in its sole discretion, provide written notice to the Lenders regarding any such proposed amendment.</w:t>
      </w:r>
    </w:p>
    <w:p>
      <w:pPr>
        <w:spacing w:after="0" w:line="217" w:lineRule="exact"/>
        <w:rPr>
          <w:sz w:val="20"/>
          <w:szCs w:val="20"/>
          <w:color w:val="auto"/>
        </w:rPr>
      </w:pPr>
    </w:p>
    <w:p>
      <w:pPr>
        <w:jc w:val="both"/>
        <w:ind w:left="140" w:firstLine="1295"/>
        <w:spacing w:after="0" w:line="245" w:lineRule="auto"/>
        <w:rPr>
          <w:sz w:val="20"/>
          <w:szCs w:val="20"/>
          <w:color w:val="auto"/>
        </w:rPr>
      </w:pPr>
      <w:r>
        <w:rPr>
          <w:rFonts w:ascii="Arial" w:cs="Arial" w:eastAsia="Arial" w:hAnsi="Arial"/>
          <w:sz w:val="20"/>
          <w:szCs w:val="20"/>
          <w:color w:val="auto"/>
        </w:rPr>
        <w:t>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w:t>
      </w:r>
    </w:p>
    <w:p>
      <w:pPr>
        <w:jc w:val="both"/>
        <w:ind w:left="140" w:hanging="7"/>
        <w:spacing w:after="0" w:line="267" w:lineRule="auto"/>
        <w:tabs>
          <w:tab w:leader="none" w:pos="6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Credit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8"/>
          <w:szCs w:val="18"/>
          <w:u w:val="single" w:color="auto"/>
          <w:color w:val="auto"/>
        </w:rPr>
        <w:t>Net Short Lender</w:t>
      </w:r>
      <w:r>
        <w:rPr>
          <w:rFonts w:ascii="Arial" w:cs="Arial" w:eastAsia="Arial" w:hAnsi="Arial"/>
          <w:sz w:val="18"/>
          <w:szCs w:val="18"/>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(iv) derivative transactions that are documented using either the 2014 ISDA Credit Derivatives Definitions or the 2003 ISDA Credit Derivatives Definitions (collectively, the “</w:t>
      </w:r>
      <w:r>
        <w:rPr>
          <w:rFonts w:ascii="Arial" w:cs="Arial" w:eastAsia="Arial" w:hAnsi="Arial"/>
          <w:sz w:val="18"/>
          <w:szCs w:val="18"/>
          <w:u w:val="single" w:color="auto"/>
          <w:color w:val="auto"/>
        </w:rPr>
        <w:t>ISDA CDS Definitions</w:t>
      </w:r>
      <w:r>
        <w:rPr>
          <w:rFonts w:ascii="Arial" w:cs="Arial" w:eastAsia="Arial" w:hAnsi="Arial"/>
          <w:sz w:val="18"/>
          <w:szCs w:val="18"/>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In connection with any such determination, each Lender (other than (x) any Lender that is a Regulated Bank and (y) any Revolving Credit Lender as of the Closing Date) shall promptly notify the Administrative Agent in writing that it is a Net Short Lender, or shall otherwise be deemed to have represented and warranted to the Borrower and the Administrative Agent that it is not a Net Short Lender (it being understood and agreed that the</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-383-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3" w:name="page514"/>
    <w:bookmarkEnd w:id="51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40"/>
        <w:spacing w:after="0" w:line="250" w:lineRule="auto"/>
        <w:rPr>
          <w:sz w:val="20"/>
          <w:szCs w:val="20"/>
          <w:color w:val="auto"/>
        </w:rPr>
      </w:pPr>
      <w:r>
        <w:rPr>
          <w:rFonts w:ascii="Arial" w:cs="Arial" w:eastAsia="Arial" w:hAnsi="Arial"/>
          <w:sz w:val="20"/>
          <w:szCs w:val="20"/>
          <w:color w:val="auto"/>
        </w:rPr>
        <w:t>Administrative Agent shall be entitled to rely on each such representation and deemed representation and shall have no duty to (x) inquire as to or investigate the accuracy of any such representation or deemed representation or (y) otherwise ascertain or monitor whether any Lender, Eligible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-384-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4" w:name="page515"/>
    <w:bookmarkEnd w:id="51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right="20"/>
        <w:spacing w:after="0" w:line="244" w:lineRule="auto"/>
        <w:rPr>
          <w:sz w:val="20"/>
          <w:szCs w:val="20"/>
          <w:color w:val="auto"/>
        </w:rPr>
      </w:pPr>
      <w:r>
        <w:rPr>
          <w:rFonts w:ascii="Arial" w:cs="Arial" w:eastAsia="Arial" w:hAnsi="Arial"/>
          <w:sz w:val="20"/>
          <w:szCs w:val="20"/>
          <w:color w:val="auto"/>
        </w:rPr>
        <w:t>Assignee or Participant or prospective Lender, Eligible Assignee or Participant is a Net Short Lender or make any calculations, investigations or determinations with respect to any derivative contracts and/or net short positions). Without limiting the foregoing, the Administrative Agent shall not (A) be responsible or have any liability for, or have any duty to ascertain, inquire into, monitor or enforce, compliance with the provisions hereof relating to the Net Short Lenders or (B) have any liability with respect to or arising out of any assignment or participation of Loans to any Net Short Lender).</w:t>
      </w:r>
    </w:p>
    <w:p>
      <w:pPr>
        <w:spacing w:after="0" w:line="235"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6"/>
          <w:szCs w:val="16"/>
          <w:u w:val="single" w:color="auto"/>
          <w:color w:val="auto"/>
        </w:rPr>
        <w:t>Notices and Other Communications; Facsimile Copies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291"/>
        <w:spacing w:after="0" w:line="282" w:lineRule="auto"/>
        <w:tabs>
          <w:tab w:leader="none" w:pos="195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202" w:lineRule="exact"/>
        <w:rPr>
          <w:sz w:val="20"/>
          <w:szCs w:val="20"/>
          <w:color w:val="auto"/>
        </w:rPr>
      </w:pPr>
    </w:p>
    <w:p>
      <w:pPr>
        <w:jc w:val="both"/>
        <w:ind w:left="780" w:firstLine="722"/>
        <w:spacing w:after="0" w:line="269" w:lineRule="auto"/>
        <w:tabs>
          <w:tab w:leader="none" w:pos="1943"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if to the Borrower, the Administrative Agent, an L/C Issuer, to the address, facsimile number, electronic mail address or telephone number specified for such Person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to such other address, facsimile number, electronic mail address or telephone number as shall be designated by such party in a notice to the other parties; and</w:t>
      </w:r>
    </w:p>
    <w:p>
      <w:pPr>
        <w:spacing w:after="0" w:line="210" w:lineRule="exact"/>
        <w:rPr>
          <w:rFonts w:ascii="Arial" w:cs="Arial" w:eastAsia="Arial" w:hAnsi="Arial"/>
          <w:sz w:val="19"/>
          <w:szCs w:val="19"/>
          <w:color w:val="auto"/>
        </w:rPr>
      </w:pPr>
    </w:p>
    <w:p>
      <w:pPr>
        <w:jc w:val="both"/>
        <w:ind w:left="780" w:firstLine="667"/>
        <w:spacing w:after="0" w:line="291" w:lineRule="auto"/>
        <w:tabs>
          <w:tab w:leader="none" w:pos="194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and the L/C Issuers.</w:t>
      </w:r>
    </w:p>
    <w:p>
      <w:pPr>
        <w:spacing w:after="0" w:line="179" w:lineRule="exact"/>
        <w:rPr>
          <w:sz w:val="20"/>
          <w:szCs w:val="20"/>
          <w:color w:val="auto"/>
        </w:rPr>
      </w:pPr>
    </w:p>
    <w:p>
      <w:pPr>
        <w:jc w:val="both"/>
        <w:ind w:left="140"/>
        <w:spacing w:after="0" w:line="269"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10.02(b)</w:t>
      </w:r>
      <w:r>
        <w:rPr>
          <w:rFonts w:ascii="Arial" w:cs="Arial" w:eastAsia="Arial" w:hAnsi="Arial"/>
          <w:sz w:val="18"/>
          <w:szCs w:val="18"/>
          <w:color w:val="auto"/>
        </w:rPr>
        <w:t xml:space="preserve">), when delivered;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notices and other communications to the Administrative Agent, the L/C Issuer pursuant to </w:t>
      </w:r>
      <w:r>
        <w:rPr>
          <w:rFonts w:ascii="Arial" w:cs="Arial" w:eastAsia="Arial" w:hAnsi="Arial"/>
          <w:sz w:val="18"/>
          <w:szCs w:val="18"/>
          <w:u w:val="single" w:color="auto"/>
          <w:color w:val="auto"/>
        </w:rPr>
        <w:t>Article</w:t>
      </w:r>
    </w:p>
    <w:p>
      <w:pPr>
        <w:spacing w:after="0" w:line="4" w:lineRule="exact"/>
        <w:rPr>
          <w:sz w:val="20"/>
          <w:szCs w:val="20"/>
          <w:color w:val="auto"/>
        </w:rPr>
      </w:pPr>
    </w:p>
    <w:p>
      <w:pPr>
        <w:ind w:left="140" w:hanging="6"/>
        <w:spacing w:after="0" w:line="244" w:lineRule="auto"/>
        <w:tabs>
          <w:tab w:leader="none" w:pos="333" w:val="left"/>
        </w:tabs>
        <w:numPr>
          <w:ilvl w:val="0"/>
          <w:numId w:val="412"/>
        </w:numPr>
        <w:rPr>
          <w:rFonts w:ascii="Arial" w:cs="Arial" w:eastAsia="Arial" w:hAnsi="Arial"/>
          <w:sz w:val="20"/>
          <w:szCs w:val="20"/>
          <w:u w:val="single" w:color="auto"/>
          <w:color w:val="auto"/>
        </w:rPr>
      </w:pPr>
      <w:r>
        <w:rPr>
          <w:rFonts w:ascii="Arial" w:cs="Arial" w:eastAsia="Arial" w:hAnsi="Arial"/>
          <w:sz w:val="20"/>
          <w:szCs w:val="20"/>
          <w:color w:val="auto"/>
        </w:rPr>
        <w:t>shall not be effective until actually received by such Person during the person’s normal business hours. In no event shall a voice mail message be effective as a notice, communication or confirmation hereunder.</w:t>
      </w:r>
    </w:p>
    <w:p>
      <w:pPr>
        <w:spacing w:after="0" w:line="231" w:lineRule="exact"/>
        <w:rPr>
          <w:rFonts w:ascii="Arial" w:cs="Arial" w:eastAsia="Arial" w:hAnsi="Arial"/>
          <w:sz w:val="20"/>
          <w:szCs w:val="20"/>
          <w:u w:val="single" w:color="auto"/>
          <w:color w:val="auto"/>
        </w:rPr>
      </w:pPr>
    </w:p>
    <w:p>
      <w:pPr>
        <w:jc w:val="both"/>
        <w:ind w:left="220" w:firstLine="1186"/>
        <w:spacing w:after="0" w:line="257" w:lineRule="auto"/>
        <w:tabs>
          <w:tab w:leader="none" w:pos="1948" w:val="left"/>
        </w:tabs>
        <w:numPr>
          <w:ilvl w:val="1"/>
          <w:numId w:val="412"/>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Issuers hereunder may be delivered or furnished by electronic communication (including e- mail and Internet or intranet websites) pursuant to procedures approved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12" w:lineRule="exact"/>
        <w:rPr>
          <w:sz w:val="20"/>
          <w:szCs w:val="20"/>
          <w:color w:val="auto"/>
        </w:rPr>
      </w:pPr>
    </w:p>
    <w:p>
      <w:pPr>
        <w:jc w:val="both"/>
        <w:ind w:left="140" w:firstLine="1295"/>
        <w:spacing w:after="0" w:line="291"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notice or other</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-385-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5" w:name="page516"/>
    <w:bookmarkEnd w:id="51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communication is not sent during the normal business hours of the recipient, such notice or communication shall be deemed to have been sent at the opening of business on the next business day for the recipient, and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-386-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6" w:name="page517"/>
    <w:bookmarkEnd w:id="51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hanging="6"/>
        <w:spacing w:after="0" w:line="250" w:lineRule="auto"/>
        <w:tabs>
          <w:tab w:leader="none" w:pos="651" w:val="left"/>
        </w:tabs>
        <w:numPr>
          <w:ilvl w:val="0"/>
          <w:numId w:val="413"/>
        </w:numPr>
        <w:rPr>
          <w:rFonts w:ascii="Arial" w:cs="Arial" w:eastAsia="Arial" w:hAnsi="Arial"/>
          <w:sz w:val="20"/>
          <w:szCs w:val="20"/>
          <w:color w:val="auto"/>
        </w:rPr>
      </w:pPr>
      <w:r>
        <w:rPr>
          <w:rFonts w:ascii="Arial" w:cs="Arial" w:eastAsia="Arial" w:hAnsi="Arial"/>
          <w:sz w:val="20"/>
          <w:szCs w:val="20"/>
          <w:color w:val="auto"/>
        </w:rPr>
        <w:t xml:space="preserve">notices or communications posted to an Internet or intranet website shall be deemed received upon the deemed receipt by the 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w:t>
      </w:r>
    </w:p>
    <w:p>
      <w:pPr>
        <w:spacing w:after="0" w:line="226" w:lineRule="exact"/>
        <w:rPr>
          <w:rFonts w:ascii="Arial" w:cs="Arial" w:eastAsia="Arial" w:hAnsi="Arial"/>
          <w:sz w:val="20"/>
          <w:szCs w:val="20"/>
          <w:color w:val="auto"/>
        </w:rPr>
      </w:pPr>
    </w:p>
    <w:p>
      <w:pPr>
        <w:ind w:left="1940" w:hanging="534"/>
        <w:spacing w:after="0"/>
        <w:tabs>
          <w:tab w:leader="none" w:pos="1940" w:val="left"/>
        </w:tabs>
        <w:numPr>
          <w:ilvl w:val="1"/>
          <w:numId w:val="413"/>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7" w:lineRule="exact"/>
        <w:rPr>
          <w:rFonts w:ascii="Arial" w:cs="Arial" w:eastAsia="Arial" w:hAnsi="Arial"/>
          <w:sz w:val="19"/>
          <w:szCs w:val="19"/>
          <w:color w:val="auto"/>
        </w:rPr>
      </w:pPr>
    </w:p>
    <w:p>
      <w:pPr>
        <w:jc w:val="both"/>
        <w:ind w:left="220"/>
        <w:spacing w:after="0" w:line="253"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any Agent Party have any liability to any Loan Party, any Lender, any L/C Issuer or any other Person for indirect, special, incidental, consequential or punitive damages (as opposed to direct or actual damages).</w:t>
      </w:r>
    </w:p>
    <w:p>
      <w:pPr>
        <w:spacing w:after="0" w:line="216" w:lineRule="exact"/>
        <w:rPr>
          <w:rFonts w:ascii="Arial" w:cs="Arial" w:eastAsia="Arial" w:hAnsi="Arial"/>
          <w:sz w:val="19"/>
          <w:szCs w:val="19"/>
          <w:color w:val="auto"/>
        </w:rPr>
      </w:pPr>
    </w:p>
    <w:p>
      <w:pPr>
        <w:jc w:val="both"/>
        <w:ind w:left="220" w:firstLine="1131"/>
        <w:spacing w:after="0" w:line="270" w:lineRule="auto"/>
        <w:tabs>
          <w:tab w:leader="none" w:pos="1948"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Holdings, the Borrower, the Administrative Agent,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their securities for purposes of United States Federal or state securities laws.</w:t>
      </w:r>
    </w:p>
    <w:p>
      <w:pPr>
        <w:spacing w:after="0" w:line="216" w:lineRule="exact"/>
        <w:rPr>
          <w:rFonts w:ascii="Arial" w:cs="Arial" w:eastAsia="Arial" w:hAnsi="Arial"/>
          <w:sz w:val="18"/>
          <w:szCs w:val="18"/>
          <w:color w:val="auto"/>
        </w:rPr>
      </w:pPr>
    </w:p>
    <w:p>
      <w:pPr>
        <w:jc w:val="both"/>
        <w:ind w:left="220" w:firstLine="1077"/>
        <w:spacing w:after="0" w:line="276" w:lineRule="auto"/>
        <w:tabs>
          <w:tab w:leader="none" w:pos="1948"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Reliance by Agents and Lenders</w:t>
      </w:r>
      <w:r>
        <w:rPr>
          <w:rFonts w:ascii="Arial" w:cs="Arial" w:eastAsia="Arial" w:hAnsi="Arial"/>
          <w:sz w:val="18"/>
          <w:szCs w:val="18"/>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-387-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17" w:name="page518"/>
    <w:bookmarkEnd w:id="51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firstLine="1087"/>
        <w:spacing w:after="0" w:line="260" w:lineRule="auto"/>
        <w:tabs>
          <w:tab w:leader="none" w:pos="1935" w:val="left"/>
        </w:tabs>
        <w:numPr>
          <w:ilvl w:val="0"/>
          <w:numId w:val="414"/>
        </w:numPr>
        <w:rPr>
          <w:rFonts w:ascii="Arial" w:cs="Arial" w:eastAsia="Arial" w:hAnsi="Arial"/>
          <w:sz w:val="20"/>
          <w:szCs w:val="20"/>
          <w:color w:val="auto"/>
        </w:rPr>
      </w:pPr>
      <w:r>
        <w:rPr>
          <w:rFonts w:ascii="Arial" w:cs="Arial" w:eastAsia="Arial" w:hAnsi="Arial"/>
          <w:sz w:val="20"/>
          <w:szCs w:val="20"/>
          <w:u w:val="single" w:color="auto"/>
          <w:color w:val="auto"/>
        </w:rPr>
        <w:t>Notice to other Loan Parties</w:t>
      </w:r>
      <w:r>
        <w:rPr>
          <w:rFonts w:ascii="Arial" w:cs="Arial" w:eastAsia="Arial" w:hAnsi="Arial"/>
          <w:sz w:val="20"/>
          <w:szCs w:val="20"/>
          <w:color w:val="auto"/>
        </w:rPr>
        <w:t>. The Borrower agrees that notices to be given to any other Loan Party under this Agreement or any other Loan Document may be given to the Borrower in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-388-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518" w:name="page519"/>
    <w:bookmarkEnd w:id="51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 xml:space="preserve">accordance with the provisions of this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with the same effect as if given to such other Loan Party in accordance with the terms hereunder or thereunder.</w:t>
      </w:r>
    </w:p>
    <w:p>
      <w:pPr>
        <w:spacing w:after="0" w:line="217" w:lineRule="exact"/>
        <w:rPr>
          <w:sz w:val="20"/>
          <w:szCs w:val="20"/>
          <w:color w:val="auto"/>
        </w:rPr>
      </w:pPr>
    </w:p>
    <w:p>
      <w:pPr>
        <w:jc w:val="both"/>
        <w:ind w:left="140" w:right="80" w:firstLine="1296"/>
        <w:spacing w:after="0" w:line="243"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No Waiver; Cumulative Remedies</w:t>
      </w:r>
      <w:r>
        <w:rPr>
          <w:rFonts w:ascii="Arial" w:cs="Arial" w:eastAsia="Arial" w:hAnsi="Arial"/>
          <w:sz w:val="20"/>
          <w:szCs w:val="20"/>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23" w:lineRule="exact"/>
        <w:rPr>
          <w:sz w:val="20"/>
          <w:szCs w:val="20"/>
          <w:color w:val="auto"/>
        </w:rPr>
      </w:pPr>
    </w:p>
    <w:p>
      <w:pPr>
        <w:jc w:val="both"/>
        <w:ind w:left="140" w:right="80" w:firstLine="1296"/>
        <w:spacing w:after="0" w:line="30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Attorney Costs and Expenses</w:t>
      </w:r>
      <w:r>
        <w:rPr>
          <w:rFonts w:ascii="Arial" w:cs="Arial" w:eastAsia="Arial" w:hAnsi="Arial"/>
          <w:sz w:val="16"/>
          <w:szCs w:val="16"/>
          <w:color w:val="auto"/>
        </w:rPr>
        <w:t xml:space="preserve">. The Borrower agrees (a) if the Closing Date occurs, to pay or reimburse the Administrative Agent and the Lead Arranger for all reasonable and documented or invoiced out-of-pocket costs and expenses associated with the syndication of the Initial Term Loans and Revolving Credit Loans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and (b) to pay or reimburse the Administrative Agent, the Lead Arranger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 the case of legal fees, limited to all Attorney Costs of one counsel for all such Persons (and, in the case of an actual or perceived conflict of interest, where such Person affected by such conflict informs the Borrowers of such conflict and thereafter retains its own counsel, of another firm of counsel for such affected Person)). The foregoing costs and expenses shall include all reasonable search, filing, recording and title insurance charges and fees related thereto, and other reasonable and documented out-of-pocket expenses incurred by any Agent. The agreements in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survive the termination of the Aggregate Commitments and repayment of all other Obligations. All amounts due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40" w:right="80" w:firstLine="1296"/>
        <w:spacing w:after="0" w:line="271"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Whether or not the transactions contemplated hereby are consummated, the Borrower shall indemnify and hold harmless each Agent- Related Person, each Lender, the Lead Arranger, and their respective Affiliates, directors, officers, employees, counsel, agents, advisors, and other representatives (collectively, the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losses, liabilities, damages, claims, and reasonable and documented or invoiced out-of- 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the Borrower, its equity holders, its Affiliates, creditors or any other third person) that relates to the</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-389-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200"/>
          </w:cols>
          <w:pgMar w:left="320" w:top="121" w:right="379" w:bottom="1440" w:gutter="0" w:footer="0" w:header="0"/>
        </w:sectPr>
      </w:pPr>
    </w:p>
    <w:bookmarkStart w:id="519" w:name="page520"/>
    <w:bookmarkEnd w:id="51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Transactions, including the financing contemplated hereby, of any kind or nature whatsoever which may at any time be imposed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-390-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280"/>
          </w:cols>
          <w:pgMar w:left="320" w:top="121" w:right="1299" w:bottom="1440" w:gutter="0" w:footer="0" w:header="0"/>
        </w:sectPr>
      </w:pPr>
    </w:p>
    <w:bookmarkStart w:id="520" w:name="page521"/>
    <w:bookmarkEnd w:id="52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68" w:lineRule="auto"/>
        <w:rPr>
          <w:sz w:val="20"/>
          <w:szCs w:val="20"/>
          <w:color w:val="auto"/>
        </w:rPr>
      </w:pPr>
      <w:r>
        <w:rPr>
          <w:rFonts w:ascii="Arial" w:cs="Arial" w:eastAsia="Arial" w:hAnsi="Arial"/>
          <w:sz w:val="18"/>
          <w:szCs w:val="18"/>
          <w:color w:val="auto"/>
        </w:rPr>
        <w:t>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to the extent arising from the former ownership or operation of the Borrower, any Subsidiary or any other Loan Party, formerly owned or operated by the Borrower, any Subsidiary or any other Loan Party, or any Environmental Liability related in any way to the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in all cases, whether or not caused by or arising, in whole or in part, out of the negligence of the Indemnitee;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indemnity shall not, as to any Indemnitee, be available to the extent that such liabilities, obligations, losses, damages, penalties, claims, demands, actions, judgments, suits, costs, expenses or disbursements resulted from (w) the gross negligence, bad faith or willful misconduct of such Indemnitee or of any of its controlled Affiliates or controlling Persons or any of the officers, directors, employees, agents, advisors or members of any of the foregoing, in each case who are involved in or aware of the Transactions (as determined by a court of competent jurisdiction in a final and non-appealable decision), (x) a material breach of the Loan Documents by such Indemnitee or one of its Affiliates (as determined by a court of competent jurisdiction in a final and non-appealable decision), or</w:t>
      </w:r>
    </w:p>
    <w:p>
      <w:pPr>
        <w:spacing w:after="0" w:line="216" w:lineRule="exact"/>
        <w:rPr>
          <w:sz w:val="20"/>
          <w:szCs w:val="20"/>
          <w:color w:val="auto"/>
        </w:rPr>
      </w:pPr>
    </w:p>
    <w:p>
      <w:pPr>
        <w:jc w:val="both"/>
        <w:ind w:left="140" w:hanging="7"/>
        <w:spacing w:after="0" w:line="267" w:lineRule="auto"/>
        <w:tabs>
          <w:tab w:leader="none" w:pos="65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No Indemnitee shall be liable for any damages arising from the use by others of any information or other materials obtained through IntraLinks or other similar information transmission systems in connection with this Agreement. No Indemnitee nor any Loan Party shall have any liability for any special, punitive, indirect or consequential damages relating to this Agreement or any other Loan Document or arising out of its activities in connection herewith or therewith (whether before or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in this sentence shall limit the Borrower’s indemnification obligations under the Loan Documents to the extent such special, punitive, indirect or consequential damages are included in any third- party claim in connection with which any Indemnitee is entitled to indemnification hereunder. In the case of an investigation, litigation or other proceeding to which the indemnity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paid within ten (10) Business Days after demand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Indemnitee shall promptly refund such amount to the extent that there is a final judicial or arbitral determination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Indemnitee was not entitled to indemnification or contribution rights with respect to such payment pursuant to the express terms of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survive the resignation of the Administrative Agent, the replacement of any Lender, the termination of the Aggregate Commitments and the repayment, satisfaction or discharge of all the other Obligations. For the avoidance of doubt,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not apply to Taxes other than Taxes that represent liabilities, obligations, losses, damages, etc., with respect to a non-Tax claim.</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-391-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1" w:name="page522"/>
    <w:bookmarkEnd w:id="52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u w:val="single" w:color="auto"/>
          <w:color w:val="auto"/>
        </w:rPr>
        <w:t>Payments Set Aside</w:t>
      </w:r>
      <w:r>
        <w:rPr>
          <w:rFonts w:ascii="Arial" w:cs="Arial" w:eastAsia="Arial" w:hAnsi="Arial"/>
          <w:sz w:val="20"/>
          <w:szCs w:val="20"/>
          <w:color w:val="auto"/>
        </w:rPr>
        <w:t>. To the extent that any payment by or on behalf of a Borrower is made to any Agent or any Lender, or any Agent or any Lender exercises its right of setoff,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-392-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980"/>
          </w:cols>
          <w:pgMar w:left="320" w:top="121" w:right="599" w:bottom="1440" w:gutter="0" w:footer="0" w:header="0"/>
        </w:sectPr>
      </w:pPr>
    </w:p>
    <w:bookmarkStart w:id="522" w:name="page523"/>
    <w:bookmarkEnd w:id="52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74" w:lineRule="auto"/>
        <w:rPr>
          <w:sz w:val="20"/>
          <w:szCs w:val="20"/>
          <w:color w:val="auto"/>
        </w:rPr>
      </w:pPr>
      <w:r>
        <w:rPr>
          <w:rFonts w:ascii="Arial" w:cs="Arial" w:eastAsia="Arial" w:hAnsi="Arial"/>
          <w:sz w:val="18"/>
          <w:szCs w:val="18"/>
          <w:color w:val="auto"/>
        </w:rPr>
        <w:t>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Rate.</w:t>
      </w:r>
    </w:p>
    <w:p>
      <w:pPr>
        <w:spacing w:after="0" w:line="209" w:lineRule="exact"/>
        <w:rPr>
          <w:sz w:val="20"/>
          <w:szCs w:val="20"/>
          <w:color w:val="auto"/>
        </w:rPr>
      </w:pPr>
    </w:p>
    <w:p>
      <w:pPr>
        <w:ind w:left="1440"/>
        <w:spacing w:after="0"/>
        <w:tabs>
          <w:tab w:leader="none" w:pos="2700" w:val="left"/>
        </w:tabs>
        <w:rPr>
          <w:sz w:val="20"/>
          <w:szCs w:val="20"/>
          <w:color w:val="auto"/>
        </w:rPr>
      </w:pPr>
      <w:r>
        <w:rPr>
          <w:rFonts w:ascii="Arial" w:cs="Arial" w:eastAsia="Arial" w:hAnsi="Arial"/>
          <w:sz w:val="20"/>
          <w:szCs w:val="20"/>
          <w:color w:val="auto"/>
        </w:rPr>
        <w:t>Section 10.07</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324" w:lineRule="exact"/>
        <w:rPr>
          <w:sz w:val="20"/>
          <w:szCs w:val="20"/>
          <w:color w:val="auto"/>
        </w:rPr>
      </w:pPr>
    </w:p>
    <w:p>
      <w:pPr>
        <w:jc w:val="both"/>
        <w:ind w:left="220" w:firstLine="1186"/>
        <w:spacing w:after="0" w:line="253" w:lineRule="auto"/>
        <w:tabs>
          <w:tab w:leader="none" w:pos="1948" w:val="left"/>
        </w:tabs>
        <w:numPr>
          <w:ilvl w:val="0"/>
          <w:numId w:val="416"/>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except as otherwise provided herein (including without limitation as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neither Holdings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10.07(e)</w:t>
      </w:r>
      <w:r>
        <w:rPr>
          <w:rFonts w:ascii="Arial" w:cs="Arial" w:eastAsia="Arial" w:hAnsi="Arial"/>
          <w:sz w:val="19"/>
          <w:szCs w:val="19"/>
          <w:color w:val="auto"/>
        </w:rPr>
        <w:t xml:space="preserve">, (iii) by way of pledge or assignment of a security interest subject to the restrictions of </w:t>
      </w:r>
      <w:r>
        <w:rPr>
          <w:rFonts w:ascii="Arial" w:cs="Arial" w:eastAsia="Arial" w:hAnsi="Arial"/>
          <w:sz w:val="19"/>
          <w:szCs w:val="19"/>
          <w:u w:val="single" w:color="auto"/>
          <w:color w:val="auto"/>
        </w:rPr>
        <w:t>Section 10.07(g)</w:t>
      </w:r>
      <w:r>
        <w:rPr>
          <w:rFonts w:ascii="Arial" w:cs="Arial" w:eastAsia="Arial" w:hAnsi="Arial"/>
          <w:sz w:val="19"/>
          <w:szCs w:val="19"/>
          <w:color w:val="auto"/>
        </w:rPr>
        <w:t xml:space="preserve"> or (iv) to an SPC in accordance with the provisions of </w:t>
      </w:r>
      <w:r>
        <w:rPr>
          <w:rFonts w:ascii="Arial" w:cs="Arial" w:eastAsia="Arial" w:hAnsi="Arial"/>
          <w:sz w:val="19"/>
          <w:szCs w:val="19"/>
          <w:u w:val="single" w:color="auto"/>
          <w:color w:val="auto"/>
        </w:rPr>
        <w:t>Section 10.07(h)</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10.07(e)</w:t>
      </w:r>
      <w:r>
        <w:rPr>
          <w:rFonts w:ascii="Arial" w:cs="Arial" w:eastAsia="Arial" w:hAnsi="Arial"/>
          <w:sz w:val="19"/>
          <w:szCs w:val="19"/>
          <w:color w:val="auto"/>
        </w:rPr>
        <w:t xml:space="preserve">, the Lead Arrangers to the extent provided in </w:t>
      </w:r>
      <w:r>
        <w:rPr>
          <w:rFonts w:ascii="Arial" w:cs="Arial" w:eastAsia="Arial" w:hAnsi="Arial"/>
          <w:sz w:val="19"/>
          <w:szCs w:val="19"/>
          <w:u w:val="single" w:color="auto"/>
          <w:color w:val="auto"/>
        </w:rPr>
        <w:t>Sections 9.04</w:t>
      </w:r>
      <w:r>
        <w:rPr>
          <w:rFonts w:ascii="Arial" w:cs="Arial" w:eastAsia="Arial" w:hAnsi="Arial"/>
          <w:sz w:val="19"/>
          <w:szCs w:val="19"/>
          <w:color w:val="auto"/>
        </w:rPr>
        <w:t xml:space="preserve">, </w:t>
      </w:r>
      <w:r>
        <w:rPr>
          <w:rFonts w:ascii="Arial" w:cs="Arial" w:eastAsia="Arial" w:hAnsi="Arial"/>
          <w:sz w:val="19"/>
          <w:szCs w:val="19"/>
          <w:u w:val="single" w:color="auto"/>
          <w:color w:val="auto"/>
        </w:rPr>
        <w:t>9.06</w:t>
      </w:r>
      <w:r>
        <w:rPr>
          <w:rFonts w:ascii="Arial" w:cs="Arial" w:eastAsia="Arial" w:hAnsi="Arial"/>
          <w:sz w:val="19"/>
          <w:szCs w:val="19"/>
          <w:color w:val="auto"/>
        </w:rPr>
        <w:t xml:space="preserve">, </w:t>
      </w:r>
      <w:r>
        <w:rPr>
          <w:rFonts w:ascii="Arial" w:cs="Arial" w:eastAsia="Arial" w:hAnsi="Arial"/>
          <w:sz w:val="19"/>
          <w:szCs w:val="19"/>
          <w:u w:val="single" w:color="auto"/>
          <w:color w:val="auto"/>
        </w:rPr>
        <w:t>9.12</w:t>
      </w:r>
      <w:r>
        <w:rPr>
          <w:rFonts w:ascii="Arial" w:cs="Arial" w:eastAsia="Arial" w:hAnsi="Arial"/>
          <w:sz w:val="19"/>
          <w:szCs w:val="19"/>
          <w:color w:val="auto"/>
        </w:rPr>
        <w:t>,</w:t>
      </w:r>
    </w:p>
    <w:p>
      <w:pPr>
        <w:spacing w:after="0" w:line="7" w:lineRule="exact"/>
        <w:rPr>
          <w:rFonts w:ascii="Arial" w:cs="Arial" w:eastAsia="Arial" w:hAnsi="Arial"/>
          <w:sz w:val="19"/>
          <w:szCs w:val="19"/>
          <w:color w:val="auto"/>
        </w:rPr>
      </w:pPr>
    </w:p>
    <w:p>
      <w:pPr>
        <w:ind w:left="220"/>
        <w:spacing w:after="0" w:line="244" w:lineRule="auto"/>
        <w:rPr>
          <w:rFonts w:ascii="Arial" w:cs="Arial" w:eastAsia="Arial" w:hAnsi="Arial"/>
          <w:sz w:val="19"/>
          <w:szCs w:val="19"/>
          <w:color w:val="auto"/>
        </w:rPr>
      </w:pPr>
      <w:r>
        <w:rPr>
          <w:rFonts w:ascii="Arial" w:cs="Arial" w:eastAsia="Arial" w:hAnsi="Arial"/>
          <w:sz w:val="20"/>
          <w:szCs w:val="20"/>
          <w:u w:val="single" w:color="auto"/>
          <w:color w:val="auto"/>
        </w:rPr>
        <w:t>10.07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10.21</w:t>
      </w:r>
      <w:r>
        <w:rPr>
          <w:rFonts w:ascii="Arial" w:cs="Arial" w:eastAsia="Arial" w:hAnsi="Arial"/>
          <w:sz w:val="20"/>
          <w:szCs w:val="20"/>
          <w:color w:val="auto"/>
        </w:rPr>
        <w:t>, and, to the extent expressly contemplated hereby, the Indemnitees) any legal or equitable right, remedy or claim under or by reason of this Agreement.</w:t>
      </w:r>
    </w:p>
    <w:p>
      <w:pPr>
        <w:spacing w:after="0" w:line="218" w:lineRule="exact"/>
        <w:rPr>
          <w:rFonts w:ascii="Arial" w:cs="Arial" w:eastAsia="Arial" w:hAnsi="Arial"/>
          <w:sz w:val="19"/>
          <w:szCs w:val="19"/>
          <w:color w:val="auto"/>
        </w:rPr>
      </w:pPr>
    </w:p>
    <w:p>
      <w:pPr>
        <w:jc w:val="both"/>
        <w:ind w:left="220" w:firstLine="1291"/>
        <w:spacing w:after="0" w:line="246" w:lineRule="auto"/>
        <w:tabs>
          <w:tab w:leader="none" w:pos="1816" w:val="left"/>
        </w:tabs>
        <w:numPr>
          <w:ilvl w:val="3"/>
          <w:numId w:val="416"/>
        </w:numPr>
        <w:rPr>
          <w:rFonts w:ascii="Arial" w:cs="Arial" w:eastAsia="Arial" w:hAnsi="Arial"/>
          <w:sz w:val="20"/>
          <w:szCs w:val="20"/>
          <w:color w:val="auto"/>
        </w:rPr>
      </w:pPr>
      <w:r>
        <w:rPr>
          <w:rFonts w:ascii="Arial" w:cs="Arial" w:eastAsia="Arial" w:hAnsi="Arial"/>
          <w:sz w:val="20"/>
          <w:szCs w:val="20"/>
          <w:color w:val="auto"/>
        </w:rPr>
        <w:t xml:space="preserve">(i) Subject to the conditions set forth in </w:t>
      </w:r>
      <w:r>
        <w:rPr>
          <w:rFonts w:ascii="Arial" w:cs="Arial" w:eastAsia="Arial" w:hAnsi="Arial"/>
          <w:sz w:val="20"/>
          <w:szCs w:val="20"/>
          <w:u w:val="single" w:color="auto"/>
          <w:color w:val="auto"/>
        </w:rPr>
        <w:t>paragraph (b)(ii)</w:t>
      </w:r>
      <w:r>
        <w:rPr>
          <w:rFonts w:ascii="Arial" w:cs="Arial" w:eastAsia="Arial" w:hAnsi="Arial"/>
          <w:sz w:val="20"/>
          <w:szCs w:val="20"/>
          <w:color w:val="auto"/>
        </w:rPr>
        <w:t xml:space="preserve"> below, any Lender may assign to one or more assignees (“</w:t>
      </w:r>
      <w:r>
        <w:rPr>
          <w:rFonts w:ascii="Arial" w:cs="Arial" w:eastAsia="Arial" w:hAnsi="Arial"/>
          <w:sz w:val="20"/>
          <w:szCs w:val="20"/>
          <w:u w:val="single" w:color="auto"/>
          <w:color w:val="auto"/>
        </w:rPr>
        <w:t>Assignees</w:t>
      </w:r>
      <w:r>
        <w:rPr>
          <w:rFonts w:ascii="Arial" w:cs="Arial" w:eastAsia="Arial" w:hAnsi="Arial"/>
          <w:sz w:val="20"/>
          <w:szCs w:val="20"/>
          <w:color w:val="auto"/>
        </w:rPr>
        <w:t xml:space="preserve">”) all or a portion of its rights and obligations under this Agreement (including all or a portion of its Commitment and the Loans (including for purposes of this </w:t>
      </w:r>
      <w:r>
        <w:rPr>
          <w:rFonts w:ascii="Arial" w:cs="Arial" w:eastAsia="Arial" w:hAnsi="Arial"/>
          <w:sz w:val="20"/>
          <w:szCs w:val="20"/>
          <w:u w:val="single" w:color="auto"/>
          <w:color w:val="auto"/>
        </w:rPr>
        <w:t>Section 10.07(b)</w:t>
      </w:r>
      <w:r>
        <w:rPr>
          <w:rFonts w:ascii="Arial" w:cs="Arial" w:eastAsia="Arial" w:hAnsi="Arial"/>
          <w:sz w:val="20"/>
          <w:szCs w:val="20"/>
          <w:color w:val="auto"/>
        </w:rPr>
        <w:t>, participations in L/C Obligations) at the time owing to it) with the prior written consent (such consent not to be unreasonably withheld or delayed) of:</w:t>
      </w:r>
    </w:p>
    <w:p>
      <w:pPr>
        <w:spacing w:after="0" w:line="231" w:lineRule="exact"/>
        <w:rPr>
          <w:rFonts w:ascii="Arial" w:cs="Arial" w:eastAsia="Arial" w:hAnsi="Arial"/>
          <w:sz w:val="20"/>
          <w:szCs w:val="20"/>
          <w:color w:val="auto"/>
        </w:rPr>
      </w:pPr>
    </w:p>
    <w:p>
      <w:pPr>
        <w:jc w:val="both"/>
        <w:ind w:left="780" w:firstLine="649"/>
        <w:spacing w:after="0" w:line="243" w:lineRule="auto"/>
        <w:tabs>
          <w:tab w:leader="none" w:pos="1943" w:val="left"/>
        </w:tabs>
        <w:numPr>
          <w:ilvl w:val="1"/>
          <w:numId w:val="416"/>
        </w:numPr>
        <w:rPr>
          <w:rFonts w:ascii="Arial" w:cs="Arial" w:eastAsia="Arial" w:hAnsi="Arial"/>
          <w:sz w:val="20"/>
          <w:szCs w:val="20"/>
          <w:color w:val="auto"/>
        </w:rPr>
      </w:pPr>
      <w:r>
        <w:rPr>
          <w:rFonts w:ascii="Arial" w:cs="Arial" w:eastAsia="Arial" w:hAnsi="Arial"/>
          <w:sz w:val="20"/>
          <w:szCs w:val="20"/>
          <w:color w:val="auto"/>
        </w:rPr>
        <w:t xml:space="preserve">the Borrower,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no consent of the Borrower shall be required for an assignment (1) of any Term Loan to any other Lender, any Affiliate of a Lead Arranger or Lender or any Approved Fund, (2) of any Revolving Credit Loans or Revolving Credit Commitment to any other Revolving Lender, any Affiliate of a Revolving Lender or any Approved Fund of a Revolving Lender or, (3) of any Term Loan, Revolving Credit Loans or Revolving Credit Commitment, if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under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has occurred and is continuing, to any Assignee; </w:t>
      </w:r>
      <w:r>
        <w:rPr>
          <w:rFonts w:ascii="Arial" w:cs="Arial" w:eastAsia="Arial" w:hAnsi="Arial"/>
          <w:sz w:val="20"/>
          <w:szCs w:val="20"/>
          <w:i w:val="1"/>
          <w:iCs w:val="1"/>
          <w:color w:val="auto"/>
        </w:rPr>
        <w:t>provided</w:t>
      </w:r>
      <w:r>
        <w:rPr>
          <w:rFonts w:ascii="Arial" w:cs="Arial" w:eastAsia="Arial" w:hAnsi="Arial"/>
          <w:sz w:val="20"/>
          <w:szCs w:val="20"/>
          <w:color w:val="auto"/>
        </w:rPr>
        <w:t>, further, that such consent shall be deemed to have been given if the Borrower has not responded within 10 Business Days after notice by the Administrative Agent;</w:t>
      </w:r>
    </w:p>
    <w:p>
      <w:pPr>
        <w:spacing w:after="0" w:line="233" w:lineRule="exact"/>
        <w:rPr>
          <w:rFonts w:ascii="Arial" w:cs="Arial" w:eastAsia="Arial" w:hAnsi="Arial"/>
          <w:sz w:val="20"/>
          <w:szCs w:val="20"/>
          <w:color w:val="auto"/>
        </w:rPr>
      </w:pPr>
    </w:p>
    <w:p>
      <w:pPr>
        <w:ind w:left="780" w:firstLine="649"/>
        <w:spacing w:after="0" w:line="260" w:lineRule="auto"/>
        <w:tabs>
          <w:tab w:leader="none" w:pos="1940" w:val="left"/>
        </w:tabs>
        <w:numPr>
          <w:ilvl w:val="1"/>
          <w:numId w:val="416"/>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Administrative Agent shall be required for an assignment to another Lender, an Affiliate of a Lead Arranger or Lender or an Approved Fund;</w:t>
      </w:r>
    </w:p>
    <w:p>
      <w:pPr>
        <w:spacing w:after="0" w:line="203" w:lineRule="exact"/>
        <w:rPr>
          <w:rFonts w:ascii="Arial" w:cs="Arial" w:eastAsia="Arial" w:hAnsi="Arial"/>
          <w:sz w:val="20"/>
          <w:szCs w:val="20"/>
          <w:color w:val="auto"/>
        </w:rPr>
      </w:pPr>
    </w:p>
    <w:p>
      <w:pPr>
        <w:ind w:left="780" w:right="20" w:firstLine="698"/>
        <w:spacing w:after="0" w:line="260" w:lineRule="auto"/>
        <w:tabs>
          <w:tab w:leader="none" w:pos="1939" w:val="left"/>
        </w:tabs>
        <w:numPr>
          <w:ilvl w:val="2"/>
          <w:numId w:val="416"/>
        </w:numPr>
        <w:rPr>
          <w:rFonts w:ascii="Arial" w:cs="Arial" w:eastAsia="Arial" w:hAnsi="Arial"/>
          <w:sz w:val="20"/>
          <w:szCs w:val="20"/>
          <w:color w:val="auto"/>
        </w:rPr>
      </w:pPr>
      <w:r>
        <w:rPr>
          <w:rFonts w:ascii="Arial" w:cs="Arial" w:eastAsia="Arial" w:hAnsi="Arial"/>
          <w:sz w:val="20"/>
          <w:szCs w:val="20"/>
          <w:color w:val="auto"/>
        </w:rPr>
        <w:t xml:space="preserve">each L/C Issuer at the time of such assignment,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such L/C Issuers shall be required for any assignment of a Term Loan; and</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-393-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-394-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24" w:name="page525"/>
    <w:bookmarkEnd w:id="524"/>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40" w:hanging="511"/>
        <w:spacing w:after="0"/>
        <w:tabs>
          <w:tab w:leader="none" w:pos="1940" w:val="left"/>
        </w:tabs>
        <w:numPr>
          <w:ilvl w:val="2"/>
          <w:numId w:val="417"/>
        </w:numPr>
        <w:rPr>
          <w:rFonts w:ascii="Arial" w:cs="Arial" w:eastAsia="Arial" w:hAnsi="Arial"/>
          <w:sz w:val="20"/>
          <w:szCs w:val="20"/>
          <w:color w:val="auto"/>
        </w:rPr>
      </w:pPr>
      <w:r>
        <w:rPr>
          <w:rFonts w:ascii="Arial" w:cs="Arial" w:eastAsia="Arial" w:hAnsi="Arial"/>
          <w:sz w:val="20"/>
          <w:szCs w:val="20"/>
          <w:color w:val="auto"/>
        </w:rPr>
        <w:t>in the case of any assignment of any of the Revolving Credit Facility, the consent of each L/C Issuer.</w:t>
      </w:r>
    </w:p>
    <w:p>
      <w:pPr>
        <w:spacing w:after="0" w:line="256" w:lineRule="exact"/>
        <w:rPr>
          <w:rFonts w:ascii="Arial" w:cs="Arial" w:eastAsia="Arial" w:hAnsi="Arial"/>
          <w:sz w:val="20"/>
          <w:szCs w:val="20"/>
          <w:color w:val="auto"/>
        </w:rPr>
      </w:pPr>
    </w:p>
    <w:p>
      <w:pPr>
        <w:ind w:left="2060" w:hanging="549"/>
        <w:spacing w:after="0"/>
        <w:tabs>
          <w:tab w:leader="none" w:pos="2060" w:val="left"/>
        </w:tabs>
        <w:numPr>
          <w:ilvl w:val="3"/>
          <w:numId w:val="417"/>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2" w:lineRule="exact"/>
        <w:rPr>
          <w:rFonts w:ascii="Arial" w:cs="Arial" w:eastAsia="Arial" w:hAnsi="Arial"/>
          <w:sz w:val="20"/>
          <w:szCs w:val="20"/>
          <w:color w:val="auto"/>
        </w:rPr>
      </w:pPr>
    </w:p>
    <w:p>
      <w:pPr>
        <w:jc w:val="both"/>
        <w:ind w:left="780" w:right="80" w:firstLine="546"/>
        <w:spacing w:after="0" w:line="242" w:lineRule="auto"/>
        <w:tabs>
          <w:tab w:leader="none" w:pos="1941" w:val="left"/>
        </w:tabs>
        <w:numPr>
          <w:ilvl w:val="1"/>
          <w:numId w:val="418"/>
        </w:numPr>
        <w:rPr>
          <w:rFonts w:ascii="Arial" w:cs="Arial" w:eastAsia="Arial" w:hAnsi="Arial"/>
          <w:sz w:val="20"/>
          <w:szCs w:val="20"/>
          <w:color w:val="auto"/>
        </w:rPr>
      </w:pPr>
      <w:r>
        <w:rPr>
          <w:rFonts w:ascii="Arial" w:cs="Arial" w:eastAsia="Arial" w:hAnsi="Arial"/>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 million (in the case of the Revolving Credit Facility) or $1.0 million (in the case of a Term Loan) unless the Borrower and the Administrative Agent otherwise consents,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(1) no such consent of the Borrower shall be required if an Event of Default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has occurred and is continuing and (2) such amounts shall be aggregated in respect of each Lender and its Affiliates or Approved Funds, if any;</w:t>
      </w:r>
    </w:p>
    <w:p>
      <w:pPr>
        <w:spacing w:after="0" w:line="237" w:lineRule="exact"/>
        <w:rPr>
          <w:rFonts w:ascii="Arial" w:cs="Arial" w:eastAsia="Arial" w:hAnsi="Arial"/>
          <w:sz w:val="20"/>
          <w:szCs w:val="20"/>
          <w:color w:val="auto"/>
        </w:rPr>
      </w:pPr>
    </w:p>
    <w:p>
      <w:pPr>
        <w:ind w:left="1940" w:hanging="670"/>
        <w:spacing w:after="0"/>
        <w:tabs>
          <w:tab w:leader="none" w:pos="1940" w:val="left"/>
        </w:tabs>
        <w:numPr>
          <w:ilvl w:val="1"/>
          <w:numId w:val="418"/>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w:t>
      </w:r>
    </w:p>
    <w:p>
      <w:pPr>
        <w:spacing w:after="0" w:line="15"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color w:val="auto"/>
        </w:rPr>
        <w:t>Assumption;</w:t>
      </w:r>
    </w:p>
    <w:p>
      <w:pPr>
        <w:spacing w:after="0" w:line="240" w:lineRule="exact"/>
        <w:rPr>
          <w:rFonts w:ascii="Arial" w:cs="Arial" w:eastAsia="Arial" w:hAnsi="Arial"/>
          <w:sz w:val="20"/>
          <w:szCs w:val="20"/>
          <w:color w:val="auto"/>
        </w:rPr>
      </w:pPr>
    </w:p>
    <w:p>
      <w:pPr>
        <w:ind w:left="780" w:right="80" w:firstLine="435"/>
        <w:spacing w:after="0" w:line="260" w:lineRule="auto"/>
        <w:tabs>
          <w:tab w:leader="none" w:pos="1940" w:val="left"/>
        </w:tabs>
        <w:numPr>
          <w:ilvl w:val="1"/>
          <w:numId w:val="418"/>
        </w:numPr>
        <w:rPr>
          <w:rFonts w:ascii="Arial" w:cs="Arial" w:eastAsia="Arial" w:hAnsi="Arial"/>
          <w:sz w:val="20"/>
          <w:szCs w:val="20"/>
          <w:color w:val="auto"/>
        </w:rPr>
      </w:pPr>
      <w:r>
        <w:rPr>
          <w:rFonts w:ascii="Arial" w:cs="Arial" w:eastAsia="Arial" w:hAnsi="Arial"/>
          <w:sz w:val="20"/>
          <w:szCs w:val="20"/>
          <w:color w:val="auto"/>
        </w:rPr>
        <w:t xml:space="preserve">the Assignee, if it shall not be a Lender, shall deliver to the Administrative Agent an Administrative Questionnaire and any documentation required by </w:t>
      </w:r>
      <w:r>
        <w:rPr>
          <w:rFonts w:ascii="Arial" w:cs="Arial" w:eastAsia="Arial" w:hAnsi="Arial"/>
          <w:sz w:val="20"/>
          <w:szCs w:val="20"/>
          <w:u w:val="single" w:color="auto"/>
          <w:color w:val="auto"/>
        </w:rPr>
        <w:t>Section 3.01(f)</w:t>
      </w:r>
      <w:r>
        <w:rPr>
          <w:rFonts w:ascii="Arial" w:cs="Arial" w:eastAsia="Arial" w:hAnsi="Arial"/>
          <w:sz w:val="20"/>
          <w:szCs w:val="20"/>
          <w:color w:val="auto"/>
        </w:rPr>
        <w:t>;</w:t>
      </w:r>
    </w:p>
    <w:p>
      <w:pPr>
        <w:spacing w:after="0" w:line="284" w:lineRule="exact"/>
        <w:rPr>
          <w:rFonts w:ascii="Arial" w:cs="Arial" w:eastAsia="Arial" w:hAnsi="Arial"/>
          <w:sz w:val="20"/>
          <w:szCs w:val="20"/>
          <w:color w:val="auto"/>
        </w:rPr>
      </w:pPr>
    </w:p>
    <w:p>
      <w:pPr>
        <w:jc w:val="both"/>
        <w:ind w:left="780" w:right="80" w:firstLine="446"/>
        <w:spacing w:after="0" w:line="250" w:lineRule="auto"/>
        <w:tabs>
          <w:tab w:leader="none" w:pos="1928" w:val="left"/>
        </w:tabs>
        <w:numPr>
          <w:ilvl w:val="0"/>
          <w:numId w:val="419"/>
        </w:numPr>
        <w:rPr>
          <w:rFonts w:ascii="Arial" w:cs="Arial" w:eastAsia="Arial" w:hAnsi="Arial"/>
          <w:sz w:val="20"/>
          <w:szCs w:val="20"/>
          <w:color w:val="auto"/>
        </w:rPr>
      </w:pPr>
      <w:r>
        <w:rPr>
          <w:rFonts w:ascii="Arial" w:cs="Arial" w:eastAsia="Arial" w:hAnsi="Arial"/>
          <w:sz w:val="20"/>
          <w:szCs w:val="20"/>
          <w:color w:val="auto"/>
        </w:rPr>
        <w:t xml:space="preserve">the Assignee shall not be a natural person (or a holding company, investment vehicle or trust for, or owned and operated for the primary benefit of a natural person), a Disqualified Lender or, except to the extent permitted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10.07(k)</w:t>
      </w:r>
      <w:r>
        <w:rPr>
          <w:rFonts w:ascii="Arial" w:cs="Arial" w:eastAsia="Arial" w:hAnsi="Arial"/>
          <w:sz w:val="20"/>
          <w:szCs w:val="20"/>
          <w:color w:val="auto"/>
        </w:rPr>
        <w:t>, Holdings or any of its Subsidiaries;</w:t>
      </w:r>
    </w:p>
    <w:p>
      <w:pPr>
        <w:spacing w:after="0" w:line="212" w:lineRule="exact"/>
        <w:rPr>
          <w:rFonts w:ascii="Arial" w:cs="Arial" w:eastAsia="Arial" w:hAnsi="Arial"/>
          <w:sz w:val="20"/>
          <w:szCs w:val="20"/>
          <w:color w:val="auto"/>
        </w:rPr>
      </w:pPr>
    </w:p>
    <w:p>
      <w:pPr>
        <w:ind w:left="2060" w:hanging="779"/>
        <w:spacing w:after="0"/>
        <w:tabs>
          <w:tab w:leader="none" w:pos="206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the Assignee shall not be a Defaulting Lender.</w:t>
      </w:r>
    </w:p>
    <w:p>
      <w:pPr>
        <w:spacing w:after="0" w:line="256"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shall not prohibit any Lender from assigning all or a portion of its rights and obligations among separate Facilities on a non-pro rata basis.</w:t>
      </w:r>
    </w:p>
    <w:p>
      <w:pPr>
        <w:spacing w:after="0" w:line="217" w:lineRule="exact"/>
        <w:rPr>
          <w:sz w:val="20"/>
          <w:szCs w:val="20"/>
          <w:color w:val="auto"/>
        </w:rPr>
      </w:pPr>
    </w:p>
    <w:p>
      <w:pPr>
        <w:jc w:val="both"/>
        <w:ind w:left="220" w:right="80" w:firstLine="1290"/>
        <w:spacing w:after="0" w:line="307" w:lineRule="auto"/>
        <w:tabs>
          <w:tab w:leader="none" w:pos="178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Section 10.07(d)</w:t>
      </w:r>
      <w:r>
        <w:rPr>
          <w:rFonts w:ascii="Arial" w:cs="Arial" w:eastAsia="Arial" w:hAnsi="Arial"/>
          <w:sz w:val="16"/>
          <w:szCs w:val="16"/>
          <w:color w:val="auto"/>
        </w:rPr>
        <w:t xml:space="preserve"> and receipt by the Administrative Agent from the parties to each assignment of a processing and recordation fee of $3,500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Administrative Agent may, in its sole discretion, elect to waive such processing and recordation fee in the case of any assignment and (ii) such fee shall not be applicable in the case of an assignment to an Affiliate of the assigning Lender or to an Affiliate of a Lead Arranger),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(including, for the avoidance of doubt, any rights and obligations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with respect to facts and circumstances occurring prior to the effective date of such assignment). Upon request, and the surrender by the assigning Lender of its Note (if any), the Borrower (at their expense) shall execute and deliver a Note to the assignee Lender. Any assignment or transfer by a Lender of rights or obligations under this Agreement that does not comply with this </w:t>
      </w:r>
      <w:r>
        <w:rPr>
          <w:rFonts w:ascii="Arial" w:cs="Arial" w:eastAsia="Arial" w:hAnsi="Arial"/>
          <w:sz w:val="16"/>
          <w:szCs w:val="16"/>
          <w:u w:val="single" w:color="auto"/>
          <w:color w:val="auto"/>
        </w:rPr>
        <w:t>clause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-395-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200"/>
          </w:cols>
          <w:pgMar w:left="320" w:top="121" w:right="379" w:bottom="1440" w:gutter="0" w:footer="0" w:header="0"/>
        </w:sectPr>
      </w:pPr>
    </w:p>
    <w:bookmarkStart w:id="525" w:name="page526"/>
    <w:bookmarkEnd w:id="52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hanging="5"/>
        <w:spacing w:after="0" w:line="260" w:lineRule="auto"/>
        <w:tabs>
          <w:tab w:leader="none" w:pos="656" w:val="left"/>
        </w:tabs>
        <w:numPr>
          <w:ilvl w:val="0"/>
          <w:numId w:val="421"/>
        </w:numPr>
        <w:rPr>
          <w:rFonts w:ascii="Arial" w:cs="Arial" w:eastAsia="Arial" w:hAnsi="Arial"/>
          <w:sz w:val="20"/>
          <w:szCs w:val="20"/>
          <w:u w:val="single" w:color="auto"/>
          <w:color w:val="auto"/>
        </w:rPr>
      </w:pPr>
      <w:r>
        <w:rPr>
          <w:rFonts w:ascii="Arial" w:cs="Arial" w:eastAsia="Arial" w:hAnsi="Arial"/>
          <w:sz w:val="20"/>
          <w:szCs w:val="20"/>
          <w:color w:val="auto"/>
        </w:rPr>
        <w:t xml:space="preserve">shall be treated for purposes of this Agreement as a sale by such Lender of a participation in such rights and obligations in accordance with </w:t>
      </w:r>
      <w:r>
        <w:rPr>
          <w:rFonts w:ascii="Arial" w:cs="Arial" w:eastAsia="Arial" w:hAnsi="Arial"/>
          <w:sz w:val="20"/>
          <w:szCs w:val="20"/>
          <w:u w:val="single" w:color="auto"/>
          <w:color w:val="auto"/>
        </w:rPr>
        <w:t>Section 10.07(e)</w:t>
      </w:r>
      <w:r>
        <w:rPr>
          <w:rFonts w:ascii="Arial" w:cs="Arial" w:eastAsia="Arial" w:hAnsi="Arial"/>
          <w:sz w:val="20"/>
          <w:szCs w:val="20"/>
          <w:color w:val="auto"/>
        </w:rPr>
        <w:t>. For greater certainty, any assignment by a Lender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-396-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6" w:name="page527"/>
    <w:bookmarkEnd w:id="52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50" w:lineRule="auto"/>
        <w:rPr>
          <w:sz w:val="20"/>
          <w:szCs w:val="20"/>
          <w:color w:val="auto"/>
        </w:rPr>
      </w:pPr>
      <w:r>
        <w:rPr>
          <w:rFonts w:ascii="Arial" w:cs="Arial" w:eastAsia="Arial" w:hAnsi="Arial"/>
          <w:sz w:val="20"/>
          <w:szCs w:val="20"/>
          <w:color w:val="auto"/>
        </w:rPr>
        <w:t xml:space="preserve">pursuant to this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shall not in any way constitute or be deemed to constitute a novation, discharge, recession, extinguishment or substitution of the existing Indebtedness and any Indebtedness so assigned shall continue to be the same obligation and not a new obligations.</w:t>
      </w:r>
    </w:p>
    <w:p>
      <w:pPr>
        <w:spacing w:after="0" w:line="226" w:lineRule="exact"/>
        <w:rPr>
          <w:sz w:val="20"/>
          <w:szCs w:val="20"/>
          <w:color w:val="auto"/>
        </w:rPr>
      </w:pPr>
    </w:p>
    <w:p>
      <w:pPr>
        <w:jc w:val="both"/>
        <w:ind w:left="220" w:firstLine="1291"/>
        <w:spacing w:after="0" w:line="271" w:lineRule="auto"/>
        <w:tabs>
          <w:tab w:leader="none" w:pos="1950" w:val="left"/>
        </w:tabs>
        <w:numPr>
          <w:ilvl w:val="0"/>
          <w:numId w:val="422"/>
        </w:numPr>
        <w:rPr>
          <w:rFonts w:ascii="Arial" w:cs="Arial" w:eastAsia="Arial" w:hAnsi="Arial"/>
          <w:sz w:val="18"/>
          <w:szCs w:val="18"/>
          <w:u w:val="single" w:color="auto"/>
          <w:color w:val="auto"/>
        </w:rPr>
      </w:pPr>
      <w:r>
        <w:rPr>
          <w:rFonts w:ascii="Arial" w:cs="Arial" w:eastAsia="Arial" w:hAnsi="Arial"/>
          <w:sz w:val="18"/>
          <w:szCs w:val="18"/>
          <w:color w:val="auto"/>
        </w:rPr>
        <w:t>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and currencies of the Loans, L/C Obligations (specifying the Unreimbursed Amounts), L/C Borrowings,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any Lead Arranger and any Lender (but in the case of any Lender solely with respect to such Lender’s outstanding Loans or Commitments) at any reasonable time and from time to time upon reasonable prior notice. No assignment shall be effective unless recorded in the Register. The parties hereto agree and intend that the Secured Obligations shall be treated as being in registered form for the purposes of the Code (including Sections 163(f), 871(h)(2), 881(c)(2), and 4701 of the Code).</w:t>
      </w:r>
    </w:p>
    <w:p>
      <w:pPr>
        <w:spacing w:after="0" w:line="196" w:lineRule="exact"/>
        <w:rPr>
          <w:rFonts w:ascii="Arial" w:cs="Arial" w:eastAsia="Arial" w:hAnsi="Arial"/>
          <w:sz w:val="18"/>
          <w:szCs w:val="18"/>
          <w:u w:val="single" w:color="auto"/>
          <w:color w:val="auto"/>
        </w:rPr>
      </w:pPr>
    </w:p>
    <w:p>
      <w:pPr>
        <w:jc w:val="both"/>
        <w:ind w:left="220" w:firstLine="1290"/>
        <w:spacing w:after="0" w:line="268" w:lineRule="auto"/>
        <w:tabs>
          <w:tab w:leader="none" w:pos="1948" w:val="left"/>
        </w:tabs>
        <w:numPr>
          <w:ilvl w:val="0"/>
          <w:numId w:val="422"/>
        </w:numPr>
        <w:rPr>
          <w:rFonts w:ascii="Arial" w:cs="Arial" w:eastAsia="Arial" w:hAnsi="Arial"/>
          <w:sz w:val="18"/>
          <w:szCs w:val="18"/>
          <w:u w:val="single" w:color="auto"/>
          <w:color w:val="auto"/>
        </w:rPr>
      </w:pPr>
      <w:r>
        <w:rPr>
          <w:rFonts w:ascii="Arial" w:cs="Arial" w:eastAsia="Arial" w:hAnsi="Arial"/>
          <w:sz w:val="18"/>
          <w:szCs w:val="18"/>
          <w:color w:val="auto"/>
        </w:rPr>
        <w:t>Any Lender may at any time, without the consent of, or notice to, the Borrower or the Administrative Agent, sell participations to any Person (other than a natural person or a Defaulting Lender)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Section 10.07(f)</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(through the applicable Lender),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each Participant shall be subject to the requirements and limitations of such Sections (including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3.01(f)</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Sections 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(it being understood that the Participant shall deliver the forms described in Section 3.01(f) solely to the participating Lender, it being understood that copies of such forms may be required to be included (and, if so, will be included) as part of a non-U.S. Granting Lender’s IRS Form W-8IMY provided to the Administrative Agent or the Borrower), to the same extent as if it were a Lender and had acquired its interest by assignment pursuant to </w:t>
      </w:r>
      <w:r>
        <w:rPr>
          <w:rFonts w:ascii="Arial" w:cs="Arial" w:eastAsia="Arial" w:hAnsi="Arial"/>
          <w:sz w:val="18"/>
          <w:szCs w:val="18"/>
          <w:u w:val="single" w:color="auto"/>
          <w:color w:val="auto"/>
        </w:rPr>
        <w:t>Section 10.07(b)</w:t>
      </w:r>
      <w:r>
        <w:rPr>
          <w:rFonts w:ascii="Arial" w:cs="Arial" w:eastAsia="Arial" w:hAnsi="Arial"/>
          <w:sz w:val="18"/>
          <w:szCs w:val="18"/>
          <w:color w:val="auto"/>
        </w:rPr>
        <w:t xml:space="preserve">. To the extent permitted by applicable Law, each Participant also shall be entitled to the benefits of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complies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Any Lender that sells participations shall maintain a register on which it enters the name and the address of each Participant and the principal and interest amounts of each Participant’s participation interest in the Commitments and/or Loans (or other rights or obligations) held by it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absent demonstrable error, and the Borrower and such Lender shall treat each person whose name is recorded in the Participant Register as the owner of such participation interest as the owner thereof for all purposes notwithstanding any notice to the</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-397-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7" w:name="page528"/>
    <w:bookmarkEnd w:id="52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contrary. In maintaining the Participant Register, such Lender shall be acting as the non-fiduciary agent of the Borrower solely for purposes of applicable United States federal income tax law and undertakes no duty,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-398-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8" w:name="page529"/>
    <w:bookmarkEnd w:id="52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spacing w:after="0" w:line="243" w:lineRule="auto"/>
        <w:rPr>
          <w:sz w:val="20"/>
          <w:szCs w:val="20"/>
          <w:color w:val="auto"/>
        </w:rPr>
      </w:pPr>
      <w:r>
        <w:rPr>
          <w:rFonts w:ascii="Arial" w:cs="Arial" w:eastAsia="Arial" w:hAnsi="Arial"/>
          <w:sz w:val="20"/>
          <w:szCs w:val="20"/>
          <w:color w:val="auto"/>
        </w:rPr>
        <w:t>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in connection with a Tax audit that such commitment, loan, or other obligation is in registered form under Section 5f.103-1(c) of the United States Treasury Regulations or, if different, under Sections 871(h) or 881(c) of the Code.</w:t>
      </w:r>
    </w:p>
    <w:p>
      <w:pPr>
        <w:spacing w:after="0" w:line="236" w:lineRule="exact"/>
        <w:rPr>
          <w:sz w:val="20"/>
          <w:szCs w:val="20"/>
          <w:color w:val="auto"/>
        </w:rPr>
      </w:pPr>
    </w:p>
    <w:p>
      <w:pPr>
        <w:jc w:val="both"/>
        <w:ind w:left="220" w:firstLine="1291"/>
        <w:spacing w:after="0" w:line="246" w:lineRule="auto"/>
        <w:tabs>
          <w:tab w:leader="none" w:pos="1950" w:val="left"/>
        </w:tabs>
        <w:numPr>
          <w:ilvl w:val="0"/>
          <w:numId w:val="423"/>
        </w:numPr>
        <w:rPr>
          <w:rFonts w:ascii="Arial" w:cs="Arial" w:eastAsia="Arial" w:hAnsi="Arial"/>
          <w:sz w:val="20"/>
          <w:szCs w:val="20"/>
          <w:u w:val="single" w:color="auto"/>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a greater payment results from a Change in Law after the Participant became a Participant.</w:t>
      </w:r>
    </w:p>
    <w:p>
      <w:pPr>
        <w:spacing w:after="0" w:line="218" w:lineRule="exact"/>
        <w:rPr>
          <w:rFonts w:ascii="Arial" w:cs="Arial" w:eastAsia="Arial" w:hAnsi="Arial"/>
          <w:sz w:val="20"/>
          <w:szCs w:val="20"/>
          <w:u w:val="single" w:color="auto"/>
          <w:color w:val="auto"/>
        </w:rPr>
      </w:pPr>
    </w:p>
    <w:p>
      <w:pPr>
        <w:jc w:val="both"/>
        <w:ind w:left="220" w:firstLine="1290"/>
        <w:spacing w:after="0" w:line="263" w:lineRule="auto"/>
        <w:tabs>
          <w:tab w:leader="none" w:pos="1947" w:val="left"/>
        </w:tabs>
        <w:numPr>
          <w:ilvl w:val="0"/>
          <w:numId w:val="423"/>
        </w:numPr>
        <w:rPr>
          <w:rFonts w:ascii="Arial" w:cs="Arial" w:eastAsia="Arial" w:hAnsi="Arial"/>
          <w:sz w:val="19"/>
          <w:szCs w:val="19"/>
          <w:u w:val="single" w:color="auto"/>
          <w:color w:val="auto"/>
        </w:rPr>
      </w:pPr>
      <w:r>
        <w:rPr>
          <w:rFonts w:ascii="Arial" w:cs="Arial" w:eastAsia="Arial" w:hAnsi="Arial"/>
          <w:sz w:val="19"/>
          <w:szCs w:val="19"/>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216" w:lineRule="exact"/>
        <w:rPr>
          <w:rFonts w:ascii="Arial" w:cs="Arial" w:eastAsia="Arial" w:hAnsi="Arial"/>
          <w:sz w:val="19"/>
          <w:szCs w:val="19"/>
          <w:u w:val="single" w:color="auto"/>
          <w:color w:val="auto"/>
        </w:rPr>
      </w:pPr>
    </w:p>
    <w:p>
      <w:pPr>
        <w:jc w:val="both"/>
        <w:ind w:left="220" w:firstLine="1291"/>
        <w:spacing w:after="0" w:line="268" w:lineRule="auto"/>
        <w:tabs>
          <w:tab w:leader="none" w:pos="1950" w:val="left"/>
        </w:tabs>
        <w:numPr>
          <w:ilvl w:val="0"/>
          <w:numId w:val="423"/>
        </w:numPr>
        <w:rPr>
          <w:rFonts w:ascii="Arial" w:cs="Arial" w:eastAsia="Arial" w:hAnsi="Arial"/>
          <w:sz w:val="18"/>
          <w:szCs w:val="18"/>
          <w:u w:val="single" w:color="auto"/>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u w:val="single" w:color="auto"/>
          <w:color w:val="auto"/>
        </w:rPr>
        <w:t>Granting Lender</w:t>
      </w:r>
      <w:r>
        <w:rPr>
          <w:rFonts w:ascii="Arial" w:cs="Arial" w:eastAsia="Arial" w:hAnsi="Arial"/>
          <w:sz w:val="18"/>
          <w:szCs w:val="18"/>
          <w:color w:val="auto"/>
        </w:rPr>
        <w:t>”) may grant to a special purpose funding vehicle identified as such in writing from time to time by the Granting Lender to the Administrative Agent and the Borrower (an “</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the option to provide all or any part of any Loan that such Granting Lender would otherwise be obligated to make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subject to the requirements and limitations of such Sections (including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(it being understood that the SPC shall deliver the forms described in Section 3.01(f) solely to the Granting Lender, it being understood that copies of such forms may be required to be included (and, if so, will be included) as part of a non-U.S. Lender’s IRS Form W-8IMY provided to the Administrative Agent or the Borrower)), to the same extent as if such SPC were a Lender, but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except to the extent any entitlement to greater amounts results from a Change in Law after the grant to the SPC occurred, (ii) no SPC shall be liable for any indemnity or similar payment obligation under this Agreement for which a 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assign all or any portion of its right to receive payment with respect to any Loan to the Granting Lender and (ii) disclose on a confidential basis any non- public information relating to its funding of Loans to any rating agency, commercial paper dealer or provider of any surety or Guarantee or credit or liquidity enhancement to such SPC. Any Granting Lender shall maintain a register with respect to any grant described in this clause (h) on which it enters the name and the address of each SPC and the principal and interest amounts of each SPC’s interest in the granted Commitments and/or Loans (or other rights or obligations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-399-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29" w:name="page530"/>
    <w:bookmarkEnd w:id="52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line="260" w:lineRule="auto"/>
        <w:rPr>
          <w:sz w:val="20"/>
          <w:szCs w:val="20"/>
          <w:color w:val="auto"/>
        </w:rPr>
      </w:pPr>
      <w:r>
        <w:rPr>
          <w:rFonts w:ascii="Arial" w:cs="Arial" w:eastAsia="Arial" w:hAnsi="Arial"/>
          <w:sz w:val="20"/>
          <w:szCs w:val="20"/>
          <w:color w:val="auto"/>
        </w:rPr>
        <w:t>with respect thereto), which shall be maintained in a manner similar to any Participant Register described in Section 10.07(e), mutatis mutandis.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-400-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00"/>
          </w:cols>
          <w:pgMar w:left="320" w:top="121" w:right="479" w:bottom="1440" w:gutter="0" w:footer="0" w:header="0"/>
        </w:sectPr>
      </w:pPr>
    </w:p>
    <w:bookmarkStart w:id="530" w:name="page531"/>
    <w:bookmarkEnd w:id="53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20" w:firstLine="1291"/>
        <w:spacing w:after="0" w:line="257" w:lineRule="auto"/>
        <w:tabs>
          <w:tab w:leader="none" w:pos="1950" w:val="left"/>
        </w:tabs>
        <w:numPr>
          <w:ilvl w:val="0"/>
          <w:numId w:val="424"/>
        </w:numPr>
        <w:rPr>
          <w:rFonts w:ascii="Arial" w:cs="Arial" w:eastAsia="Arial" w:hAnsi="Arial"/>
          <w:sz w:val="19"/>
          <w:szCs w:val="19"/>
          <w:u w:val="single" w:color="auto"/>
          <w:color w:val="auto"/>
        </w:rPr>
      </w:pPr>
      <w:r>
        <w:rPr>
          <w:rFonts w:ascii="Arial" w:cs="Arial" w:eastAsia="Arial" w:hAnsi="Arial"/>
          <w:sz w:val="19"/>
          <w:szCs w:val="19"/>
          <w:color w:val="auto"/>
        </w:rPr>
        <w:t xml:space="preserve">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and until such trustee actually becomes a Lender in compliance with the other provisions of this </w:t>
      </w:r>
      <w:r>
        <w:rPr>
          <w:rFonts w:ascii="Arial" w:cs="Arial" w:eastAsia="Arial" w:hAnsi="Arial"/>
          <w:sz w:val="19"/>
          <w:szCs w:val="19"/>
          <w:u w:val="single" w:color="auto"/>
          <w:color w:val="auto"/>
        </w:rPr>
        <w:t>Section 10.07</w:t>
      </w:r>
      <w:r>
        <w:rPr>
          <w:rFonts w:ascii="Arial" w:cs="Arial" w:eastAsia="Arial" w:hAnsi="Arial"/>
          <w:sz w:val="19"/>
          <w:szCs w:val="19"/>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220" w:lineRule="exact"/>
        <w:rPr>
          <w:rFonts w:ascii="Arial" w:cs="Arial" w:eastAsia="Arial" w:hAnsi="Arial"/>
          <w:sz w:val="19"/>
          <w:szCs w:val="19"/>
          <w:u w:val="single" w:color="auto"/>
          <w:color w:val="auto"/>
        </w:rPr>
      </w:pPr>
    </w:p>
    <w:p>
      <w:pPr>
        <w:jc w:val="both"/>
        <w:ind w:left="220" w:firstLine="1290"/>
        <w:spacing w:after="0" w:line="272" w:lineRule="auto"/>
        <w:tabs>
          <w:tab w:leader="none" w:pos="1947" w:val="left"/>
        </w:tabs>
        <w:numPr>
          <w:ilvl w:val="0"/>
          <w:numId w:val="424"/>
        </w:numPr>
        <w:rPr>
          <w:rFonts w:ascii="Arial" w:cs="Arial" w:eastAsia="Arial" w:hAnsi="Arial"/>
          <w:sz w:val="18"/>
          <w:szCs w:val="18"/>
          <w:u w:val="single" w:color="auto"/>
          <w:color w:val="auto"/>
        </w:rPr>
      </w:pPr>
      <w:r>
        <w:rPr>
          <w:rFonts w:ascii="Arial" w:cs="Arial" w:eastAsia="Arial" w:hAnsi="Arial"/>
          <w:sz w:val="18"/>
          <w:szCs w:val="18"/>
          <w:color w:val="auto"/>
        </w:rPr>
        <w:t xml:space="preserve">Notwithstanding anything to the contrary contained herein, any L/C Issuer may, upon thirty (30) days’ notice to the Borrower and the Lenders, resign as an L/C Issuer, respectively;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or prior to the expiration of such 30-day period with respect to such resignation, the relevant L/C Issuer shall have identified, in consultation with the Borrower, a successor L/C Issuer willing to accept its appointment as successor L/C Issuer, as applicable. In the event of any such resignation of an L/C Issuer, the Borrower shall be entitled to appoint from among the Lenders willing to accept such appointment a successor L/C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failure by the Borrower to appoint any such successor shall affect the resignation of the relevant L/C Issuer, as the case may be.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78" w:lineRule="exact"/>
        <w:rPr>
          <w:rFonts w:ascii="Arial" w:cs="Arial" w:eastAsia="Arial" w:hAnsi="Arial"/>
          <w:sz w:val="18"/>
          <w:szCs w:val="18"/>
          <w:u w:val="single" w:color="auto"/>
          <w:color w:val="auto"/>
        </w:rPr>
      </w:pPr>
    </w:p>
    <w:p>
      <w:pPr>
        <w:jc w:val="both"/>
        <w:ind w:left="220" w:firstLine="1291"/>
        <w:spacing w:after="0" w:line="243" w:lineRule="auto"/>
        <w:tabs>
          <w:tab w:leader="none" w:pos="1950" w:val="left"/>
        </w:tabs>
        <w:numPr>
          <w:ilvl w:val="0"/>
          <w:numId w:val="424"/>
        </w:numPr>
        <w:rPr>
          <w:rFonts w:ascii="Arial" w:cs="Arial" w:eastAsia="Arial" w:hAnsi="Arial"/>
          <w:sz w:val="20"/>
          <w:szCs w:val="20"/>
          <w:u w:val="single" w:color="auto"/>
          <w:color w:val="auto"/>
        </w:rPr>
      </w:pPr>
      <w:r>
        <w:rPr>
          <w:rFonts w:ascii="Arial" w:cs="Arial" w:eastAsia="Arial" w:hAnsi="Arial"/>
          <w:sz w:val="20"/>
          <w:szCs w:val="20"/>
          <w:color w:val="auto"/>
        </w:rPr>
        <w:t xml:space="preserve">Any Lender may, so long as (i) no proceeds of Revolving Credit Loans are applied to fund the consideration for any such assignment and (ii) no Event of Default has occurred and is then continuing, at any time, assign all or a portion of its rights and obligations with respect to Term Loans under this Agreement to Holdings or any of its Subsidiaries through (x) Dutch auctions open to all Term Lenders in accordance with procedures of the type described in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or (y) notwithstanding Section </w:t>
      </w:r>
      <w:r>
        <w:rPr>
          <w:rFonts w:ascii="Arial" w:cs="Arial" w:eastAsia="Arial" w:hAnsi="Arial"/>
          <w:sz w:val="20"/>
          <w:szCs w:val="20"/>
          <w:u w:val="single" w:color="auto"/>
          <w:color w:val="auto"/>
        </w:rPr>
        <w:t>2.05(d)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or any other provision in this Agreement, open market purchase on a non-pro rata basis; </w:t>
      </w:r>
      <w:r>
        <w:rPr>
          <w:rFonts w:ascii="Arial" w:cs="Arial" w:eastAsia="Arial" w:hAnsi="Arial"/>
          <w:sz w:val="20"/>
          <w:szCs w:val="20"/>
          <w:i w:val="1"/>
          <w:iCs w:val="1"/>
          <w:color w:val="auto"/>
        </w:rPr>
        <w:t>provided</w:t>
      </w:r>
      <w:r>
        <w:rPr>
          <w:rFonts w:ascii="Arial" w:cs="Arial" w:eastAsia="Arial" w:hAnsi="Arial"/>
          <w:sz w:val="20"/>
          <w:szCs w:val="20"/>
          <w:color w:val="auto"/>
        </w:rPr>
        <w:t>, that, in connection with assignments pursuant to this clause (k):</w:t>
      </w:r>
    </w:p>
    <w:p>
      <w:pPr>
        <w:spacing w:after="0" w:line="223" w:lineRule="exact"/>
        <w:rPr>
          <w:sz w:val="20"/>
          <w:szCs w:val="20"/>
          <w:color w:val="auto"/>
        </w:rPr>
      </w:pPr>
    </w:p>
    <w:p>
      <w:pPr>
        <w:jc w:val="both"/>
        <w:ind w:left="780" w:firstLine="722"/>
        <w:spacing w:after="0" w:line="246" w:lineRule="auto"/>
        <w:tabs>
          <w:tab w:leader="none" w:pos="1943" w:val="left"/>
        </w:tabs>
        <w:numPr>
          <w:ilvl w:val="1"/>
          <w:numId w:val="425"/>
        </w:numPr>
        <w:rPr>
          <w:rFonts w:ascii="Arial" w:cs="Arial" w:eastAsia="Arial" w:hAnsi="Arial"/>
          <w:sz w:val="20"/>
          <w:szCs w:val="20"/>
          <w:color w:val="auto"/>
        </w:rPr>
      </w:pPr>
      <w:r>
        <w:rPr>
          <w:rFonts w:ascii="Arial" w:cs="Arial" w:eastAsia="Arial" w:hAnsi="Arial"/>
          <w:sz w:val="20"/>
          <w:szCs w:val="20"/>
          <w:color w:val="auto"/>
        </w:rPr>
        <w:t>the assigning Lender and Holdings or such Subsidiary, as applicable, shall execute and deliver to the Administrative Agent an Assignment and Assumption in form and substance reasonably satisfactory to the Administrative Agent and all parties to the relevant repurchases shall render customary “big boy” disclaimer letters or any such disclaimers shall be incorporated into the terms of the Assignment and Assumption;</w:t>
      </w:r>
    </w:p>
    <w:p>
      <w:pPr>
        <w:spacing w:after="0" w:line="218" w:lineRule="exact"/>
        <w:rPr>
          <w:rFonts w:ascii="Arial" w:cs="Arial" w:eastAsia="Arial" w:hAnsi="Arial"/>
          <w:sz w:val="20"/>
          <w:szCs w:val="20"/>
          <w:color w:val="auto"/>
        </w:rPr>
      </w:pPr>
    </w:p>
    <w:p>
      <w:pPr>
        <w:jc w:val="both"/>
        <w:ind w:left="780" w:firstLine="667"/>
        <w:spacing w:after="0" w:line="250" w:lineRule="auto"/>
        <w:tabs>
          <w:tab w:leader="none" w:pos="1943" w:val="left"/>
        </w:tabs>
        <w:numPr>
          <w:ilvl w:val="1"/>
          <w:numId w:val="425"/>
        </w:numPr>
        <w:rPr>
          <w:rFonts w:ascii="Arial" w:cs="Arial" w:eastAsia="Arial" w:hAnsi="Arial"/>
          <w:sz w:val="20"/>
          <w:szCs w:val="20"/>
          <w:color w:val="auto"/>
        </w:rPr>
      </w:pPr>
      <w:r>
        <w:rPr>
          <w:rFonts w:ascii="Arial" w:cs="Arial" w:eastAsia="Arial" w:hAnsi="Arial"/>
          <w:sz w:val="20"/>
          <w:szCs w:val="20"/>
          <w:color w:val="auto"/>
        </w:rPr>
        <w:t>if Holdings or any of its Subsidiaries (other than the Borrower) is the assignee, upon such assignment, transfer or contribution, Holdings or such Subsidiary shall automatically be deemed to have contributed the principal amount of such Term Loans, plus all accrued and unpaid interest thereon, to the Borrower; and</w:t>
      </w:r>
    </w:p>
    <w:p>
      <w:pPr>
        <w:spacing w:after="0" w:line="226" w:lineRule="exact"/>
        <w:rPr>
          <w:rFonts w:ascii="Arial" w:cs="Arial" w:eastAsia="Arial" w:hAnsi="Arial"/>
          <w:sz w:val="20"/>
          <w:szCs w:val="20"/>
          <w:color w:val="auto"/>
        </w:rPr>
      </w:pPr>
    </w:p>
    <w:p>
      <w:pPr>
        <w:jc w:val="both"/>
        <w:ind w:left="780" w:firstLine="611"/>
        <w:spacing w:after="0" w:line="243" w:lineRule="auto"/>
        <w:tabs>
          <w:tab w:leader="none" w:pos="1942" w:val="left"/>
        </w:tabs>
        <w:numPr>
          <w:ilvl w:val="1"/>
          <w:numId w:val="425"/>
        </w:numPr>
        <w:rPr>
          <w:rFonts w:ascii="Arial" w:cs="Arial" w:eastAsia="Arial" w:hAnsi="Arial"/>
          <w:sz w:val="20"/>
          <w:szCs w:val="20"/>
          <w:color w:val="auto"/>
        </w:rPr>
      </w:pPr>
      <w:r>
        <w:rPr>
          <w:rFonts w:ascii="Arial" w:cs="Arial" w:eastAsia="Arial" w:hAnsi="Arial"/>
          <w:sz w:val="20"/>
          <w:szCs w:val="20"/>
          <w:color w:val="auto"/>
        </w:rPr>
        <w:t>if the assignee is the Borrower (including through contribution or transfers set forth in clause (ii) above), (a) the principal amount of such Term Loans, along with all accrued and unpaid interest thereon, so contributed, assigned or transferred to the Borrower shall be deemed automatically cancelled and extinguished on the date of such contribution, assignment or transfer,</w:t>
      </w:r>
    </w:p>
    <w:p>
      <w:pPr>
        <w:spacing w:after="0" w:line="2" w:lineRule="exact"/>
        <w:rPr>
          <w:rFonts w:ascii="Arial" w:cs="Arial" w:eastAsia="Arial" w:hAnsi="Arial"/>
          <w:sz w:val="20"/>
          <w:szCs w:val="20"/>
          <w:color w:val="auto"/>
        </w:rPr>
      </w:pPr>
    </w:p>
    <w:p>
      <w:pPr>
        <w:ind w:left="780" w:right="20" w:firstLine="2"/>
        <w:spacing w:after="0" w:line="244" w:lineRule="auto"/>
        <w:tabs>
          <w:tab w:leader="none" w:pos="1294"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the aggregate outstanding principal amount of Term Loans of the remaining Term Lenders shall reflect such cancellation and extinguishing of the Term Loans then held by the Borrower</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-401-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31" w:name="page532"/>
    <w:bookmarkEnd w:id="53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(c) the Borrower shall promptly provide notice to the Administrative Agent of such contribution,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-402-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32" w:name="page533"/>
    <w:bookmarkEnd w:id="53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right="900"/>
        <w:spacing w:after="0" w:line="260" w:lineRule="auto"/>
        <w:rPr>
          <w:sz w:val="20"/>
          <w:szCs w:val="20"/>
          <w:color w:val="auto"/>
        </w:rPr>
      </w:pPr>
      <w:r>
        <w:rPr>
          <w:rFonts w:ascii="Arial" w:cs="Arial" w:eastAsia="Arial" w:hAnsi="Arial"/>
          <w:sz w:val="20"/>
          <w:szCs w:val="20"/>
          <w:color w:val="auto"/>
        </w:rPr>
        <w:t>assignment or transfer of such Term Loans, and the Administrative Agent, upon receipt of such notice, shall reflect the cancellation of the applicable Term Loans in the Register.</w:t>
      </w:r>
    </w:p>
    <w:p>
      <w:pPr>
        <w:spacing w:after="0" w:line="217" w:lineRule="exact"/>
        <w:rPr>
          <w:sz w:val="20"/>
          <w:szCs w:val="20"/>
          <w:color w:val="auto"/>
        </w:rPr>
      </w:pPr>
    </w:p>
    <w:p>
      <w:pPr>
        <w:ind w:left="220" w:right="80" w:firstLine="1185"/>
        <w:spacing w:after="0" w:line="287" w:lineRule="auto"/>
        <w:tabs>
          <w:tab w:leader="none" w:pos="1947" w:val="left"/>
        </w:tabs>
        <w:numPr>
          <w:ilvl w:val="0"/>
          <w:numId w:val="42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any Lender may, at any time, assign all or a portion of its rights and obligations under this Agreement in respect of its Term Loans to any Affiliated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79" w:lineRule="exact"/>
        <w:rPr>
          <w:rFonts w:ascii="Arial" w:cs="Arial" w:eastAsia="Arial" w:hAnsi="Arial"/>
          <w:sz w:val="19"/>
          <w:szCs w:val="19"/>
          <w:color w:val="auto"/>
        </w:rPr>
      </w:pPr>
    </w:p>
    <w:p>
      <w:pPr>
        <w:ind w:left="780" w:firstLine="722"/>
        <w:spacing w:after="0" w:line="272" w:lineRule="auto"/>
        <w:tabs>
          <w:tab w:leader="none" w:pos="1943" w:val="left"/>
        </w:tabs>
        <w:numPr>
          <w:ilvl w:val="1"/>
          <w:numId w:val="427"/>
        </w:numPr>
        <w:rPr>
          <w:rFonts w:ascii="Arial" w:cs="Arial" w:eastAsia="Arial" w:hAnsi="Arial"/>
          <w:sz w:val="18"/>
          <w:szCs w:val="18"/>
          <w:color w:val="auto"/>
        </w:rPr>
      </w:pPr>
      <w:r>
        <w:rPr>
          <w:rFonts w:ascii="Arial" w:cs="Arial" w:eastAsia="Arial" w:hAnsi="Arial"/>
          <w:sz w:val="18"/>
          <w:szCs w:val="18"/>
          <w:color w:val="auto"/>
        </w:rPr>
        <w:t>no Affiliated Lender (other than a Debt Fund Affiliate) shall have any right to (x) attend or participate in (including, in each case, by telephone) any meeting (including “Lender only” meetings) or discussions (or portion thereof) among the Administrative Agent or any Lender to which representatives of the Borrower are not then present or invited thereto, (y)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Term Loans required to be delivered to Lenders pursuant to Section 2) or receive any advice of counsel to the Administrative Agent or (z) make any challenge to the Administrative Agent’s or any other Lender’s attorney-client privilege on the basis of its status as a Lender;</w:t>
      </w:r>
    </w:p>
    <w:p>
      <w:pPr>
        <w:spacing w:after="0" w:line="210" w:lineRule="exact"/>
        <w:rPr>
          <w:rFonts w:ascii="Arial" w:cs="Arial" w:eastAsia="Arial" w:hAnsi="Arial"/>
          <w:sz w:val="18"/>
          <w:szCs w:val="18"/>
          <w:color w:val="auto"/>
        </w:rPr>
      </w:pPr>
    </w:p>
    <w:p>
      <w:pPr>
        <w:ind w:left="780" w:right="20" w:firstLine="667"/>
        <w:spacing w:after="0" w:line="255" w:lineRule="auto"/>
        <w:tabs>
          <w:tab w:leader="none" w:pos="1943" w:val="left"/>
        </w:tabs>
        <w:numPr>
          <w:ilvl w:val="1"/>
          <w:numId w:val="427"/>
        </w:numPr>
        <w:rPr>
          <w:rFonts w:ascii="Arial" w:cs="Arial" w:eastAsia="Arial" w:hAnsi="Arial"/>
          <w:sz w:val="19"/>
          <w:szCs w:val="19"/>
          <w:color w:val="auto"/>
        </w:rPr>
      </w:pPr>
      <w:r>
        <w:rPr>
          <w:rFonts w:ascii="Arial" w:cs="Arial" w:eastAsia="Arial" w:hAnsi="Arial"/>
          <w:sz w:val="19"/>
          <w:szCs w:val="19"/>
          <w:color w:val="auto"/>
        </w:rPr>
        <w:t xml:space="preserve">except with respect to any amendment, modification, waiver, consent or other action (a) that requires the consent of all Lenders, all Lenders directly and adversely affected or specifically such Lender, (b) that alters the applicable Affiliated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any payments given to all Lenders, or (c) affects the applicable Affiliated Lender (in its capacity as a Lender) in a manner that is disproportionate to the effect on any Lender in the same Class, the Term Loans held by the applicable Affiliated Lender (other than a Debt Fund Affiliate) shall be disregarded in both the numerator and denominator in the calculation of any Lender vote (and, in the case of a plan of reorganization that does not affect the applicable Affiliated Lender in a manner that is adverse to such Affiliated Lender relative to other Lenders, such Affiliated Lender shall be deemed to have voted its interest in the Term Loans in the same proportion as the other Lenders in the same Class) (and shall be deemed to have been voted in the same percentage as all other applicable Lenders voted if necessary to give legal effect to this paragraph) (but, in any event, in connection with any amendment, modification, waiver, consent or other action, shall be entitled to any consent fee, calculated as if all of the applicable Affiliated Lender’s Term Loans had voted in favor of any matter for which a consent fee or similar payment is offered); and</w:t>
      </w:r>
    </w:p>
    <w:p>
      <w:pPr>
        <w:spacing w:after="0" w:line="224" w:lineRule="exact"/>
        <w:rPr>
          <w:rFonts w:ascii="Arial" w:cs="Arial" w:eastAsia="Arial" w:hAnsi="Arial"/>
          <w:sz w:val="19"/>
          <w:szCs w:val="19"/>
          <w:color w:val="auto"/>
        </w:rPr>
      </w:pPr>
    </w:p>
    <w:p>
      <w:pPr>
        <w:ind w:left="780" w:right="20" w:firstLine="611"/>
        <w:spacing w:after="0" w:line="276" w:lineRule="auto"/>
        <w:tabs>
          <w:tab w:leader="none" w:pos="194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 xml:space="preserve">no such acquisition by an Affiliated Lender (other than a Debt Fund Affiliate) shall be permitted if, after giving effect to such acquisition, the aggregate principal amount of Term Loans of any Class held by Affiliated Lenders (other than Debt Fund Affiliates) would exceed 25% of the aggregate principal amount of all Term Loans, of such Class outstanding at the time of such purchase;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assignment to an Affiliated Lender (other than a Debt Fund Affiliate) would result in the aggregate principal amount of the applicable Term Loans held by Affiliated Lenders (other than Debt Fund Affiliates) exceeding such 25% threshold at the time of such purchase, the purchase of such excess amount will be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initio.</w:t>
      </w:r>
    </w:p>
    <w:p>
      <w:pPr>
        <w:spacing w:after="0" w:line="192" w:lineRule="exact"/>
        <w:rPr>
          <w:sz w:val="20"/>
          <w:szCs w:val="20"/>
          <w:color w:val="auto"/>
        </w:rPr>
      </w:pPr>
    </w:p>
    <w:p>
      <w:pPr>
        <w:ind w:left="140" w:right="200"/>
        <w:spacing w:after="0" w:line="250" w:lineRule="auto"/>
        <w:rPr>
          <w:sz w:val="20"/>
          <w:szCs w:val="20"/>
          <w:color w:val="auto"/>
        </w:rPr>
      </w:pPr>
      <w:r>
        <w:rPr>
          <w:rFonts w:ascii="Arial" w:cs="Arial" w:eastAsia="Arial" w:hAnsi="Arial"/>
          <w:sz w:val="20"/>
          <w:szCs w:val="20"/>
          <w:color w:val="auto"/>
        </w:rPr>
        <w:t>Each Affiliated Lender agrees to notify the Administrative Agent promptly (and in any event within 10 Business Days) if it acquires any Person who is also a Lender, and each Lender agrees to notify the Administrative Agent promptly (and in any event within ten (10) Business Days) if it becomes an Affiliated Lender.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-403-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060"/>
          </w:cols>
          <w:pgMar w:left="320" w:top="121" w:right="519" w:bottom="1440" w:gutter="0" w:footer="0" w:header="0"/>
        </w:sectPr>
      </w:pPr>
    </w:p>
    <w:bookmarkStart w:id="533" w:name="page534"/>
    <w:bookmarkEnd w:id="53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180" w:firstLine="1032"/>
        <w:spacing w:after="0" w:line="255" w:lineRule="auto"/>
        <w:tabs>
          <w:tab w:leader="none" w:pos="1947"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Notwithstanding anything in Section 10.01 or the definition of “Required Lenders,” or “Required Revolving Credit Lenders” to the contrary, for purposes of determining whether the Required Lenders and Required Revolving Credit Lenders (in respect of a Class of Loans) have (i) consented (or not consented) to any amendment, modification, waiver, consent or other action (other than a Debt Fund Affiliate) with respect to any of the terms of any Loan Document or any departure by any Loan Party therefrom, or subject to </w:t>
      </w:r>
      <w:r>
        <w:rPr>
          <w:rFonts w:ascii="Arial" w:cs="Arial" w:eastAsia="Arial" w:hAnsi="Arial"/>
          <w:sz w:val="19"/>
          <w:szCs w:val="19"/>
          <w:u w:val="single" w:color="auto"/>
          <w:color w:val="auto"/>
        </w:rPr>
        <w:t>Section 10.07(l)(ii)</w:t>
      </w:r>
      <w:r>
        <w:rPr>
          <w:rFonts w:ascii="Arial" w:cs="Arial" w:eastAsia="Arial" w:hAnsi="Arial"/>
          <w:sz w:val="19"/>
          <w:szCs w:val="19"/>
          <w:color w:val="auto"/>
        </w:rPr>
        <w:t>, any plan of reorganization pursuant to the</w:t>
      </w:r>
    </w:p>
    <w:p>
      <w:pPr>
        <w:spacing w:after="0" w:line="2" w:lineRule="exact"/>
        <w:rPr>
          <w:rFonts w:ascii="Arial" w:cs="Arial" w:eastAsia="Arial" w:hAnsi="Arial"/>
          <w:sz w:val="19"/>
          <w:szCs w:val="19"/>
          <w:color w:val="auto"/>
        </w:rPr>
      </w:pPr>
    </w:p>
    <w:p>
      <w:pPr>
        <w:ind w:left="220"/>
        <w:spacing w:after="0" w:line="254" w:lineRule="auto"/>
        <w:rPr>
          <w:rFonts w:ascii="Arial" w:cs="Arial" w:eastAsia="Arial" w:hAnsi="Arial"/>
          <w:sz w:val="19"/>
          <w:szCs w:val="19"/>
          <w:color w:val="auto"/>
        </w:rPr>
      </w:pPr>
      <w:r>
        <w:rPr>
          <w:rFonts w:ascii="Arial" w:cs="Arial" w:eastAsia="Arial" w:hAnsi="Arial"/>
          <w:sz w:val="19"/>
          <w:szCs w:val="19"/>
          <w:color w:val="auto"/>
        </w:rPr>
        <w:t>U.S. Bankruptcy Code, (ii) otherwise acted on any matter related to any Loan Document, or (iii) directed or required the Administrative Agent or any Lender to undertake any action (or refrain from taking any action) with respect to or under any Loan Document, no Affiliated Lender (other than a Debt Fund Affiliate) shall have any right to consent (or not consent), otherwise act or direct or require the Administrative Agent or any Lender to take (or refrain from taking) any such action (other than any such amendment, waiver, consent, modification or other action that requires the consent of each Lender, each affected Lender, affects such Affiliated Lender as compared to other Lenders in a disproportionately adverse manner or that deprives such Affiliated Lender of its pro rata share of any payments to which it is entitled, as to which items each Affiliated Lender shall have the right to vote, consent, act or direct or require the Administrative Agent to take (or refrain from taking) action) and:</w:t>
      </w:r>
    </w:p>
    <w:p>
      <w:pPr>
        <w:spacing w:after="0" w:line="226" w:lineRule="exact"/>
        <w:rPr>
          <w:rFonts w:ascii="Arial" w:cs="Arial" w:eastAsia="Arial" w:hAnsi="Arial"/>
          <w:sz w:val="19"/>
          <w:szCs w:val="19"/>
          <w:color w:val="auto"/>
        </w:rPr>
      </w:pPr>
    </w:p>
    <w:p>
      <w:pPr>
        <w:ind w:left="780" w:right="160" w:firstLine="722"/>
        <w:spacing w:after="0" w:line="250" w:lineRule="auto"/>
        <w:tabs>
          <w:tab w:leader="none" w:pos="1943" w:val="left"/>
        </w:tabs>
        <w:numPr>
          <w:ilvl w:val="1"/>
          <w:numId w:val="428"/>
        </w:numPr>
        <w:rPr>
          <w:rFonts w:ascii="Arial" w:cs="Arial" w:eastAsia="Arial" w:hAnsi="Arial"/>
          <w:sz w:val="20"/>
          <w:szCs w:val="20"/>
          <w:color w:val="auto"/>
        </w:rPr>
      </w:pPr>
      <w:r>
        <w:rPr>
          <w:rFonts w:ascii="Arial" w:cs="Arial" w:eastAsia="Arial" w:hAnsi="Arial"/>
          <w:sz w:val="20"/>
          <w:szCs w:val="20"/>
          <w:color w:val="auto"/>
        </w:rPr>
        <w:t>all Loans held by any Affiliated Lenders (other than a Debt Fund Affiliate) shall be deemed to be not outstanding for all purposes of calculating whether the Required Lenders and Required Revolving Credit Lenders (in respect of a Class of Loans) have taken any actions; and</w:t>
      </w:r>
    </w:p>
    <w:p>
      <w:pPr>
        <w:spacing w:after="0" w:line="212" w:lineRule="exact"/>
        <w:rPr>
          <w:rFonts w:ascii="Arial" w:cs="Arial" w:eastAsia="Arial" w:hAnsi="Arial"/>
          <w:sz w:val="20"/>
          <w:szCs w:val="20"/>
          <w:color w:val="auto"/>
        </w:rPr>
      </w:pPr>
    </w:p>
    <w:p>
      <w:pPr>
        <w:ind w:left="780" w:right="120" w:firstLine="667"/>
        <w:spacing w:after="0" w:line="250" w:lineRule="auto"/>
        <w:tabs>
          <w:tab w:leader="none" w:pos="1943" w:val="left"/>
        </w:tabs>
        <w:numPr>
          <w:ilvl w:val="1"/>
          <w:numId w:val="428"/>
        </w:numPr>
        <w:rPr>
          <w:rFonts w:ascii="Arial" w:cs="Arial" w:eastAsia="Arial" w:hAnsi="Arial"/>
          <w:sz w:val="20"/>
          <w:szCs w:val="20"/>
          <w:color w:val="auto"/>
        </w:rPr>
      </w:pPr>
      <w:r>
        <w:rPr>
          <w:rFonts w:ascii="Arial" w:cs="Arial" w:eastAsia="Arial" w:hAnsi="Arial"/>
          <w:sz w:val="20"/>
          <w:szCs w:val="20"/>
          <w:color w:val="auto"/>
        </w:rPr>
        <w:t>all Loans held by Affiliated Lenders (other than a Debt Fund Affiliate) shall be deemed to be not outstanding for all purposes of calculating whether all Lenders have taken any action unless the action in question affects such Affiliated Lender in a disproportionately adverse manner than its effect on other Lenders.</w:t>
      </w:r>
    </w:p>
    <w:p>
      <w:pPr>
        <w:spacing w:after="0" w:line="226" w:lineRule="exact"/>
        <w:rPr>
          <w:sz w:val="20"/>
          <w:szCs w:val="20"/>
          <w:color w:val="auto"/>
        </w:rPr>
      </w:pPr>
    </w:p>
    <w:p>
      <w:pPr>
        <w:ind w:left="220" w:firstLine="1032"/>
        <w:spacing w:after="0" w:line="271" w:lineRule="auto"/>
        <w:tabs>
          <w:tab w:leader="none" w:pos="194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the other Loan Documents to the contrary, each Affiliated Lender (other than a Debt Fund Affiliate) hereby agrees that if a proceeding under any Debtor Relief Law shall be commenced by or against the Borrower or any other Loan Party at a time when such Lender is an Affiliated Lender (other than a Debt Fund Affiliate),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w:t>
      </w:r>
    </w:p>
    <w:p>
      <w:pPr>
        <w:spacing w:after="0" w:line="214" w:lineRule="exact"/>
        <w:rPr>
          <w:rFonts w:ascii="Arial" w:cs="Arial" w:eastAsia="Arial" w:hAnsi="Arial"/>
          <w:sz w:val="18"/>
          <w:szCs w:val="18"/>
          <w:color w:val="auto"/>
        </w:rPr>
      </w:pPr>
    </w:p>
    <w:p>
      <w:pPr>
        <w:ind w:left="220" w:firstLine="977"/>
        <w:spacing w:after="0" w:line="274" w:lineRule="auto"/>
        <w:tabs>
          <w:tab w:leader="none" w:pos="194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Loans held by Debt Fund Affiliates may not account for more than 49.9% (pro rata among such Debt Fund Affiliates) of the Loans of consenting Lenders included in determining whether the Required Lenders have consented to any action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-404-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080"/>
          </w:cols>
          <w:pgMar w:left="320" w:top="121" w:right="49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-405-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35" w:name="page536"/>
    <w:bookmarkEnd w:id="53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68"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Agents and the Lenders agrees to maintain the confidentiality of the Information and to not use or disclose such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to any pledgee referred to in </w:t>
      </w:r>
      <w:r>
        <w:rPr>
          <w:rFonts w:ascii="Arial" w:cs="Arial" w:eastAsia="Arial" w:hAnsi="Arial"/>
          <w:sz w:val="18"/>
          <w:szCs w:val="18"/>
          <w:u w:val="single" w:color="auto"/>
          <w:color w:val="auto"/>
        </w:rPr>
        <w:t>Section 10.07(g)</w:t>
      </w:r>
      <w:r>
        <w:rPr>
          <w:rFonts w:ascii="Arial" w:cs="Arial" w:eastAsia="Arial" w:hAnsi="Arial"/>
          <w:sz w:val="18"/>
          <w:szCs w:val="18"/>
          <w:color w:val="auto"/>
        </w:rPr>
        <w:t xml:space="preserve">; (c) to the extent required by applicable Laws or regulations or by any subpoena or similar legal process (in which case such Agent or Lender agrees (except with respect to any audit or examination conducted by bank accountants or any regulatory authority including any self-regulatory authority exercising examination or regulatory authority), to the extent practicable and not prohibited by applicable law, rule or regulation, to inform the applicable Loan Party promptly thereof prior to disclosure and upon the reasonable request of any Loan Party cooperate with the Loan Party to obtain a protective order or similar confidential treatment); (d) to any other party to this Agreement; (e) subject to an agreement containing provisions substantially the same as those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as may otherwise be reasonably acceptable to the Borrower), to any pledgee referred to in </w:t>
      </w:r>
      <w:r>
        <w:rPr>
          <w:rFonts w:ascii="Arial" w:cs="Arial" w:eastAsia="Arial" w:hAnsi="Arial"/>
          <w:sz w:val="18"/>
          <w:szCs w:val="18"/>
          <w:u w:val="single" w:color="auto"/>
          <w:color w:val="auto"/>
        </w:rPr>
        <w:t>Section 10.07(i</w:t>
      </w:r>
      <w:r>
        <w:rPr>
          <w:rFonts w:ascii="Arial" w:cs="Arial" w:eastAsia="Arial" w:hAnsi="Arial"/>
          <w:sz w:val="18"/>
          <w:szCs w:val="18"/>
          <w:color w:val="auto"/>
        </w:rPr>
        <w:t xml:space="preserve">), counterparty to a Swap Contract or Qualified Securitization Financing,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(h) to any Governmental Authority or examiner regulating any Lender; (i) to any rating agency when required by it (it being understood that, prior to any such disclosure, such rating agency shall undertake to preserve the confidentiality of any Information relating to the Loan Parties received by it from such Lender); or (j) in connection with the exercise of any remedies hereunder or under any other Loan Document or any action or proceeding relating to this Agreement or any other Loan Document or the enforcement of rights hereunder or thereunder.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“Information” means all information received from any Loan Party or its Affiliates or its Affiliates’ directors, managers, officers, employees, trustees, investment advisors or agents, relating to Holdings, the Borrower or any of their Subsidiaries or their business, other than any such information that is publicly available to any Agent or any Lender prior to disclosure by any Loan Party other than as a result of a breach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including, without limitation, information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hereof.</w:t>
      </w:r>
    </w:p>
    <w:p>
      <w:pPr>
        <w:spacing w:after="0" w:line="282"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Setoff</w:t>
      </w:r>
      <w:r>
        <w:rPr>
          <w:rFonts w:ascii="Arial" w:cs="Arial" w:eastAsia="Arial" w:hAnsi="Arial"/>
          <w:sz w:val="18"/>
          <w:szCs w:val="18"/>
          <w:color w:val="auto"/>
        </w:rPr>
        <w:t>. In addition to any rights and remedies of the Lenders provided by Law, upon the occurrence and during the continuance of any Event of Default, each Lender and its Affiliates and each L/C Issuer and its Affiliates is authorized at any time and from time to time, without prior notice to the Borrower or any other Loan Party, any such notice being waived by the Borrower (on its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Lender and its Affiliates or such L/C Issuer and its Affiliates, as the case may be, to or for the credit or the account of the respective Loan Parties and their Subsidiaries against any and all Obligations owing to such Lender and its Affiliates or such L/C Issuer and its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 Lender or its Affiliates and no L/C Issuer or its Affiliates shall have a right to set off and apply any deposits held</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-406-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36" w:name="page537"/>
    <w:bookmarkEnd w:id="53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or other Indebtedness owing by such Lender or its Affiliates or such L/C Issuer or its Affiliates, as the case may be, to or for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-407-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260"/>
          </w:cols>
          <w:pgMar w:left="320" w:top="121" w:right="1319" w:bottom="1440" w:gutter="0" w:footer="0" w:header="0"/>
        </w:sectPr>
      </w:pPr>
    </w:p>
    <w:bookmarkStart w:id="537" w:name="page538"/>
    <w:bookmarkEnd w:id="53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6" w:lineRule="auto"/>
        <w:rPr>
          <w:sz w:val="20"/>
          <w:szCs w:val="20"/>
          <w:color w:val="auto"/>
        </w:rPr>
      </w:pPr>
      <w:r>
        <w:rPr>
          <w:rFonts w:ascii="Arial" w:cs="Arial" w:eastAsia="Arial" w:hAnsi="Arial"/>
          <w:sz w:val="19"/>
          <w:szCs w:val="19"/>
          <w:color w:val="auto"/>
        </w:rPr>
        <w:t xml:space="preserve">credit or the account of any Subsidiary of a Loan Party that is a Foreign Subsidiary or a Domestic Foreign Holding Company. Each Lender and L/C Issuer agrees promptly to notify the Borrower and the Administrative Agent after any such set off and application made by such Lender or L/C Issuer, as the case may be;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each Lender and each L/C Issuer under this </w:t>
      </w:r>
      <w:r>
        <w:rPr>
          <w:rFonts w:ascii="Arial" w:cs="Arial" w:eastAsia="Arial" w:hAnsi="Arial"/>
          <w:sz w:val="19"/>
          <w:szCs w:val="19"/>
          <w:u w:val="single" w:color="auto"/>
          <w:color w:val="auto"/>
        </w:rPr>
        <w:t>Section</w:t>
      </w:r>
    </w:p>
    <w:p>
      <w:pPr>
        <w:spacing w:after="0" w:line="2" w:lineRule="exact"/>
        <w:rPr>
          <w:sz w:val="20"/>
          <w:szCs w:val="20"/>
          <w:color w:val="auto"/>
        </w:rPr>
      </w:pPr>
    </w:p>
    <w:p>
      <w:pPr>
        <w:jc w:val="both"/>
        <w:ind w:left="140" w:right="20"/>
        <w:spacing w:after="0" w:line="244" w:lineRule="auto"/>
        <w:rPr>
          <w:sz w:val="20"/>
          <w:szCs w:val="20"/>
          <w:color w:val="auto"/>
        </w:rPr>
      </w:pPr>
      <w:r>
        <w:rPr>
          <w:rFonts w:ascii="Arial" w:cs="Arial" w:eastAsia="Arial" w:hAnsi="Arial"/>
          <w:sz w:val="20"/>
          <w:szCs w:val="20"/>
          <w:u w:val="single" w:color="auto"/>
          <w:color w:val="auto"/>
        </w:rPr>
        <w:t>10.09</w:t>
      </w:r>
      <w:r>
        <w:rPr>
          <w:rFonts w:ascii="Arial" w:cs="Arial" w:eastAsia="Arial" w:hAnsi="Arial"/>
          <w:sz w:val="20"/>
          <w:szCs w:val="20"/>
          <w:color w:val="auto"/>
        </w:rPr>
        <w:t xml:space="preserve"> are in addition to other rights and remedies (including other rights of setoff) that the Administrative Agent, such Lender and such L/C Issuer may have.</w:t>
      </w:r>
    </w:p>
    <w:p>
      <w:pPr>
        <w:spacing w:after="0" w:line="232"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 signed original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request or deliver the same shall not limit the effectiveness of any document or signature delivered by telecopier or other electronic transmission.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1"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together with the other Loan Documents and the Fee Letter,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225" w:lineRule="exact"/>
        <w:rPr>
          <w:sz w:val="20"/>
          <w:szCs w:val="20"/>
          <w:color w:val="auto"/>
        </w:rPr>
      </w:pPr>
    </w:p>
    <w:p>
      <w:pPr>
        <w:jc w:val="both"/>
        <w:ind w:left="140" w:firstLine="1296"/>
        <w:spacing w:after="0" w:line="273"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provisions of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shall continue in full force and effect as long as any Loan or any other Obligation hereunder shall remain unpaid or unsatisfied or any Letter of Credit shall remain outstanding.</w:t>
      </w:r>
    </w:p>
    <w:p>
      <w:pPr>
        <w:spacing w:after="0" w:line="209" w:lineRule="exact"/>
        <w:rPr>
          <w:sz w:val="20"/>
          <w:szCs w:val="20"/>
          <w:color w:val="auto"/>
        </w:rPr>
      </w:pPr>
    </w:p>
    <w:p>
      <w:pPr>
        <w:jc w:val="both"/>
        <w:ind w:left="140" w:firstLine="1296"/>
        <w:spacing w:after="0" w:line="250"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-408-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38" w:name="page539"/>
    <w:bookmarkEnd w:id="53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line="260" w:lineRule="auto"/>
        <w:rPr>
          <w:sz w:val="20"/>
          <w:szCs w:val="20"/>
          <w:color w:val="auto"/>
        </w:rPr>
      </w:pPr>
      <w:r>
        <w:rPr>
          <w:rFonts w:ascii="Arial" w:cs="Arial" w:eastAsia="Arial" w:hAnsi="Arial"/>
          <w:sz w:val="20"/>
          <w:szCs w:val="20"/>
          <w:color w:val="auto"/>
        </w:rPr>
        <w:t>thereby. The invalidity of a provision in a particular jurisdiction shall not invalidate or render unenforceable such provision in any other jurisdiction.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-409-</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39" w:name="page540"/>
    <w:bookmarkEnd w:id="53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tabs>
          <w:tab w:leader="none" w:pos="2700" w:val="left"/>
        </w:tabs>
        <w:rPr>
          <w:sz w:val="20"/>
          <w:szCs w:val="20"/>
          <w:color w:val="auto"/>
        </w:rPr>
      </w:pPr>
      <w:r>
        <w:rPr>
          <w:rFonts w:ascii="Arial" w:cs="Arial" w:eastAsia="Arial" w:hAnsi="Arial"/>
          <w:sz w:val="20"/>
          <w:szCs w:val="20"/>
          <w:color w:val="auto"/>
        </w:rPr>
        <w:t>Section 10.14</w:t>
      </w:r>
      <w:r>
        <w:rPr>
          <w:sz w:val="20"/>
          <w:szCs w:val="20"/>
          <w:color w:val="auto"/>
        </w:rPr>
        <w:tab/>
      </w:r>
      <w:r>
        <w:rPr>
          <w:rFonts w:ascii="Arial" w:cs="Arial" w:eastAsia="Arial" w:hAnsi="Arial"/>
          <w:sz w:val="18"/>
          <w:szCs w:val="18"/>
          <w:u w:val="single" w:color="auto"/>
          <w:color w:val="auto"/>
        </w:rPr>
        <w:t>GOVERNING LAW, JURISDICTION, SERVICE OF PROCESS</w:t>
      </w:r>
      <w:r>
        <w:rPr>
          <w:rFonts w:ascii="Arial" w:cs="Arial" w:eastAsia="Arial" w:hAnsi="Arial"/>
          <w:sz w:val="18"/>
          <w:szCs w:val="18"/>
          <w:color w:val="auto"/>
        </w:rPr>
        <w:t>.</w:t>
      </w:r>
    </w:p>
    <w:p>
      <w:pPr>
        <w:spacing w:after="0" w:line="324" w:lineRule="exact"/>
        <w:rPr>
          <w:sz w:val="20"/>
          <w:szCs w:val="20"/>
          <w:color w:val="auto"/>
        </w:rPr>
      </w:pPr>
    </w:p>
    <w:p>
      <w:pPr>
        <w:jc w:val="both"/>
        <w:ind w:left="220" w:firstLine="1290"/>
        <w:spacing w:after="0" w:line="250" w:lineRule="auto"/>
        <w:tabs>
          <w:tab w:leader="none" w:pos="1952"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THIS AGREEMENT AND EACH OTHER LOAN DOCUMENT SHALL BE GOVERNED BY, AND CONSTRUED IN ACCORDANCE WITH, THE LAW OF THE STATE OF NEW YORK (EXCEPT AS OTHERWISE EXPRESSLY PROVIDED THEREIN).</w:t>
      </w:r>
    </w:p>
    <w:p>
      <w:pPr>
        <w:spacing w:after="0" w:line="226" w:lineRule="exact"/>
        <w:rPr>
          <w:rFonts w:ascii="Arial" w:cs="Arial" w:eastAsia="Arial" w:hAnsi="Arial"/>
          <w:sz w:val="20"/>
          <w:szCs w:val="20"/>
          <w:color w:val="auto"/>
        </w:rPr>
      </w:pPr>
    </w:p>
    <w:p>
      <w:pPr>
        <w:jc w:val="both"/>
        <w:ind w:left="220" w:firstLine="1290"/>
        <w:spacing w:after="0" w:line="255" w:lineRule="auto"/>
        <w:tabs>
          <w:tab w:leader="none" w:pos="1949" w:val="left"/>
        </w:tabs>
        <w:numPr>
          <w:ilvl w:val="0"/>
          <w:numId w:val="430"/>
        </w:numPr>
        <w:rPr>
          <w:rFonts w:ascii="Arial" w:cs="Arial" w:eastAsia="Arial" w:hAnsi="Arial"/>
          <w:sz w:val="19"/>
          <w:szCs w:val="19"/>
          <w:color w:val="auto"/>
        </w:rPr>
      </w:pPr>
      <w:r>
        <w:rPr>
          <w:rFonts w:ascii="Arial" w:cs="Arial" w:eastAsia="Arial" w:hAnsi="Arial"/>
          <w:sz w:val="19"/>
          <w:szCs w:val="19"/>
          <w:color w:val="auto"/>
        </w:rPr>
        <w:t>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CITY OR OF THE UNITED STATES FOR THE SOUTHERN DISTRICT OF SUCH STATE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NONE OF SUCH COURTS CAN AND WILL EXERCISE SUCH JURISDICTION, SUCH EXCLUSIVITY SHALL NOT APPLY), AND BY EXECUTION AND DELIVERY OF THIS AGREEMENT, THE BORROWER, HOLDINGS, EACH AGENT AND EACH LENDER CONSENTS, FOR ITSELF AND IN RESPECT OF ITS PROPERTY, TO THE EXCLUSIVE JURISDICTION OF THOSE COURTS. THE BORROWER, HOLDINGS,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209" w:lineRule="exact"/>
        <w:rPr>
          <w:sz w:val="20"/>
          <w:szCs w:val="20"/>
          <w:color w:val="auto"/>
        </w:rPr>
      </w:pPr>
    </w:p>
    <w:p>
      <w:pPr>
        <w:jc w:val="both"/>
        <w:ind w:left="140" w:firstLine="1296"/>
        <w:spacing w:after="0" w:line="256" w:lineRule="auto"/>
        <w:rPr>
          <w:sz w:val="20"/>
          <w:szCs w:val="20"/>
          <w:color w:val="auto"/>
        </w:rPr>
      </w:pPr>
      <w:r>
        <w:rPr>
          <w:rFonts w:ascii="Arial" w:cs="Arial" w:eastAsia="Arial" w:hAnsi="Arial"/>
          <w:sz w:val="19"/>
          <w:szCs w:val="19"/>
          <w:color w:val="auto"/>
        </w:rPr>
        <w:t>NOTHING IN THIS AGREEMENT OR IN ANY OTHER LOAN DOCUMENT SHALL AFFECT ANY RIGHT THAT THE ADMINISTRATIVE AGENT, THE COLLATERAL AGENT OR ANY LENDER MAY OTHERWISE HAVE TO BRING ANY ACTION OR PROCEEDING RELATING TO THIS AGREEMENT OR ANY OTHER LOAN DOCUMENT AGAINST ANY LOAN PARTY OR ITS PROPERTIES IN THE COURTS OF ANY JURISDICTION (I) FOR PURPOSES OF ENFORCING A JUDGMENT,</w:t>
      </w:r>
    </w:p>
    <w:p>
      <w:pPr>
        <w:spacing w:after="0" w:line="2" w:lineRule="exact"/>
        <w:rPr>
          <w:sz w:val="20"/>
          <w:szCs w:val="20"/>
          <w:color w:val="auto"/>
        </w:rPr>
      </w:pPr>
    </w:p>
    <w:p>
      <w:pPr>
        <w:jc w:val="both"/>
        <w:ind w:left="140" w:hanging="7"/>
        <w:spacing w:after="0"/>
        <w:tabs>
          <w:tab w:leader="none" w:pos="469"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OR THE PARTIES OR PROPERTY SUBJECT THERETO.</w:t>
      </w:r>
    </w:p>
    <w:p>
      <w:pPr>
        <w:spacing w:after="0" w:line="238" w:lineRule="exact"/>
        <w:rPr>
          <w:sz w:val="20"/>
          <w:szCs w:val="20"/>
          <w:color w:val="auto"/>
        </w:rPr>
      </w:pPr>
    </w:p>
    <w:p>
      <w:pPr>
        <w:jc w:val="both"/>
        <w:ind w:left="140" w:firstLine="1296"/>
        <w:spacing w:after="0" w:line="255"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WAIVER OF RIGHT TO TRIAL BY JURY</w:t>
      </w:r>
      <w:r>
        <w:rPr>
          <w:rFonts w:ascii="Arial" w:cs="Arial" w:eastAsia="Arial" w:hAnsi="Arial"/>
          <w:sz w:val="19"/>
          <w:szCs w:val="19"/>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WITH ANY COURT AS WRITTEN EVIDENCE OF THE CONSENT OF THE SIGNATORIES HERETO TO THE WAIVER OF THEIR RIGHT TO TRIAL BY JURY.</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-410-</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-411-</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41" w:name="page542"/>
    <w:bookmarkEnd w:id="541"/>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60"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Binding Effect</w:t>
      </w:r>
      <w:r>
        <w:rPr>
          <w:rFonts w:ascii="Arial" w:cs="Arial" w:eastAsia="Arial" w:hAnsi="Arial"/>
          <w:sz w:val="19"/>
          <w:szCs w:val="19"/>
          <w:color w:val="auto"/>
        </w:rPr>
        <w:t xml:space="preserve">. This Agreement shall become effective when it shall have been executed by the Borrower and Holdings and the Administrative Agent shall have been notified by each Lender and L/C Issuer that each such Lender and L/C Issuer has executed it and thereafter shall be binding upon and inure to the benefit of the Borrower, each Agent and each Lender and their respective successors and assigns, except that the Borrower shall not have the right to assign its rights hereunder or any interest herein without the prior written consent of the Lenders except as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w:t>
      </w:r>
    </w:p>
    <w:p>
      <w:pPr>
        <w:spacing w:after="0" w:line="288"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222" w:lineRule="exact"/>
        <w:rPr>
          <w:sz w:val="20"/>
          <w:szCs w:val="20"/>
          <w:color w:val="auto"/>
        </w:rPr>
      </w:pPr>
    </w:p>
    <w:p>
      <w:pPr>
        <w:jc w:val="both"/>
        <w:ind w:left="140" w:firstLine="1296"/>
        <w:spacing w:after="0" w:line="269"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Lender Action</w:t>
      </w:r>
      <w:r>
        <w:rPr>
          <w:rFonts w:ascii="Arial" w:cs="Arial" w:eastAsia="Arial" w:hAnsi="Arial"/>
          <w:sz w:val="18"/>
          <w:szCs w:val="18"/>
          <w:color w:val="auto"/>
        </w:rPr>
        <w:t xml:space="preserve">. The Lenders and each other holder of an Obligation under a Loan Document shall act collectively through the Administrative Agent for any right or remedy against any Loan Party under any of the Loan Documents (other than set-off rights) in each case with respect to the Collateral or any other property of any Loan Party. Without limiting the delegation of authority to the Administrative Agent set forth herein, only the Required Lenders (or, if applicable, the Required Revolving Credit Facility Lenders) shall have the authority to direct the Administrative Agent with respect to the exercise of rights and remedies hereunder and under the other Loan Documents (including with respect to alleging the existence or occurrence of, and exercising rights and remedies as a result of, any Default or Event of Default) with respect to (i) the Loans and (ii) any Collateral, and (ii) any other property of any Loan Party. Any such rights and remedies arising under the Loan Documents shall not be exercised other than through the Administrative Agent. Each Lender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this sentence may be enforced against any Secured Party by the Required Lenders, any Agent or the Borrower (or any of its Affiliates) and each Secured Party expressly acknowledge that this sentence shall be available as a defense of the Borrower (or any of its Affiliates) in any such action, proceeding or remedial procedure. Each Lender, whether or not a party hereto, will be deemed, by its acceptance of the benefits of the Collateral and of the Guarantees of the Secured Obligations, to have agreed to the foregoing provisions.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-412-</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2" w:name="page543"/>
    <w:bookmarkEnd w:id="542"/>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40" w:firstLine="1296"/>
        <w:spacing w:after="0" w:line="246" w:lineRule="auto"/>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hereby notifies the Borrower that, pursuant to the requirements of the USA PATRIOT Act and the Beneficial Ownership Regulation, it is required to obtain, verify and record information that identifies the Borrower and the Guarantors, which information includes the name and address of the Borrower and the Guarantors and other information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-413-</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3" w:name="page544"/>
    <w:bookmarkEnd w:id="543"/>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700"/>
        <w:spacing w:after="0" w:line="260" w:lineRule="auto"/>
        <w:rPr>
          <w:sz w:val="20"/>
          <w:szCs w:val="20"/>
          <w:color w:val="auto"/>
        </w:rPr>
      </w:pPr>
      <w:r>
        <w:rPr>
          <w:rFonts w:ascii="Arial" w:cs="Arial" w:eastAsia="Arial" w:hAnsi="Arial"/>
          <w:sz w:val="20"/>
          <w:szCs w:val="20"/>
          <w:color w:val="auto"/>
        </w:rPr>
        <w:t>will allow such Lender to identify the Borrower and the Guarantors in accordance with the USA PATRIOT Act and the Beneficial Ownership Regulation.</w:t>
      </w:r>
    </w:p>
    <w:p>
      <w:pPr>
        <w:spacing w:after="0" w:line="217" w:lineRule="exact"/>
        <w:rPr>
          <w:sz w:val="20"/>
          <w:szCs w:val="20"/>
          <w:color w:val="auto"/>
        </w:rPr>
      </w:pPr>
    </w:p>
    <w:p>
      <w:pPr>
        <w:ind w:left="140" w:firstLine="1296"/>
        <w:spacing w:after="0" w:line="260" w:lineRule="auto"/>
        <w:rPr>
          <w:sz w:val="20"/>
          <w:szCs w:val="20"/>
          <w:color w:val="auto"/>
        </w:rPr>
      </w:pPr>
      <w:r>
        <w:rPr>
          <w:rFonts w:ascii="Arial" w:cs="Arial" w:eastAsia="Arial" w:hAnsi="Arial"/>
          <w:sz w:val="20"/>
          <w:szCs w:val="20"/>
          <w:color w:val="auto"/>
        </w:rPr>
        <w:t xml:space="preserve">Section 10.20 </w:t>
      </w:r>
      <w:r>
        <w:rPr>
          <w:rFonts w:ascii="Arial" w:cs="Arial" w:eastAsia="Arial" w:hAnsi="Arial"/>
          <w:sz w:val="20"/>
          <w:szCs w:val="20"/>
          <w:u w:val="single" w:color="auto"/>
          <w:color w:val="auto"/>
        </w:rPr>
        <w:t>Obligations Absolute.</w:t>
      </w:r>
      <w:r>
        <w:rPr>
          <w:rFonts w:ascii="Arial" w:cs="Arial" w:eastAsia="Arial" w:hAnsi="Arial"/>
          <w:sz w:val="20"/>
          <w:szCs w:val="20"/>
          <w:color w:val="auto"/>
        </w:rPr>
        <w:t>. To the fullest extent permitted by applicable Law, all obligations of the Loan Parties hereunder shall be absolute and unconditional irrespective of:</w:t>
      </w:r>
    </w:p>
    <w:p>
      <w:pPr>
        <w:spacing w:after="0" w:line="204" w:lineRule="exact"/>
        <w:rPr>
          <w:sz w:val="20"/>
          <w:szCs w:val="20"/>
          <w:color w:val="auto"/>
        </w:rPr>
      </w:pPr>
    </w:p>
    <w:p>
      <w:pPr>
        <w:ind w:left="1940" w:hanging="511"/>
        <w:spacing w:after="0"/>
        <w:tabs>
          <w:tab w:leader="none" w:pos="19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the like of any</w:t>
      </w:r>
    </w:p>
    <w:p>
      <w:pPr>
        <w:spacing w:after="0" w:line="3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20"/>
          <w:szCs w:val="20"/>
          <w:color w:val="auto"/>
        </w:rPr>
        <w:t>Loan Party;</w:t>
      </w:r>
    </w:p>
    <w:p>
      <w:pPr>
        <w:spacing w:after="0" w:line="240" w:lineRule="exact"/>
        <w:rPr>
          <w:rFonts w:ascii="Arial" w:cs="Arial" w:eastAsia="Arial" w:hAnsi="Arial"/>
          <w:sz w:val="18"/>
          <w:szCs w:val="18"/>
          <w:color w:val="auto"/>
        </w:rPr>
      </w:pPr>
    </w:p>
    <w:p>
      <w:pPr>
        <w:ind w:left="780" w:right="20" w:firstLine="649"/>
        <w:spacing w:after="0" w:line="260" w:lineRule="auto"/>
        <w:tabs>
          <w:tab w:leader="none" w:pos="1941" w:val="left"/>
        </w:tabs>
        <w:numPr>
          <w:ilvl w:val="0"/>
          <w:numId w:val="432"/>
        </w:numPr>
        <w:rPr>
          <w:rFonts w:ascii="Arial" w:cs="Arial" w:eastAsia="Arial" w:hAnsi="Arial"/>
          <w:sz w:val="20"/>
          <w:szCs w:val="20"/>
          <w:color w:val="auto"/>
        </w:rPr>
      </w:pPr>
      <w:r>
        <w:rPr>
          <w:rFonts w:ascii="Arial" w:cs="Arial" w:eastAsia="Arial" w:hAnsi="Arial"/>
          <w:sz w:val="20"/>
          <w:szCs w:val="20"/>
          <w:color w:val="auto"/>
        </w:rPr>
        <w:t>any lack of validity or enforceability of any Loan Document or any other agreement or instrument relating thereto against any Loan Party;</w:t>
      </w:r>
    </w:p>
    <w:p>
      <w:pPr>
        <w:spacing w:after="0" w:line="217" w:lineRule="exact"/>
        <w:rPr>
          <w:rFonts w:ascii="Arial" w:cs="Arial" w:eastAsia="Arial" w:hAnsi="Arial"/>
          <w:sz w:val="20"/>
          <w:szCs w:val="20"/>
          <w:color w:val="auto"/>
        </w:rPr>
      </w:pPr>
    </w:p>
    <w:p>
      <w:pPr>
        <w:jc w:val="both"/>
        <w:ind w:left="780" w:firstLine="649"/>
        <w:spacing w:after="0" w:line="250" w:lineRule="auto"/>
        <w:tabs>
          <w:tab w:leader="none" w:pos="1945" w:val="left"/>
        </w:tabs>
        <w:numPr>
          <w:ilvl w:val="0"/>
          <w:numId w:val="432"/>
        </w:numPr>
        <w:rPr>
          <w:rFonts w:ascii="Arial" w:cs="Arial" w:eastAsia="Arial" w:hAnsi="Arial"/>
          <w:sz w:val="20"/>
          <w:szCs w:val="20"/>
          <w:color w:val="auto"/>
        </w:rPr>
      </w:pPr>
      <w:r>
        <w:rPr>
          <w:rFonts w:ascii="Arial" w:cs="Arial" w:eastAsia="Arial" w:hAnsi="Arial"/>
          <w:sz w:val="20"/>
          <w:szCs w:val="20"/>
          <w:color w:val="auto"/>
        </w:rPr>
        <w:t>any change in the time, manner or place of payment of, or in any other term of, all or any of the Secured Obligations, or any other amendment or waiver of or any consent to any departure from any Loan Document or any other agreement or instrument relating thereto;</w:t>
      </w:r>
    </w:p>
    <w:p>
      <w:pPr>
        <w:spacing w:after="0" w:line="212" w:lineRule="exact"/>
        <w:rPr>
          <w:rFonts w:ascii="Arial" w:cs="Arial" w:eastAsia="Arial" w:hAnsi="Arial"/>
          <w:sz w:val="20"/>
          <w:szCs w:val="20"/>
          <w:color w:val="auto"/>
        </w:rPr>
      </w:pPr>
    </w:p>
    <w:p>
      <w:pPr>
        <w:ind w:left="780" w:firstLine="649"/>
        <w:spacing w:after="0" w:line="260" w:lineRule="auto"/>
        <w:tabs>
          <w:tab w:leader="none" w:pos="1942" w:val="left"/>
        </w:tabs>
        <w:numPr>
          <w:ilvl w:val="0"/>
          <w:numId w:val="432"/>
        </w:numPr>
        <w:rPr>
          <w:rFonts w:ascii="Arial" w:cs="Arial" w:eastAsia="Arial" w:hAnsi="Arial"/>
          <w:sz w:val="20"/>
          <w:szCs w:val="20"/>
          <w:color w:val="auto"/>
        </w:rPr>
      </w:pPr>
      <w:r>
        <w:rPr>
          <w:rFonts w:ascii="Arial" w:cs="Arial" w:eastAsia="Arial" w:hAnsi="Arial"/>
          <w:sz w:val="20"/>
          <w:szCs w:val="20"/>
          <w:color w:val="auto"/>
        </w:rPr>
        <w:t>any exchange, release or non-perfection of any other Collateral, or any release or amendment or waiver of or consent to any departure from any guarantee, for all or any of the Secured Obligations;</w:t>
      </w:r>
    </w:p>
    <w:p>
      <w:pPr>
        <w:spacing w:after="0" w:line="217" w:lineRule="exact"/>
        <w:rPr>
          <w:rFonts w:ascii="Arial" w:cs="Arial" w:eastAsia="Arial" w:hAnsi="Arial"/>
          <w:sz w:val="20"/>
          <w:szCs w:val="20"/>
          <w:color w:val="auto"/>
        </w:rPr>
      </w:pPr>
    </w:p>
    <w:p>
      <w:pPr>
        <w:ind w:left="780" w:firstLine="649"/>
        <w:spacing w:after="0" w:line="260" w:lineRule="auto"/>
        <w:tabs>
          <w:tab w:leader="none" w:pos="1945" w:val="left"/>
        </w:tabs>
        <w:numPr>
          <w:ilvl w:val="0"/>
          <w:numId w:val="432"/>
        </w:numPr>
        <w:rPr>
          <w:rFonts w:ascii="Arial" w:cs="Arial" w:eastAsia="Arial" w:hAnsi="Arial"/>
          <w:sz w:val="20"/>
          <w:szCs w:val="20"/>
          <w:color w:val="auto"/>
        </w:rPr>
      </w:pPr>
      <w:r>
        <w:rPr>
          <w:rFonts w:ascii="Arial" w:cs="Arial" w:eastAsia="Arial" w:hAnsi="Arial"/>
          <w:sz w:val="20"/>
          <w:szCs w:val="20"/>
          <w:color w:val="auto"/>
        </w:rPr>
        <w:t>any exercise or non-exercise, or any waiver of any right, remedy, power or privilege under or in respect hereof or any Loan Document; or</w:t>
      </w:r>
    </w:p>
    <w:p>
      <w:pPr>
        <w:spacing w:after="0" w:line="217" w:lineRule="exact"/>
        <w:rPr>
          <w:rFonts w:ascii="Arial" w:cs="Arial" w:eastAsia="Arial" w:hAnsi="Arial"/>
          <w:sz w:val="20"/>
          <w:szCs w:val="20"/>
          <w:color w:val="auto"/>
        </w:rPr>
      </w:pPr>
    </w:p>
    <w:p>
      <w:pPr>
        <w:ind w:left="1940" w:hanging="512"/>
        <w:spacing w:after="0"/>
        <w:tabs>
          <w:tab w:leader="none" w:pos="194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any other circumstances which might otherwise constitute a defense available to, or a discharge of, the Loan</w:t>
      </w:r>
    </w:p>
    <w:p>
      <w:pPr>
        <w:spacing w:after="0" w:line="27"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0"/>
          <w:szCs w:val="20"/>
          <w:color w:val="auto"/>
        </w:rPr>
        <w:t>Parties.</w:t>
      </w:r>
    </w:p>
    <w:p>
      <w:pPr>
        <w:spacing w:after="0" w:line="227" w:lineRule="exact"/>
        <w:rPr>
          <w:sz w:val="20"/>
          <w:szCs w:val="20"/>
          <w:color w:val="auto"/>
        </w:rPr>
      </w:pPr>
    </w:p>
    <w:p>
      <w:pPr>
        <w:jc w:val="both"/>
        <w:ind w:left="140" w:firstLine="1296"/>
        <w:spacing w:after="0" w:line="268"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and Holdings acknowledge and agrees, and acknowledges its Affiliates’ understanding, that: (i) (A) the arranging and other services regarding this Agreement provided by the Administrative Agent and the Lead Arrangers are arm’s-length commercial transactions between the Borrower, Holdings and their respective Affiliates, on the one hand, and the Administrative Agent and the Lead Arrangers, on the other hand, (B) each of the Borrower and Holdings have consulted its own legal, accounting, regulatory and tax advisors to the extent it has deemed appropriate, and (C) each of the Borrower and Holdings are capable of evaluating, and understands and accepts, the terms, risks and conditions of the transactions contemplated hereby and by the other Loan Documents; (ii) (A) the Administrative Agent, each Lender and each Lead Arranger is and has been acting solely as a principal and, except as expressly agreed in writing by the relevant parties, has not been, is not, and will not be acting as an advisor, agent or fiduciary for the Borrower, Holdings or any of their respective Affiliates, or any other Person and (B) neither the Administrative Agent, nor any Lender or any Lead Arranger has any obligation to the Borrower, Holdings or any of their respective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 Holdings and their respective Affiliates, and neither the Administrative Agent nor any Lead Arranger has any obligation to disclose any of such interests to the Borrower, Holdings, or any of their respective Affiliates. To the fullest extent permitted by law, each of the Borrower and Holdings hereby waive and release any claims that it may have against the Administrative Agent, each Lender and the Lead Arrangers with respect to any breach or alleged breach of agency or fiduciary duty in connection with any aspect of any transaction contemplated hereby.</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-414-</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4" w:name="page545"/>
    <w:bookmarkEnd w:id="544"/>
    <w:p>
      <w:pPr>
        <w:spacing w:after="0"/>
        <w:rPr>
          <w:sz w:val="20"/>
          <w:szCs w:val="20"/>
          <w:color w:val="auto"/>
        </w:rPr>
      </w:pPr>
      <w:r>
        <w:rPr>
          <w:rFonts w:ascii="Arial" w:cs="Arial" w:eastAsia="Arial" w:hAnsi="Arial"/>
          <w:sz w:val="18"/>
          <w:szCs w:val="18"/>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-415-</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45" w:name="page546"/>
    <w:bookmarkEnd w:id="545"/>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firstLine="1296"/>
        <w:spacing w:after="0" w:line="244" w:lineRule="auto"/>
        <w:rPr>
          <w:sz w:val="20"/>
          <w:szCs w:val="20"/>
          <w:color w:val="auto"/>
        </w:rPr>
      </w:pPr>
      <w:r>
        <w:rPr>
          <w:rFonts w:ascii="Arial" w:cs="Arial" w:eastAsia="Arial" w:hAnsi="Arial"/>
          <w:sz w:val="20"/>
          <w:szCs w:val="20"/>
          <w:color w:val="auto"/>
        </w:rPr>
        <w:t xml:space="preserve">Section 10.22 </w:t>
      </w:r>
      <w:r>
        <w:rPr>
          <w:rFonts w:ascii="Arial" w:cs="Arial" w:eastAsia="Arial" w:hAnsi="Arial"/>
          <w:sz w:val="20"/>
          <w:szCs w:val="20"/>
          <w:u w:val="single" w:color="auto"/>
          <w:color w:val="auto"/>
        </w:rPr>
        <w:t>Acknowledgment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35" w:lineRule="exact"/>
        <w:rPr>
          <w:sz w:val="20"/>
          <w:szCs w:val="20"/>
          <w:color w:val="auto"/>
        </w:rPr>
      </w:pPr>
    </w:p>
    <w:p>
      <w:pPr>
        <w:ind w:left="140" w:right="360" w:firstLine="1289"/>
        <w:spacing w:after="0" w:line="287" w:lineRule="auto"/>
        <w:tabs>
          <w:tab w:leader="none" w:pos="1953" w:val="left"/>
        </w:tabs>
        <w:numPr>
          <w:ilvl w:val="0"/>
          <w:numId w:val="433"/>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9" w:lineRule="exact"/>
        <w:rPr>
          <w:rFonts w:ascii="Arial" w:cs="Arial" w:eastAsia="Arial" w:hAnsi="Arial"/>
          <w:sz w:val="19"/>
          <w:szCs w:val="19"/>
          <w:color w:val="auto"/>
        </w:rPr>
      </w:pPr>
    </w:p>
    <w:p>
      <w:pPr>
        <w:ind w:left="140" w:right="100" w:firstLine="1288"/>
        <w:spacing w:after="0" w:line="259" w:lineRule="auto"/>
        <w:tabs>
          <w:tab w:leader="none" w:pos="1949" w:val="left"/>
        </w:tabs>
        <w:numPr>
          <w:ilvl w:val="0"/>
          <w:numId w:val="433"/>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219" w:lineRule="exact"/>
        <w:rPr>
          <w:sz w:val="20"/>
          <w:szCs w:val="20"/>
          <w:color w:val="auto"/>
        </w:rPr>
      </w:pPr>
    </w:p>
    <w:p>
      <w:pPr>
        <w:jc w:val="both"/>
        <w:ind w:left="140" w:firstLine="1296"/>
        <w:spacing w:after="0" w:line="257" w:lineRule="auto"/>
        <w:rPr>
          <w:sz w:val="20"/>
          <w:szCs w:val="20"/>
          <w:color w:val="auto"/>
        </w:rPr>
      </w:pPr>
      <w:r>
        <w:rPr>
          <w:rFonts w:ascii="Arial" w:cs="Arial" w:eastAsia="Arial" w:hAnsi="Arial"/>
          <w:sz w:val="19"/>
          <w:szCs w:val="19"/>
          <w:color w:val="auto"/>
        </w:rPr>
        <w:t xml:space="preserve">Section 10.23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Obligations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1" w:lineRule="exact"/>
        <w:rPr>
          <w:sz w:val="20"/>
          <w:szCs w:val="20"/>
          <w:color w:val="auto"/>
        </w:rPr>
      </w:pPr>
    </w:p>
    <w:p>
      <w:pPr>
        <w:jc w:val="both"/>
        <w:ind w:left="140" w:firstLine="1296"/>
        <w:spacing w:after="0" w:line="270"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3" w:lineRule="exact"/>
        <w:rPr>
          <w:sz w:val="20"/>
          <w:szCs w:val="20"/>
          <w:color w:val="auto"/>
        </w:rPr>
      </w:pPr>
    </w:p>
    <w:p>
      <w:pPr>
        <w:jc w:val="both"/>
        <w:ind w:left="140" w:right="20" w:firstLine="1296"/>
        <w:spacing w:after="0" w:line="260" w:lineRule="auto"/>
        <w:rPr>
          <w:sz w:val="20"/>
          <w:szCs w:val="20"/>
          <w:color w:val="auto"/>
        </w:rPr>
      </w:pPr>
      <w:r>
        <w:rPr>
          <w:rFonts w:ascii="Arial" w:cs="Arial" w:eastAsia="Arial" w:hAnsi="Arial"/>
          <w:sz w:val="20"/>
          <w:szCs w:val="20"/>
          <w:color w:val="auto"/>
        </w:rPr>
        <w:t xml:space="preserve">Section 10.24 </w:t>
      </w:r>
      <w:r>
        <w:rPr>
          <w:rFonts w:ascii="Arial" w:cs="Arial" w:eastAsia="Arial" w:hAnsi="Arial"/>
          <w:sz w:val="20"/>
          <w:szCs w:val="20"/>
          <w:u w:val="single" w:color="auto"/>
          <w:color w:val="auto"/>
        </w:rPr>
        <w:t>Acknowledgment of Intercreditor Agreements</w:t>
      </w:r>
      <w:r>
        <w:rPr>
          <w:rFonts w:ascii="Arial" w:cs="Arial" w:eastAsia="Arial" w:hAnsi="Arial"/>
          <w:sz w:val="20"/>
          <w:szCs w:val="20"/>
          <w:color w:val="auto"/>
        </w:rPr>
        <w:t>. The Lenders and the other Secured Parties hereby irrevocably authorize and instruct the Administrative Agent and the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-416-</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6" w:name="page547"/>
    <w:bookmarkEnd w:id="546"/>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Collateral Agent to, without any further consent of any Lender or any other Secured Party, enter into (or acknowledge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-417-</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47" w:name="page548"/>
    <w:bookmarkEnd w:id="547"/>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40"/>
        <w:spacing w:after="0" w:line="255" w:lineRule="auto"/>
        <w:rPr>
          <w:sz w:val="20"/>
          <w:szCs w:val="20"/>
          <w:color w:val="auto"/>
        </w:rPr>
      </w:pPr>
      <w:r>
        <w:rPr>
          <w:rFonts w:ascii="Arial" w:cs="Arial" w:eastAsia="Arial" w:hAnsi="Arial"/>
          <w:sz w:val="19"/>
          <w:szCs w:val="19"/>
          <w:color w:val="auto"/>
        </w:rPr>
        <w:t>and consent to) or amend, renew, extend, supplement, restate, replace, waive or otherwise modify any Customary Intercreditor Agreement, with the collateral agent or other representatives of the holders of Indebtedness that is to be secured by a Lien on the Collateral that is permitted (including as to priority) under this Agreement and to subject the Liens on the Collateral securing the Secured Obligations to the provisions thereof (any of the foregoing, an “</w:t>
      </w:r>
      <w:r>
        <w:rPr>
          <w:rFonts w:ascii="Arial" w:cs="Arial" w:eastAsia="Arial" w:hAnsi="Arial"/>
          <w:sz w:val="19"/>
          <w:szCs w:val="19"/>
          <w:u w:val="single" w:color="auto"/>
          <w:color w:val="auto"/>
        </w:rPr>
        <w:t>Specified Intercreditor Agreement</w:t>
      </w:r>
      <w:r>
        <w:rPr>
          <w:rFonts w:ascii="Arial" w:cs="Arial" w:eastAsia="Arial" w:hAnsi="Arial"/>
          <w:sz w:val="19"/>
          <w:szCs w:val="19"/>
          <w:color w:val="auto"/>
        </w:rPr>
        <w:t>”). The Lenders and the other Secured Parties irrevocably agree that (x) the Collateral Agent may rely exclusively on a certificate of a Responsible Officer of the Borrower as to whether any such other Liens are not prohibited and (y) any Specified Intercreditor Agreement entered into by the Administrative Agent and/or the Collateral Agent shall be binding on the Secured Parties, and each Lender and the other Secured Parties hereby agrees that it will take no actions contrary to the provisions of, if entered into and if applicable, any Specified Intercreditor Agreement. No Lender is nor shall it be deemed to be a fiduciary of any kind for any other Lender or any other Person. The foregoing provisions are intended as an inducement to any provider of any Indebtedness not prohibited by Section 7.03 hereof to extend credit to the Loan Parties and such persons are intended third-party beneficiaries of such provisions.</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-418-</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1120"/>
          </w:cols>
          <w:pgMar w:left="320" w:top="121" w:right="459" w:bottom="1440" w:gutter="0" w:footer="0" w:header="0"/>
        </w:sectPr>
      </w:pPr>
    </w:p>
    <w:bookmarkStart w:id="548" w:name="page549"/>
    <w:bookmarkEnd w:id="548"/>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as of the date first</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above written.</w:t>
      </w:r>
    </w:p>
    <w:p>
      <w:pPr>
        <w:spacing w:after="0" w:line="234"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ARRAY TECHNOLOGIES, INC.</w:t>
      </w:r>
      <w:r>
        <w:rPr>
          <w:rFonts w:ascii="Arial" w:cs="Arial" w:eastAsia="Arial" w:hAnsi="Arial"/>
          <w:sz w:val="20"/>
          <w:szCs w:val="20"/>
          <w:color w:val="auto"/>
        </w:rPr>
        <w:t>, as Borrower</w:t>
      </w:r>
    </w:p>
    <w:p>
      <w:pPr>
        <w:spacing w:after="0" w:line="200" w:lineRule="exact"/>
        <w:rPr>
          <w:sz w:val="20"/>
          <w:szCs w:val="20"/>
          <w:color w:val="auto"/>
        </w:rPr>
      </w:pPr>
    </w:p>
    <w:p>
      <w:pPr>
        <w:spacing w:after="0" w:line="224" w:lineRule="exact"/>
        <w:rPr>
          <w:sz w:val="20"/>
          <w:szCs w:val="20"/>
          <w:color w:val="auto"/>
        </w:rPr>
      </w:pPr>
    </w:p>
    <w:p>
      <w:pPr>
        <w:ind w:left="4020"/>
        <w:spacing w:after="0"/>
        <w:tabs>
          <w:tab w:leader="none" w:pos="4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56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ATI INVESTMENT SUB, INC.</w:t>
      </w:r>
    </w:p>
    <w:p>
      <w:pPr>
        <w:spacing w:after="0" w:line="200" w:lineRule="exact"/>
        <w:rPr>
          <w:sz w:val="20"/>
          <w:szCs w:val="20"/>
          <w:color w:val="auto"/>
        </w:rPr>
      </w:pPr>
    </w:p>
    <w:p>
      <w:pPr>
        <w:spacing w:after="0" w:line="224" w:lineRule="exact"/>
        <w:rPr>
          <w:sz w:val="20"/>
          <w:szCs w:val="20"/>
          <w:color w:val="auto"/>
        </w:rPr>
      </w:pPr>
    </w:p>
    <w:p>
      <w:pPr>
        <w:ind w:left="4020"/>
        <w:spacing w:after="0"/>
        <w:tabs>
          <w:tab w:leader="none" w:pos="4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568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4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Credit Agreement</w:t>
      </w:r>
      <w:r>
        <w:rPr>
          <w:rFonts w:ascii="Arial" w:cs="Arial" w:eastAsia="Arial" w:hAnsi="Arial"/>
          <w:sz w:val="20"/>
          <w:szCs w:val="20"/>
          <w:color w:val="auto"/>
        </w:rPr>
        <w:t>]</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480"/>
          </w:cols>
          <w:pgMar w:left="320" w:top="121" w:right="1099" w:bottom="1440" w:gutter="0" w:footer="0" w:header="0"/>
        </w:sectPr>
      </w:pPr>
    </w:p>
    <w:bookmarkStart w:id="549" w:name="page550"/>
    <w:bookmarkEnd w:id="549"/>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20"/>
        <w:spacing w:after="0" w:line="267" w:lineRule="auto"/>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 as Administrative Agent, Collateral Agent and</w:t>
      </w:r>
      <w:r>
        <w:rPr>
          <w:rFonts w:ascii="Arial" w:cs="Arial" w:eastAsia="Arial" w:hAnsi="Arial"/>
          <w:sz w:val="20"/>
          <w:szCs w:val="20"/>
          <w:b w:val="1"/>
          <w:bCs w:val="1"/>
          <w:color w:val="auto"/>
        </w:rPr>
        <w:t xml:space="preserve"> </w:t>
      </w:r>
      <w:r>
        <w:rPr>
          <w:rFonts w:ascii="Arial" w:cs="Arial" w:eastAsia="Arial" w:hAnsi="Arial"/>
          <w:sz w:val="20"/>
          <w:szCs w:val="20"/>
          <w:color w:val="auto"/>
        </w:rPr>
        <w:t>L/C Issuer</w:t>
      </w:r>
    </w:p>
    <w:p>
      <w:pPr>
        <w:spacing w:after="0" w:line="385" w:lineRule="exact"/>
        <w:rPr>
          <w:sz w:val="20"/>
          <w:szCs w:val="20"/>
          <w:color w:val="auto"/>
        </w:rPr>
      </w:pPr>
    </w:p>
    <w:p>
      <w:pPr>
        <w:ind w:left="4020"/>
        <w:spacing w:after="0"/>
        <w:tabs>
          <w:tab w:leader="none" w:pos="4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-14605</wp:posOffset>
            </wp:positionV>
            <wp:extent cx="156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Credit Agreement</w:t>
      </w:r>
      <w:r>
        <w:rPr>
          <w:rFonts w:ascii="Arial" w:cs="Arial" w:eastAsia="Arial" w:hAnsi="Arial"/>
          <w:sz w:val="20"/>
          <w:szCs w:val="20"/>
          <w:color w:val="auto"/>
        </w:rPr>
        <w:t>]</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640"/>
          </w:cols>
          <w:pgMar w:left="320" w:top="121" w:right="939" w:bottom="1440" w:gutter="0" w:footer="0" w:header="0"/>
        </w:sectPr>
      </w:pPr>
    </w:p>
    <w:bookmarkStart w:id="550" w:name="page551"/>
    <w:bookmarkEnd w:id="550"/>
    <w:p>
      <w:pPr>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tabs>
          <w:tab w:leader="none" w:pos="180" w:val="left"/>
        </w:tabs>
        <w:rPr>
          <w:sz w:val="20"/>
          <w:szCs w:val="20"/>
          <w:color w:val="auto"/>
        </w:rPr>
      </w:pPr>
      <w:r>
        <w:rPr>
          <w:rFonts w:ascii="Arial" w:cs="Arial" w:eastAsia="Arial" w:hAnsi="Arial"/>
          <w:sz w:val="20"/>
          <w:szCs w:val="20"/>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-14605</wp:posOffset>
            </wp:positionV>
            <wp:extent cx="125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6"/>
          <w:szCs w:val="16"/>
          <w:color w:val="auto"/>
        </w:rPr>
        <w:t>as Lender</w:t>
      </w:r>
    </w:p>
    <w:p>
      <w:pPr>
        <w:spacing w:after="0" w:line="200" w:lineRule="exact"/>
        <w:rPr>
          <w:sz w:val="20"/>
          <w:szCs w:val="20"/>
          <w:color w:val="auto"/>
        </w:rPr>
      </w:pPr>
    </w:p>
    <w:p>
      <w:pPr>
        <w:spacing w:after="0" w:line="235" w:lineRule="exact"/>
        <w:rPr>
          <w:sz w:val="20"/>
          <w:szCs w:val="20"/>
          <w:color w:val="auto"/>
        </w:rPr>
      </w:pPr>
    </w:p>
    <w:p>
      <w:pPr>
        <w:ind w:left="4020"/>
        <w:spacing w:after="0"/>
        <w:tabs>
          <w:tab w:leader="none" w:pos="4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156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Title: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Credit Agreement</w:t>
      </w:r>
      <w:r>
        <w:rPr>
          <w:rFonts w:ascii="Arial" w:cs="Arial" w:eastAsia="Arial" w:hAnsi="Arial"/>
          <w:sz w:val="20"/>
          <w:szCs w:val="20"/>
          <w:color w:val="auto"/>
        </w:rPr>
        <w:t>]</w:t>
      </w:r>
    </w:p>
    <w:p>
      <w:pPr>
        <w:spacing w:after="0"/>
        <w:rPr>
          <w:sz w:val="20"/>
          <w:szCs w:val="20"/>
          <w:color w:val="auto"/>
        </w:rPr>
      </w:pPr>
      <w:r>
        <w:rPr>
          <w:rFonts w:ascii="Arial" w:cs="Arial" w:eastAsia="Arial" w:hAnsi="Arial"/>
          <w:sz w:val="13"/>
          <w:szCs w:val="13"/>
          <w:color w:val="auto"/>
        </w:rPr>
        <w:t>#94164975v6</w:t>
      </w:r>
    </w:p>
    <w:p>
      <w:pPr>
        <w:sectPr>
          <w:pgSz w:w="11900" w:h="16838" w:orient="portrait"/>
          <w:cols w:equalWidth="0" w:num="1">
            <w:col w:w="10139"/>
          </w:cols>
          <w:pgMar w:left="320" w:top="121" w:right="1440" w:bottom="1440" w:gutter="0" w:footer="0" w:header="0"/>
        </w:sectPr>
      </w:pPr>
    </w:p>
    <w:bookmarkStart w:id="551" w:name="page552"/>
    <w:bookmarkEnd w:id="551"/>
    <w:p>
      <w:pPr>
        <w:spacing w:after="0"/>
        <w:rPr>
          <w:sz w:val="20"/>
          <w:szCs w:val="20"/>
          <w:color w:val="auto"/>
        </w:rPr>
      </w:pPr>
      <w:r>
        <w:rPr>
          <w:rFonts w:ascii="Arial" w:cs="Arial" w:eastAsia="Arial" w:hAnsi="Arial"/>
          <w:sz w:val="18"/>
          <w:szCs w:val="18"/>
          <w:b w:val="1"/>
          <w:bCs w:val="1"/>
          <w:color w:val="auto"/>
        </w:rPr>
        <w:t>EXHIBIT 21.1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Array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a simplified list of our corporate structure as of December 31, 2020.</w:t>
      </w:r>
    </w:p>
    <w:p>
      <w:pPr>
        <w:sectPr>
          <w:pgSz w:w="11900" w:h="16838" w:orient="portrait"/>
          <w:cols w:equalWidth="0" w:num="1">
            <w:col w:w="10139"/>
          </w:cols>
          <w:pgMar w:left="320" w:top="1412" w:right="1440" w:bottom="1440" w:gutter="0" w:footer="0" w:header="0"/>
        </w:sect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Subsidiary Name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High Desert Finance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ATI Investment Holdings,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ATI Investment Sub,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Array Tech, Inc. (f/k/a Array Technologies,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Array Technologies International Pty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Array Technologies Patent Holding Co., LLC</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or Country of Incorporation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w:t>
      </w:r>
    </w:p>
    <w:p>
      <w:pPr>
        <w:sectPr>
          <w:pgSz w:w="11900" w:h="16838" w:orient="portrait"/>
          <w:cols w:equalWidth="0" w:num="2">
            <w:col w:w="5280" w:space="720"/>
            <w:col w:w="4139"/>
          </w:cols>
          <w:pgMar w:left="320" w:top="1412" w:right="1440" w:bottom="1440" w:gutter="0" w:footer="0" w:header="0"/>
          <w:type w:val="continuous"/>
        </w:sectPr>
      </w:pPr>
    </w:p>
    <w:bookmarkStart w:id="552" w:name="page553"/>
    <w:bookmarkEnd w:id="552"/>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Array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333-249552) of Array Technologies, Inc. (the “Company”) of our report dated March 9, 2021, relating to the consolidated financial statements, which appears in this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421" w:right="339" w:bottom="1440" w:gutter="0" w:footer="0" w:header="0"/>
        </w:sectPr>
      </w:pPr>
    </w:p>
    <w:bookmarkStart w:id="553" w:name="page554"/>
    <w:bookmarkEnd w:id="553"/>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434"/>
        </w:numPr>
        <w:rPr>
          <w:rFonts w:ascii="Arial" w:cs="Arial" w:eastAsia="Arial" w:hAnsi="Arial"/>
          <w:sz w:val="20"/>
          <w:szCs w:val="20"/>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ectPr>
          <w:pgSz w:w="11900" w:h="16838" w:orient="portrait"/>
          <w:cols w:equalWidth="0" w:num="1">
            <w:col w:w="11200"/>
          </w:cols>
          <w:pgMar w:left="320" w:top="764" w:right="379" w:bottom="1440" w:gutter="0" w:footer="0" w:header="0"/>
        </w:sectPr>
      </w:pPr>
    </w:p>
    <w:bookmarkStart w:id="554" w:name="page555"/>
    <w:bookmarkEnd w:id="554"/>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435"/>
        </w:numPr>
        <w:rPr>
          <w:rFonts w:ascii="Arial" w:cs="Arial" w:eastAsia="Arial" w:hAnsi="Arial"/>
          <w:sz w:val="20"/>
          <w:szCs w:val="20"/>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ectPr>
          <w:pgSz w:w="11900" w:h="16838" w:orient="portrait"/>
          <w:cols w:equalWidth="0" w:num="1">
            <w:col w:w="11200"/>
          </w:cols>
          <w:pgMar w:left="320" w:top="764" w:right="379" w:bottom="1440" w:gutter="0" w:footer="0" w:header="0"/>
        </w:sectPr>
      </w:pPr>
    </w:p>
    <w:bookmarkStart w:id="555" w:name="page556"/>
    <w:bookmarkEnd w:id="555"/>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years ended December 31, 2020,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ectPr>
          <w:pgSz w:w="11900" w:h="16838" w:orient="portrait"/>
          <w:cols w:equalWidth="0" w:num="1">
            <w:col w:w="11160"/>
          </w:cols>
          <w:pgMar w:left="320" w:top="764" w:right="41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years ended December 31, 2020,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sectPr>
      <w:pgSz w:w="11900" w:h="16838" w:orient="portrait"/>
      <w:cols w:equalWidth="0" w:num="1">
        <w:col w:w="11160"/>
      </w:cols>
      <w:pgMar w:left="320" w:top="76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47FE4"/>
    <w:multiLevelType w:val="hybridMultilevel"/>
    <w:lvl w:ilvl="0">
      <w:lvlJc w:val="left"/>
      <w:lvlText w:val="☒"/>
      <w:numFmt w:val="bullet"/>
      <w:start w:val="1"/>
    </w:lvl>
  </w:abstractNum>
  <w:abstractNum w:abstractNumId="1">
    <w:nsid w:val="E0BB885"/>
    <w:multiLevelType w:val="hybridMultilevel"/>
    <w:lvl w:ilvl="0">
      <w:lvlJc w:val="left"/>
      <w:lvlText w:val="☐"/>
      <w:numFmt w:val="bullet"/>
      <w:start w:val="1"/>
    </w:lvl>
  </w:abstractNum>
  <w:abstractNum w:abstractNumId="2">
    <w:nsid w:val="565976F1"/>
    <w:multiLevelType w:val="hybridMultilevel"/>
    <w:lvl w:ilvl="0">
      <w:lvlJc w:val="left"/>
      <w:lvlText w:val="☒"/>
      <w:numFmt w:val="bullet"/>
      <w:start w:val="1"/>
    </w:lvl>
  </w:abstractNum>
  <w:abstractNum w:abstractNumId="3">
    <w:nsid w:val="64212B8C"/>
    <w:multiLevelType w:val="hybridMultilevel"/>
    <w:lvl w:ilvl="0">
      <w:lvlJc w:val="left"/>
      <w:lvlText w:val="•"/>
      <w:numFmt w:val="bullet"/>
      <w:start w:val="1"/>
    </w:lvl>
  </w:abstractNum>
  <w:abstractNum w:abstractNumId="4">
    <w:nsid w:val="5C17530C"/>
    <w:multiLevelType w:val="hybridMultilevel"/>
    <w:lvl w:ilvl="0">
      <w:lvlJc w:val="left"/>
      <w:lvlText w:val="•"/>
      <w:numFmt w:val="bullet"/>
      <w:start w:val="1"/>
    </w:lvl>
  </w:abstractNum>
  <w:abstractNum w:abstractNumId="5">
    <w:nsid w:val="19A52566"/>
    <w:multiLevelType w:val="hybridMultilevel"/>
    <w:lvl w:ilvl="0">
      <w:lvlJc w:val="left"/>
      <w:lvlText w:val="•"/>
      <w:numFmt w:val="bullet"/>
      <w:start w:val="1"/>
    </w:lvl>
  </w:abstractNum>
  <w:abstractNum w:abstractNumId="6">
    <w:nsid w:val="335A1DF1"/>
    <w:multiLevelType w:val="hybridMultilevel"/>
    <w:lvl w:ilvl="0">
      <w:lvlJc w:val="left"/>
      <w:lvlText w:val="•"/>
      <w:numFmt w:val="bullet"/>
      <w:start w:val="1"/>
    </w:lvl>
  </w:abstractNum>
  <w:abstractNum w:abstractNumId="7">
    <w:nsid w:val="28677B7C"/>
    <w:multiLevelType w:val="hybridMultilevel"/>
    <w:lvl w:ilvl="0">
      <w:lvlJc w:val="left"/>
      <w:lvlText w:val="•"/>
      <w:numFmt w:val="bullet"/>
      <w:start w:val="1"/>
    </w:lvl>
  </w:abstractNum>
  <w:abstractNum w:abstractNumId="8">
    <w:nsid w:val="378D97C0"/>
    <w:multiLevelType w:val="hybridMultilevel"/>
    <w:lvl w:ilvl="0">
      <w:lvlJc w:val="left"/>
      <w:lvlText w:val="•"/>
      <w:numFmt w:val="bullet"/>
      <w:start w:val="1"/>
    </w:lvl>
  </w:abstractNum>
  <w:abstractNum w:abstractNumId="9">
    <w:nsid w:val="1D91467C"/>
    <w:multiLevelType w:val="hybridMultilevel"/>
    <w:lvl w:ilvl="0">
      <w:lvlJc w:val="left"/>
      <w:lvlText w:val="•"/>
      <w:numFmt w:val="bullet"/>
      <w:start w:val="1"/>
    </w:lvl>
  </w:abstractNum>
  <w:abstractNum w:abstractNumId="10">
    <w:nsid w:val="316032BB"/>
    <w:multiLevelType w:val="hybridMultilevel"/>
    <w:lvl w:ilvl="0">
      <w:lvlJc w:val="left"/>
      <w:lvlText w:val="•"/>
      <w:numFmt w:val="bullet"/>
      <w:start w:val="1"/>
    </w:lvl>
  </w:abstractNum>
  <w:abstractNum w:abstractNumId="11">
    <w:nsid w:val="44344C22"/>
    <w:multiLevelType w:val="hybridMultilevel"/>
    <w:lvl w:ilvl="0">
      <w:lvlJc w:val="left"/>
      <w:lvlText w:val="•"/>
      <w:numFmt w:val="bullet"/>
      <w:start w:val="1"/>
    </w:lvl>
  </w:abstractNum>
  <w:abstractNum w:abstractNumId="12">
    <w:nsid w:val="13CDFCFC"/>
    <w:multiLevelType w:val="hybridMultilevel"/>
    <w:lvl w:ilvl="0">
      <w:lvlJc w:val="left"/>
      <w:lvlText w:val="•"/>
      <w:numFmt w:val="bullet"/>
      <w:start w:val="1"/>
    </w:lvl>
  </w:abstractNum>
  <w:abstractNum w:abstractNumId="13">
    <w:nsid w:val="471745E4"/>
    <w:multiLevelType w:val="hybridMultilevel"/>
    <w:lvl w:ilvl="0">
      <w:lvlJc w:val="left"/>
      <w:lvlText w:val="•"/>
      <w:numFmt w:val="bullet"/>
      <w:start w:val="1"/>
    </w:lvl>
  </w:abstractNum>
  <w:abstractNum w:abstractNumId="14">
    <w:nsid w:val="1DDBC66"/>
    <w:multiLevelType w:val="hybridMultilevel"/>
    <w:lvl w:ilvl="0">
      <w:lvlJc w:val="left"/>
      <w:lvlText w:val="•"/>
      <w:numFmt w:val="bullet"/>
      <w:start w:val="1"/>
    </w:lvl>
  </w:abstractNum>
  <w:abstractNum w:abstractNumId="15">
    <w:nsid w:val="30AADFDA"/>
    <w:multiLevelType w:val="hybridMultilevel"/>
    <w:lvl w:ilvl="0">
      <w:lvlJc w:val="left"/>
      <w:lvlText w:val="•"/>
      <w:numFmt w:val="bullet"/>
      <w:start w:val="1"/>
    </w:lvl>
  </w:abstractNum>
  <w:abstractNum w:abstractNumId="16">
    <w:nsid w:val="30EADA61"/>
    <w:multiLevelType w:val="hybridMultilevel"/>
    <w:lvl w:ilvl="0">
      <w:lvlJc w:val="left"/>
      <w:lvlText w:val="•"/>
      <w:numFmt w:val="bullet"/>
      <w:start w:val="1"/>
    </w:lvl>
  </w:abstractNum>
  <w:abstractNum w:abstractNumId="17">
    <w:nsid w:val="27179C0B"/>
    <w:multiLevelType w:val="hybridMultilevel"/>
    <w:lvl w:ilvl="0">
      <w:lvlJc w:val="left"/>
      <w:lvlText w:val="•"/>
      <w:numFmt w:val="bullet"/>
      <w:start w:val="1"/>
    </w:lvl>
  </w:abstractNum>
  <w:abstractNum w:abstractNumId="18">
    <w:nsid w:val="5E636063"/>
    <w:multiLevelType w:val="hybridMultilevel"/>
    <w:lvl w:ilvl="0">
      <w:lvlJc w:val="left"/>
      <w:lvlText w:val="(%1)"/>
      <w:numFmt w:val="lowerLetter"/>
      <w:start w:val="1"/>
    </w:lvl>
  </w:abstractNum>
  <w:abstractNum w:abstractNumId="19">
    <w:nsid w:val="215641AF"/>
    <w:multiLevelType w:val="hybridMultilevel"/>
    <w:lvl w:ilvl="0">
      <w:lvlJc w:val="left"/>
      <w:lvlText w:val="(%1)"/>
      <w:numFmt w:val="lowerLetter"/>
      <w:start w:val="1"/>
    </w:lvl>
  </w:abstractNum>
  <w:abstractNum w:abstractNumId="20">
    <w:nsid w:val="53280662"/>
    <w:multiLevelType w:val="hybridMultilevel"/>
    <w:lvl w:ilvl="0">
      <w:lvlJc w:val="left"/>
      <w:lvlText w:val="•"/>
      <w:numFmt w:val="bullet"/>
      <w:start w:val="1"/>
    </w:lvl>
  </w:abstractNum>
  <w:abstractNum w:abstractNumId="21">
    <w:nsid w:val="46B24DBC"/>
    <w:multiLevelType w:val="hybridMultilevel"/>
    <w:lvl w:ilvl="0">
      <w:lvlJc w:val="left"/>
      <w:lvlText w:val="(%1)"/>
      <w:numFmt w:val="lowerRoman"/>
      <w:start w:val="3"/>
    </w:lvl>
  </w:abstractNum>
  <w:abstractNum w:abstractNumId="22">
    <w:nsid w:val="75B52783"/>
    <w:multiLevelType w:val="hybridMultilevel"/>
    <w:lvl w:ilvl="0">
      <w:lvlJc w:val="left"/>
      <w:lvlText w:val="(%1)"/>
      <w:numFmt w:val="decimal"/>
      <w:start w:val="1"/>
    </w:lvl>
  </w:abstractNum>
  <w:abstractNum w:abstractNumId="23">
    <w:nsid w:val="57CE66B4"/>
    <w:multiLevelType w:val="hybridMultilevel"/>
    <w:lvl w:ilvl="0">
      <w:lvlJc w:val="left"/>
      <w:lvlText w:val="•"/>
      <w:numFmt w:val="bullet"/>
      <w:start w:val="1"/>
    </w:lvl>
  </w:abstractNum>
  <w:abstractNum w:abstractNumId="24">
    <w:nsid w:val="67A70B69"/>
    <w:multiLevelType w:val="hybridMultilevel"/>
    <w:lvl w:ilvl="0">
      <w:lvlJc w:val="left"/>
      <w:lvlText w:val="%1."/>
      <w:numFmt w:val="decimal"/>
      <w:start w:val="1"/>
    </w:lvl>
  </w:abstractNum>
  <w:abstractNum w:abstractNumId="25">
    <w:nsid w:val="5953172F"/>
    <w:multiLevelType w:val="hybridMultilevel"/>
    <w:lvl w:ilvl="0">
      <w:lvlJc w:val="left"/>
      <w:lvlText w:val="%1."/>
      <w:numFmt w:val="decimal"/>
      <w:start w:val="2"/>
    </w:lvl>
  </w:abstractNum>
  <w:abstractNum w:abstractNumId="26">
    <w:nsid w:val="27EDFE3A"/>
    <w:multiLevelType w:val="hybridMultilevel"/>
    <w:lvl w:ilvl="0">
      <w:lvlJc w:val="left"/>
      <w:lvlText w:val="•"/>
      <w:numFmt w:val="bullet"/>
      <w:start w:val="1"/>
    </w:lvl>
  </w:abstractNum>
  <w:abstractNum w:abstractNumId="27">
    <w:nsid w:val="52AC7DFF"/>
    <w:multiLevelType w:val="hybridMultilevel"/>
    <w:lvl w:ilvl="0">
      <w:lvlJc w:val="left"/>
      <w:lvlText w:val="%1."/>
      <w:numFmt w:val="decimal"/>
      <w:start w:val="4"/>
    </w:lvl>
  </w:abstractNum>
  <w:abstractNum w:abstractNumId="28">
    <w:nsid w:val="C4C3AF"/>
    <w:multiLevelType w:val="hybridMultilevel"/>
    <w:lvl w:ilvl="0">
      <w:lvlJc w:val="left"/>
      <w:lvlText w:val="%1."/>
      <w:numFmt w:val="decimal"/>
      <w:start w:val="5"/>
    </w:lvl>
  </w:abstractNum>
  <w:abstractNum w:abstractNumId="29">
    <w:nsid w:val="44380727"/>
    <w:multiLevelType w:val="hybridMultilevel"/>
    <w:lvl w:ilvl="0">
      <w:lvlJc w:val="left"/>
      <w:lvlText w:val="%1."/>
      <w:numFmt w:val="decimal"/>
      <w:start w:val="6"/>
    </w:lvl>
  </w:abstractNum>
  <w:abstractNum w:abstractNumId="30">
    <w:nsid w:val="6C053B16"/>
    <w:multiLevelType w:val="hybridMultilevel"/>
    <w:lvl w:ilvl="0">
      <w:lvlJc w:val="left"/>
      <w:lvlText w:val="%1."/>
      <w:numFmt w:val="decimal"/>
      <w:start w:val="7"/>
    </w:lvl>
  </w:abstractNum>
  <w:abstractNum w:abstractNumId="31">
    <w:nsid w:val="4F294393"/>
    <w:multiLevelType w:val="hybridMultilevel"/>
    <w:lvl w:ilvl="0">
      <w:lvlJc w:val="left"/>
      <w:lvlText w:val="%1."/>
      <w:numFmt w:val="decimal"/>
      <w:start w:val="9"/>
    </w:lvl>
  </w:abstractNum>
  <w:abstractNum w:abstractNumId="32">
    <w:nsid w:val="5243BFAC"/>
    <w:multiLevelType w:val="hybridMultilevel"/>
    <w:lvl w:ilvl="0">
      <w:lvlJc w:val="left"/>
      <w:lvlText w:val="%1."/>
      <w:numFmt w:val="decimal"/>
      <w:start w:val="10"/>
    </w:lvl>
  </w:abstractNum>
  <w:abstractNum w:abstractNumId="33">
    <w:nsid w:val="425EB207"/>
    <w:multiLevelType w:val="hybridMultilevel"/>
    <w:lvl w:ilvl="0">
      <w:lvlJc w:val="left"/>
      <w:lvlText w:val="%1."/>
      <w:numFmt w:val="decimal"/>
      <w:start w:val="11"/>
    </w:lvl>
  </w:abstractNum>
  <w:abstractNum w:abstractNumId="34">
    <w:nsid w:val="334A6F1F"/>
    <w:multiLevelType w:val="hybridMultilevel"/>
    <w:lvl w:ilvl="0">
      <w:lvlJc w:val="left"/>
      <w:lvlText w:val="%1."/>
      <w:numFmt w:val="decimal"/>
      <w:start w:val="12"/>
    </w:lvl>
  </w:abstractNum>
  <w:abstractNum w:abstractNumId="35">
    <w:nsid w:val="2E5B12B8"/>
    <w:multiLevelType w:val="hybridMultilevel"/>
    <w:lvl w:ilvl="0">
      <w:lvlJc w:val="left"/>
      <w:lvlText w:val="%1."/>
      <w:numFmt w:val="decimal"/>
      <w:start w:val="13"/>
    </w:lvl>
  </w:abstractNum>
  <w:abstractNum w:abstractNumId="36">
    <w:nsid w:val="5C03D76D"/>
    <w:multiLevelType w:val="hybridMultilevel"/>
    <w:lvl w:ilvl="0">
      <w:lvlJc w:val="left"/>
      <w:lvlText w:val="%1."/>
      <w:numFmt w:val="decimal"/>
      <w:start w:val="14"/>
    </w:lvl>
  </w:abstractNum>
  <w:abstractNum w:abstractNumId="37">
    <w:nsid w:val="66A48D11"/>
    <w:multiLevelType w:val="hybridMultilevel"/>
    <w:lvl w:ilvl="0">
      <w:lvlJc w:val="left"/>
      <w:lvlText w:val="%1."/>
      <w:numFmt w:val="decimal"/>
      <w:start w:val="15"/>
    </w:lvl>
  </w:abstractNum>
  <w:abstractNum w:abstractNumId="38">
    <w:nsid w:val="56C28E34"/>
    <w:multiLevelType w:val="hybridMultilevel"/>
    <w:lvl w:ilvl="0">
      <w:lvlJc w:val="left"/>
      <w:lvlText w:val="•"/>
      <w:numFmt w:val="bullet"/>
      <w:start w:val="1"/>
    </w:lvl>
  </w:abstractNum>
  <w:abstractNum w:abstractNumId="39">
    <w:nsid w:val="13916F2D"/>
    <w:multiLevelType w:val="hybridMultilevel"/>
    <w:lvl w:ilvl="0">
      <w:lvlJc w:val="left"/>
      <w:lvlText w:val="•"/>
      <w:numFmt w:val="bullet"/>
      <w:start w:val="1"/>
    </w:lvl>
  </w:abstractNum>
  <w:abstractNum w:abstractNumId="40">
    <w:nsid w:val="435D38D"/>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41">
    <w:nsid w:val="822C0EF"/>
    <w:multiLevelType w:val="hybridMultilevel"/>
    <w:lvl w:ilvl="0">
      <w:lvlJc w:val="left"/>
      <w:lvlText w:val="%1."/>
      <w:numFmt w:val="lowerLetter"/>
      <w:start w:val="1"/>
    </w:lvl>
  </w:abstractNum>
  <w:abstractNum w:abstractNumId="42">
    <w:nsid w:val="57C5BB4F"/>
    <w:multiLevelType w:val="hybridMultilevel"/>
    <w:lvl w:ilvl="0">
      <w:lvlJc w:val="left"/>
      <w:lvlText w:val="(%1)"/>
      <w:numFmt w:val="lowerLetter"/>
      <w:start w:val="1"/>
    </w:lvl>
  </w:abstractNum>
  <w:abstractNum w:abstractNumId="43">
    <w:nsid w:val="1803D089"/>
    <w:multiLevelType w:val="hybridMultilevel"/>
    <w:lvl w:ilvl="0">
      <w:lvlJc w:val="left"/>
      <w:lvlText w:val="%1."/>
      <w:numFmt w:val="lowerLetter"/>
      <w:start w:val="1"/>
    </w:lvl>
  </w:abstractNum>
  <w:abstractNum w:abstractNumId="44">
    <w:nsid w:val="4F3A06D4"/>
    <w:multiLevelType w:val="hybridMultilevel"/>
    <w:lvl w:ilvl="0">
      <w:lvlJc w:val="left"/>
      <w:lvlText w:val="(%1)"/>
      <w:numFmt w:val="lowerLetter"/>
      <w:start w:val="1"/>
    </w:lvl>
  </w:abstractNum>
  <w:abstractNum w:abstractNumId="45">
    <w:nsid w:val="59A377B6"/>
    <w:multiLevelType w:val="hybridMultilevel"/>
    <w:lvl w:ilvl="0">
      <w:lvlJc w:val="left"/>
      <w:lvlText w:val="%1."/>
      <w:numFmt w:val="lowerLetter"/>
      <w:start w:val="1"/>
    </w:lvl>
  </w:abstractNum>
  <w:abstractNum w:abstractNumId="46">
    <w:nsid w:val="48AEB063"/>
    <w:multiLevelType w:val="hybridMultilevel"/>
    <w:lvl w:ilvl="0">
      <w:lvlJc w:val="left"/>
      <w:lvlText w:val="M"/>
      <w:numFmt w:val="bullet"/>
      <w:start w:val="1"/>
    </w:lvl>
  </w:abstractNum>
  <w:abstractNum w:abstractNumId="47">
    <w:nsid w:val="24E135"/>
    <w:multiLevelType w:val="hybridMultilevel"/>
    <w:lvl w:ilvl="0">
      <w:lvlJc w:val="left"/>
      <w:lvlText w:val="(%1)"/>
      <w:numFmt w:val="decimal"/>
      <w:start w:val="1"/>
    </w:lvl>
  </w:abstractNum>
  <w:abstractNum w:abstractNumId="48">
    <w:nsid w:val="BB13C1"/>
    <w:multiLevelType w:val="hybridMultilevel"/>
    <w:lvl w:ilvl="0">
      <w:lvlJc w:val="left"/>
      <w:lvlText w:val="%1."/>
      <w:numFmt w:val="lowerLetter"/>
      <w:start w:val="1"/>
    </w:lvl>
  </w:abstractNum>
  <w:abstractNum w:abstractNumId="49">
    <w:nsid w:val="271210C7"/>
    <w:multiLevelType w:val="hybridMultilevel"/>
    <w:lvl w:ilvl="0">
      <w:lvlJc w:val="left"/>
      <w:lvlText w:val="%1."/>
      <w:numFmt w:val="lowerLetter"/>
      <w:start w:val="2"/>
    </w:lvl>
  </w:abstractNum>
  <w:abstractNum w:abstractNumId="50">
    <w:nsid w:val="217B22E4"/>
    <w:multiLevelType w:val="hybridMultilevel"/>
    <w:lvl w:ilvl="0">
      <w:lvlJc w:val="left"/>
      <w:lvlText w:val="%1."/>
      <w:numFmt w:val="lowerLetter"/>
      <w:start w:val="1"/>
    </w:lvl>
  </w:abstractNum>
  <w:abstractNum w:abstractNumId="51">
    <w:nsid w:val="53E31A24"/>
    <w:multiLevelType w:val="hybridMultilevel"/>
    <w:lvl w:ilvl="0">
      <w:lvlJc w:val="left"/>
      <w:lvlText w:val="%1"/>
      <w:numFmt w:val="lowerLetter"/>
      <w:start w:val="1"/>
    </w:lvl>
    <w:lvl w:ilvl="1">
      <w:lvlJc w:val="left"/>
      <w:lvlText w:val="(%2)"/>
      <w:numFmt w:val="lowerLetter"/>
      <w:start w:val="1"/>
    </w:lvl>
  </w:abstractNum>
  <w:abstractNum w:abstractNumId="52">
    <w:nsid w:val="6DC45E83"/>
    <w:multiLevelType w:val="hybridMultilevel"/>
    <w:lvl w:ilvl="0">
      <w:lvlJc w:val="left"/>
      <w:lvlText w:val="%1"/>
      <w:numFmt w:val="lowerRoman"/>
      <w:start w:val="1"/>
    </w:lvl>
    <w:lvl w:ilvl="1">
      <w:lvlJc w:val="left"/>
      <w:lvlText w:val="%2."/>
      <w:numFmt w:val="lowerRoman"/>
      <w:start w:val="1"/>
    </w:lvl>
  </w:abstractNum>
  <w:abstractNum w:abstractNumId="53">
    <w:nsid w:val="17304A67"/>
    <w:multiLevelType w:val="hybridMultilevel"/>
    <w:lvl w:ilvl="0">
      <w:lvlJc w:val="left"/>
      <w:lvlText w:val="%1."/>
      <w:numFmt w:val="lowerRoman"/>
      <w:start w:val="4"/>
    </w:lvl>
    <w:lvl w:ilvl="1">
      <w:lvlJc w:val="left"/>
      <w:lvlText w:val="%2"/>
      <w:numFmt w:val="lowerRoman"/>
      <w:start w:val="1"/>
    </w:lvl>
  </w:abstractNum>
  <w:abstractNum w:abstractNumId="54">
    <w:nsid w:val="2BB180D8"/>
    <w:multiLevelType w:val="hybridMultilevel"/>
    <w:lvl w:ilvl="0">
      <w:lvlJc w:val="left"/>
      <w:lvlText w:val="%1."/>
      <w:numFmt w:val="lowerRoman"/>
      <w:start w:val="5"/>
    </w:lvl>
  </w:abstractNum>
  <w:abstractNum w:abstractNumId="55">
    <w:nsid w:val="556B69ED"/>
    <w:multiLevelType w:val="hybridMultilevel"/>
    <w:lvl w:ilvl="0">
      <w:lvlJc w:val="left"/>
      <w:lvlText w:val="%1"/>
      <w:numFmt w:val="lowerRoman"/>
      <w:start w:val="1"/>
    </w:lvl>
    <w:lvl w:ilvl="1">
      <w:lvlJc w:val="left"/>
      <w:lvlText w:val="%2."/>
      <w:numFmt w:val="lowerRoman"/>
      <w:start w:val="1"/>
    </w:lvl>
  </w:abstractNum>
  <w:abstractNum w:abstractNumId="56">
    <w:nsid w:val="70836196"/>
    <w:multiLevelType w:val="hybridMultilevel"/>
    <w:lvl w:ilvl="0">
      <w:lvlJc w:val="left"/>
      <w:lvlText w:val="%1."/>
      <w:numFmt w:val="lowerRoman"/>
      <w:start w:val="4"/>
    </w:lvl>
    <w:lvl w:ilvl="1">
      <w:lvlJc w:val="left"/>
      <w:lvlText w:val="%2."/>
      <w:numFmt w:val="lowerRoman"/>
      <w:start w:val="6"/>
    </w:lvl>
  </w:abstractNum>
  <w:abstractNum w:abstractNumId="57">
    <w:nsid w:val="539F7F12"/>
    <w:multiLevelType w:val="hybridMultilevel"/>
    <w:lvl w:ilvl="0">
      <w:lvlJc w:val="left"/>
      <w:lvlText w:val="%1"/>
      <w:numFmt w:val="lowerRoman"/>
      <w:start w:val="1"/>
    </w:lvl>
    <w:lvl w:ilvl="1">
      <w:lvlJc w:val="left"/>
      <w:lvlText w:val="%2."/>
      <w:numFmt w:val="lowerRoman"/>
      <w:start w:val="1"/>
    </w:lvl>
  </w:abstractNum>
  <w:abstractNum w:abstractNumId="58">
    <w:nsid w:val="2817E7EC"/>
    <w:multiLevelType w:val="hybridMultilevel"/>
    <w:lvl w:ilvl="0">
      <w:lvlJc w:val="left"/>
      <w:lvlText w:val="%1."/>
      <w:numFmt w:val="lowerRoman"/>
      <w:start w:val="4"/>
    </w:lvl>
    <w:lvl w:ilvl="1">
      <w:lvlJc w:val="left"/>
      <w:lvlText w:val="%2."/>
      <w:numFmt w:val="lowerRoman"/>
      <w:start w:val="6"/>
    </w:lvl>
  </w:abstractNum>
  <w:abstractNum w:abstractNumId="59">
    <w:nsid w:val="71482545"/>
    <w:multiLevelType w:val="hybridMultilevel"/>
    <w:lvl w:ilvl="0">
      <w:lvlJc w:val="left"/>
      <w:lvlText w:val="%1."/>
      <w:numFmt w:val="lowerRoman"/>
      <w:start w:val="10"/>
    </w:lvl>
  </w:abstractNum>
  <w:abstractNum w:abstractNumId="60">
    <w:nsid w:val="17D78639"/>
    <w:multiLevelType w:val="hybridMultilevel"/>
    <w:lvl w:ilvl="0">
      <w:lvlJc w:val="left"/>
      <w:lvlText w:val="%1."/>
      <w:numFmt w:val="lowerRoman"/>
      <w:start w:val="1"/>
    </w:lvl>
  </w:abstractNum>
  <w:abstractNum w:abstractNumId="61">
    <w:nsid w:val="141D2302"/>
    <w:multiLevelType w:val="hybridMultilevel"/>
    <w:lvl w:ilvl="0">
      <w:lvlJc w:val="left"/>
      <w:lvlText w:val="%1."/>
      <w:numFmt w:val="lowerRoman"/>
      <w:start w:val="3"/>
    </w:lvl>
    <w:lvl w:ilvl="1">
      <w:lvlJc w:val="left"/>
      <w:lvlText w:val="(%2)"/>
      <w:numFmt w:val="decimal"/>
      <w:start w:val="29"/>
    </w:lvl>
  </w:abstractNum>
  <w:abstractNum w:abstractNumId="62">
    <w:nsid w:val="407168D8"/>
    <w:multiLevelType w:val="hybridMultilevel"/>
    <w:lvl w:ilvl="0">
      <w:lvlJc w:val="left"/>
      <w:lvlText w:val="%1."/>
      <w:numFmt w:val="decimal"/>
      <w:start w:val="1"/>
    </w:lvl>
  </w:abstractNum>
  <w:abstractNum w:abstractNumId="63">
    <w:nsid w:val="6A1B45E5"/>
    <w:multiLevelType w:val="hybridMultilevel"/>
    <w:lvl w:ilvl="0">
      <w:lvlJc w:val="left"/>
      <w:lvlText w:val="(%1)"/>
      <w:numFmt w:val="decimal"/>
      <w:start w:val="1"/>
    </w:lvl>
  </w:abstractNum>
  <w:abstractNum w:abstractNumId="64">
    <w:nsid w:val="567BD50A"/>
    <w:multiLevelType w:val="hybridMultilevel"/>
    <w:lvl w:ilvl="0">
      <w:lvlJc w:val="left"/>
      <w:lvlText w:val="%1."/>
      <w:numFmt w:val="lowerLetter"/>
      <w:start w:val="1"/>
    </w:lvl>
  </w:abstractNum>
  <w:abstractNum w:abstractNumId="65">
    <w:nsid w:val="73BBD7F8"/>
    <w:multiLevelType w:val="hybridMultilevel"/>
    <w:lvl w:ilvl="0">
      <w:lvlJc w:val="left"/>
      <w:lvlText w:val="%1."/>
      <w:numFmt w:val="lowerLetter"/>
      <w:start w:val="2"/>
    </w:lvl>
  </w:abstractNum>
  <w:abstractNum w:abstractNumId="66">
    <w:nsid w:val="1876589D"/>
    <w:multiLevelType w:val="hybridMultilevel"/>
    <w:lvl w:ilvl="0">
      <w:lvlJc w:val="left"/>
      <w:lvlText w:val="%1."/>
      <w:numFmt w:val="lowerLetter"/>
      <w:start w:val="1"/>
    </w:lvl>
  </w:abstractNum>
  <w:abstractNum w:abstractNumId="67">
    <w:nsid w:val="327FAC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8">
    <w:nsid w:val="5A60650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9">
    <w:nsid w:val="6F38E6D1"/>
    <w:multiLevelType w:val="hybridMultilevel"/>
    <w:lvl w:ilvl="0">
      <w:lvlJc w:val="left"/>
      <w:lvlText w:val="(%1)"/>
      <w:numFmt w:val="lowerLetter"/>
      <w:start w:val="1"/>
    </w:lvl>
  </w:abstractNum>
  <w:abstractNum w:abstractNumId="70">
    <w:nsid w:val="46111BA5"/>
    <w:multiLevelType w:val="hybridMultilevel"/>
    <w:lvl w:ilvl="0">
      <w:lvlJc w:val="left"/>
      <w:lvlText w:val="(%1)"/>
      <w:numFmt w:val="lowerLetter"/>
      <w:start w:val="25"/>
    </w:lvl>
  </w:abstractNum>
  <w:abstractNum w:abstractNumId="71">
    <w:nsid w:val="5E963896"/>
    <w:multiLevelType w:val="hybridMultilevel"/>
    <w:lvl w:ilvl="0">
      <w:lvlJc w:val="left"/>
      <w:lvlText w:val="(%1)"/>
      <w:numFmt w:val="decimal"/>
      <w:start w:val="1"/>
    </w:lvl>
  </w:abstractNum>
  <w:abstractNum w:abstractNumId="72">
    <w:nsid w:val="775BA7C1"/>
    <w:multiLevelType w:val="hybridMultilevel"/>
    <w:lvl w:ilvl="0">
      <w:lvlJc w:val="left"/>
      <w:lvlText w:val="%1"/>
      <w:numFmt w:val="lowerLetter"/>
      <w:start w:val="1"/>
    </w:lvl>
    <w:lvl w:ilvl="1">
      <w:lvlJc w:val="left"/>
      <w:lvlText w:val="(%2)"/>
      <w:numFmt w:val="lowerLetter"/>
      <w:start w:val="1"/>
    </w:lvl>
  </w:abstractNum>
  <w:abstractNum w:abstractNumId="73">
    <w:nsid w:val="1DD6D6F4"/>
    <w:multiLevelType w:val="hybridMultilevel"/>
    <w:lvl w:ilvl="0">
      <w:lvlJc w:val="left"/>
      <w:lvlText w:val="(%1)"/>
      <w:numFmt w:val="lowerLetter"/>
      <w:start w:val="9"/>
    </w:lvl>
    <w:lvl w:ilvl="1">
      <w:lvlJc w:val="left"/>
      <w:lvlText w:val="%2"/>
      <w:numFmt w:val="lowerLetter"/>
      <w:start w:val="1"/>
    </w:lvl>
  </w:abstractNum>
  <w:abstractNum w:abstractNumId="74">
    <w:nsid w:val="769A091F"/>
    <w:multiLevelType w:val="hybridMultilevel"/>
    <w:lvl w:ilvl="0">
      <w:lvlJc w:val="left"/>
      <w:lvlText w:val="%1."/>
      <w:numFmt w:val="lowerLetter"/>
      <w:start w:val="1"/>
    </w:lvl>
  </w:abstractNum>
  <w:abstractNum w:abstractNumId="75">
    <w:nsid w:val="4695AE95"/>
    <w:multiLevelType w:val="hybridMultilevel"/>
    <w:lvl w:ilvl="0">
      <w:lvlJc w:val="left"/>
      <w:lvlText w:val="(%1)"/>
      <w:numFmt w:val="upperLetter"/>
      <w:start w:val="2"/>
    </w:lvl>
  </w:abstractNum>
  <w:abstractNum w:abstractNumId="76">
    <w:nsid w:val="777A4EAA"/>
    <w:multiLevelType w:val="hybridMultilevel"/>
    <w:lvl w:ilvl="0">
      <w:lvlJc w:val="left"/>
      <w:lvlText w:val="(%1)"/>
      <w:numFmt w:val="lowerRoman"/>
      <w:start w:val="4"/>
    </w:lvl>
  </w:abstractNum>
  <w:abstractNum w:abstractNumId="77">
    <w:nsid w:val="3F48B982"/>
    <w:multiLevelType w:val="hybridMultilevel"/>
    <w:lvl w:ilvl="0">
      <w:lvlJc w:val="left"/>
      <w:lvlText w:val="%1."/>
      <w:numFmt w:val="decimal"/>
      <w:start w:val="1"/>
    </w:lvl>
  </w:abstractNum>
  <w:abstractNum w:abstractNumId="78">
    <w:nsid w:val="46BA8FCA"/>
    <w:multiLevelType w:val="hybridMultilevel"/>
    <w:lvl w:ilvl="0">
      <w:lvlJc w:val="left"/>
      <w:lvlText w:val="%1."/>
      <w:numFmt w:val="lowerLetter"/>
      <w:start w:val="1"/>
    </w:lvl>
  </w:abstractNum>
  <w:abstractNum w:abstractNumId="79">
    <w:nsid w:val="7835626C"/>
    <w:multiLevelType w:val="hybridMultilevel"/>
    <w:lvl w:ilvl="0">
      <w:lvlJc w:val="left"/>
      <w:lvlText w:val="(%1)"/>
      <w:numFmt w:val="lowerRoman"/>
      <w:start w:val="2"/>
    </w:lvl>
  </w:abstractNum>
  <w:abstractNum w:abstractNumId="80">
    <w:nsid w:val="665ACA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6"/>
    </w:lvl>
  </w:abstractNum>
  <w:abstractNum w:abstractNumId="81">
    <w:nsid w:val="6835B2AE"/>
    <w:multiLevelType w:val="hybridMultilevel"/>
    <w:lvl w:ilvl="0">
      <w:lvlJc w:val="left"/>
      <w:lvlText w:val="%1."/>
      <w:numFmt w:val="lowerLetter"/>
      <w:start w:val="1"/>
    </w:lvl>
  </w:abstractNum>
  <w:abstractNum w:abstractNumId="82">
    <w:nsid w:val="4C187C90"/>
    <w:multiLevelType w:val="hybridMultilevel"/>
    <w:lvl w:ilvl="0">
      <w:lvlJc w:val="left"/>
      <w:lvlText w:val="(%1)"/>
      <w:numFmt w:val="lowerRoman"/>
      <w:start w:val="2"/>
    </w:lvl>
  </w:abstractNum>
  <w:abstractNum w:abstractNumId="83">
    <w:nsid w:val="541F28CD"/>
    <w:multiLevelType w:val="hybridMultilevel"/>
    <w:lvl w:ilvl="0">
      <w:lvlJc w:val="left"/>
      <w:lvlText w:val="%1."/>
      <w:numFmt w:val="lowerLetter"/>
      <w:start w:val="1"/>
    </w:lvl>
    <w:lvl w:ilvl="1">
      <w:lvlJc w:val="left"/>
      <w:lvlText w:val="(%2)"/>
      <w:numFmt w:val="lowerRoman"/>
      <w:start w:val="2"/>
    </w:lvl>
  </w:abstractNum>
  <w:abstractNum w:abstractNumId="84">
    <w:nsid w:val="7F65FD16"/>
    <w:multiLevelType w:val="hybridMultilevel"/>
    <w:lvl w:ilvl="0">
      <w:lvlJc w:val="left"/>
      <w:lvlText w:val="%1."/>
      <w:numFmt w:val="lowerLetter"/>
      <w:start w:val="1"/>
    </w:lvl>
  </w:abstractNum>
  <w:abstractNum w:abstractNumId="85">
    <w:nsid w:val="77C9FD68"/>
    <w:multiLevelType w:val="hybridMultilevel"/>
    <w:lvl w:ilvl="0">
      <w:lvlJc w:val="left"/>
      <w:lvlText w:val="%1."/>
      <w:numFmt w:val="decimal"/>
      <w:start w:val="1"/>
    </w:lvl>
  </w:abstractNum>
  <w:abstractNum w:abstractNumId="86">
    <w:nsid w:val="298A92BA"/>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87">
    <w:nsid w:val="6FE95EAC"/>
    <w:multiLevelType w:val="hybridMultilevel"/>
    <w:lvl w:ilvl="0">
      <w:lvlJc w:val="left"/>
      <w:lvlText w:val="%1"/>
      <w:numFmt w:val="lowerRoman"/>
      <w:start w:val="1"/>
    </w:lvl>
    <w:lvl w:ilvl="1">
      <w:lvlJc w:val="left"/>
      <w:lvlText w:val="(%2)"/>
      <w:numFmt w:val="lowerRoman"/>
      <w:start w:val="6"/>
    </w:lvl>
    <w:lvl w:ilvl="2">
      <w:lvlJc w:val="left"/>
      <w:lvlText w:val="%3"/>
      <w:numFmt w:val="decimal"/>
      <w:start w:val="1"/>
    </w:lvl>
  </w:abstractNum>
  <w:abstractNum w:abstractNumId="88">
    <w:nsid w:val="4B697C7A"/>
    <w:multiLevelType w:val="hybridMultilevel"/>
    <w:lvl w:ilvl="0">
      <w:lvlJc w:val="left"/>
      <w:lvlText w:val="%1"/>
      <w:numFmt w:val="lowerRoman"/>
      <w:start w:val="1"/>
    </w:lvl>
    <w:lvl w:ilvl="1">
      <w:lvlJc w:val="left"/>
      <w:lvlText w:val="(%2)"/>
      <w:numFmt w:val="lowerRoman"/>
      <w:start w:val="11"/>
    </w:lvl>
    <w:lvl w:ilvl="2">
      <w:lvlJc w:val="left"/>
      <w:lvlText w:val="(%3)"/>
      <w:numFmt w:val="decimal"/>
      <w:start w:val="2"/>
    </w:lvl>
  </w:abstractNum>
  <w:abstractNum w:abstractNumId="89">
    <w:nsid w:val="51A27AA6"/>
    <w:multiLevelType w:val="hybridMultilevel"/>
    <w:lvl w:ilvl="0">
      <w:lvlJc w:val="left"/>
      <w:lvlText w:val="(%1)"/>
      <w:numFmt w:val="decimal"/>
      <w:start w:val="1"/>
    </w:lvl>
    <w:lvl w:ilvl="1">
      <w:lvlJc w:val="left"/>
      <w:lvlText w:val="(%2)"/>
      <w:numFmt w:val="lowerLetter"/>
      <w:start w:val="3"/>
    </w:lvl>
  </w:abstractNum>
  <w:abstractNum w:abstractNumId="90">
    <w:nsid w:val="613183F2"/>
    <w:multiLevelType w:val="hybridMultilevel"/>
    <w:lvl w:ilvl="0">
      <w:lvlJc w:val="left"/>
      <w:lvlText w:val="%1."/>
      <w:numFmt w:val="decimal"/>
      <w:start w:val="1"/>
    </w:lvl>
  </w:abstractNum>
  <w:abstractNum w:abstractNumId="91">
    <w:nsid w:val="634102B4"/>
    <w:multiLevelType w:val="hybridMultilevel"/>
    <w:lvl w:ilvl="0">
      <w:lvlJc w:val="left"/>
      <w:lvlText w:val="%1."/>
      <w:numFmt w:val="decimal"/>
      <w:start w:val="1"/>
    </w:lvl>
  </w:abstractNum>
  <w:abstractNum w:abstractNumId="92">
    <w:nsid w:val="65BF9DA8"/>
    <w:multiLevelType w:val="hybridMultilevel"/>
    <w:lvl w:ilvl="0">
      <w:lvlJc w:val="left"/>
      <w:lvlText w:val="%1."/>
      <w:numFmt w:val="decimal"/>
      <w:start w:val="1"/>
    </w:lvl>
  </w:abstractNum>
  <w:abstractNum w:abstractNumId="93">
    <w:nsid w:val="21A2ECCA"/>
    <w:multiLevelType w:val="hybridMultilevel"/>
    <w:lvl w:ilvl="0">
      <w:lvlJc w:val="left"/>
      <w:lvlText w:val="(%1)"/>
      <w:numFmt w:val="lowerLetter"/>
      <w:start w:val="6"/>
    </w:lvl>
  </w:abstractNum>
  <w:abstractNum w:abstractNumId="94">
    <w:nsid w:val="4D5C4899"/>
    <w:multiLevelType w:val="hybridMultilevel"/>
    <w:lvl w:ilvl="0">
      <w:lvlJc w:val="left"/>
      <w:lvlText w:val="(%1)"/>
      <w:numFmt w:val="lowerRoman"/>
      <w:start w:val="1"/>
    </w:lvl>
    <w:lvl w:ilvl="1">
      <w:lvlJc w:val="left"/>
      <w:lvlText w:val="(%2)"/>
      <w:numFmt w:val="decimal"/>
      <w:start w:val="1"/>
    </w:lvl>
  </w:abstractNum>
  <w:abstractNum w:abstractNumId="95">
    <w:nsid w:val="3C3B72B2"/>
    <w:multiLevelType w:val="hybridMultilevel"/>
    <w:lvl w:ilvl="0">
      <w:lvlJc w:val="left"/>
      <w:lvlText w:val="%1."/>
      <w:numFmt w:val="lowerRoman"/>
      <w:start w:val="1"/>
    </w:lvl>
  </w:abstractNum>
  <w:abstractNum w:abstractNumId="96">
    <w:nsid w:val="155EC4C2"/>
    <w:multiLevelType w:val="hybridMultilevel"/>
    <w:lvl w:ilvl="0">
      <w:lvlJc w:val="left"/>
      <w:lvlText w:val="(%1)"/>
      <w:numFmt w:val="lowerRoman"/>
      <w:start w:val="2"/>
    </w:lvl>
  </w:abstractNum>
  <w:abstractNum w:abstractNumId="97">
    <w:nsid w:val="65D2A137"/>
    <w:multiLevelType w:val="hybridMultilevel"/>
    <w:lvl w:ilvl="0">
      <w:lvlJc w:val="left"/>
      <w:lvlText w:val="(%1)"/>
      <w:numFmt w:val="lowerLetter"/>
      <w:start w:val="3"/>
    </w:lvl>
  </w:abstractNum>
  <w:abstractNum w:abstractNumId="98">
    <w:nsid w:val="6EBB1F2A"/>
    <w:multiLevelType w:val="hybridMultilevel"/>
    <w:lvl w:ilvl="0">
      <w:lvlJc w:val="left"/>
      <w:lvlText w:val="%1."/>
      <w:numFmt w:val="lowerRoman"/>
      <w:start w:val="1"/>
    </w:lvl>
  </w:abstractNum>
  <w:abstractNum w:abstractNumId="99">
    <w:nsid w:val="6FBF29CB"/>
    <w:multiLevelType w:val="hybridMultilevel"/>
    <w:lvl w:ilvl="0">
      <w:lvlJc w:val="left"/>
      <w:lvlText w:val="(%1)"/>
      <w:numFmt w:val="decimal"/>
      <w:start w:val="1"/>
    </w:lvl>
  </w:abstractNum>
  <w:abstractNum w:abstractNumId="100">
    <w:nsid w:val="550B8808"/>
    <w:multiLevelType w:val="hybridMultilevel"/>
    <w:lvl w:ilvl="0">
      <w:lvlJc w:val="left"/>
      <w:lvlText w:val="(%1)"/>
      <w:numFmt w:val="lowerLetter"/>
      <w:start w:val="3"/>
    </w:lvl>
  </w:abstractNum>
  <w:abstractNum w:abstractNumId="101">
    <w:nsid w:val="34CC3ACF"/>
    <w:multiLevelType w:val="hybridMultilevel"/>
    <w:lvl w:ilvl="0">
      <w:lvlJc w:val="left"/>
      <w:lvlText w:val="%1."/>
      <w:numFmt w:val="lowerRoman"/>
      <w:start w:val="1"/>
    </w:lvl>
  </w:abstractNum>
  <w:abstractNum w:abstractNumId="102">
    <w:nsid w:val="4E556261"/>
    <w:multiLevelType w:val="hybridMultilevel"/>
    <w:lvl w:ilvl="0">
      <w:lvlJc w:val="left"/>
      <w:lvlText w:val="(%1)"/>
      <w:numFmt w:val="lowerLetter"/>
      <w:start w:val="25"/>
    </w:lvl>
  </w:abstractNum>
  <w:abstractNum w:abstractNumId="103">
    <w:nsid w:val="4C672FC9"/>
    <w:multiLevelType w:val="hybridMultilevel"/>
    <w:lvl w:ilvl="0">
      <w:lvlJc w:val="left"/>
      <w:lvlText w:val="%1."/>
      <w:numFmt w:val="lowerRoman"/>
      <w:start w:val="1"/>
    </w:lvl>
    <w:lvl w:ilvl="1">
      <w:lvlJc w:val="left"/>
      <w:lvlText w:val="%2."/>
      <w:numFmt w:val="decimal"/>
      <w:start w:val="1"/>
    </w:lvl>
  </w:abstractNum>
  <w:abstractNum w:abstractNumId="104">
    <w:nsid w:val="52A311C3"/>
    <w:multiLevelType w:val="hybridMultilevel"/>
    <w:lvl w:ilvl="0">
      <w:lvlJc w:val="left"/>
      <w:lvlText w:val="%1."/>
      <w:numFmt w:val="decimal"/>
      <w:start w:val="4"/>
    </w:lvl>
  </w:abstractNum>
  <w:abstractNum w:abstractNumId="105">
    <w:nsid w:val="44EF6B80"/>
    <w:multiLevelType w:val="hybridMultilevel"/>
    <w:lvl w:ilvl="0">
      <w:lvlJc w:val="left"/>
      <w:lvlText w:val="%1"/>
      <w:numFmt w:val="lowerLetter"/>
      <w:start w:val="1"/>
    </w:lvl>
    <w:lvl w:ilvl="1">
      <w:lvlJc w:val="left"/>
      <w:lvlText w:val="%2."/>
      <w:numFmt w:val="decimal"/>
      <w:start w:val="1"/>
    </w:lvl>
  </w:abstractNum>
  <w:abstractNum w:abstractNumId="106">
    <w:nsid w:val="12FCDE5E"/>
    <w:multiLevelType w:val="hybridMultilevel"/>
    <w:lvl w:ilvl="0">
      <w:lvlJc w:val="left"/>
      <w:lvlText w:val="(%1)"/>
      <w:numFmt w:val="lowerLetter"/>
      <w:start w:val="5"/>
    </w:lvl>
    <w:lvl w:ilvl="1">
      <w:lvlJc w:val="left"/>
      <w:lvlText w:val="%2."/>
      <w:numFmt w:val="decimal"/>
      <w:start w:val="5"/>
    </w:lvl>
  </w:abstractNum>
  <w:abstractNum w:abstractNumId="107">
    <w:nsid w:val="4A1D606E"/>
    <w:multiLevelType w:val="hybridMultilevel"/>
    <w:lvl w:ilvl="0">
      <w:lvlJc w:val="left"/>
      <w:lvlText w:val="(%1)"/>
      <w:numFmt w:val="lowerRoman"/>
      <w:start w:val="13"/>
    </w:lvl>
  </w:abstractNum>
  <w:abstractNum w:abstractNumId="108">
    <w:nsid w:val="4382503"/>
    <w:multiLevelType w:val="hybridMultilevel"/>
    <w:lvl w:ilvl="0">
      <w:lvlJc w:val="left"/>
      <w:lvlText w:val="(%1)"/>
      <w:numFmt w:val="lowerRoman"/>
      <w:start w:val="13"/>
    </w:lvl>
  </w:abstractNum>
  <w:abstractNum w:abstractNumId="109">
    <w:nsid w:val="59B76E28"/>
    <w:multiLevelType w:val="hybridMultilevel"/>
    <w:lvl w:ilvl="0">
      <w:lvlJc w:val="left"/>
      <w:lvlText w:val="(%1)"/>
      <w:numFmt w:val="lowerLetter"/>
      <w:start w:val="7"/>
    </w:lvl>
  </w:abstractNum>
  <w:abstractNum w:abstractNumId="110">
    <w:nsid w:val="4252C2DA"/>
    <w:multiLevelType w:val="hybridMultilevel"/>
    <w:lvl w:ilvl="0">
      <w:lvlJc w:val="left"/>
      <w:lvlText w:val="(%1)"/>
      <w:numFmt w:val="lowerRoman"/>
      <w:start w:val="1"/>
    </w:lvl>
  </w:abstractNum>
  <w:abstractNum w:abstractNumId="111">
    <w:nsid w:val="6A92EF4C"/>
    <w:multiLevelType w:val="hybridMultilevel"/>
    <w:lvl w:ilvl="0">
      <w:lvlJc w:val="left"/>
      <w:lvlText w:val="(%1)"/>
      <w:numFmt w:val="lowerLetter"/>
      <w:start w:val="1"/>
    </w:lvl>
  </w:abstractNum>
  <w:abstractNum w:abstractNumId="112">
    <w:nsid w:val="41ED20D7"/>
    <w:multiLevelType w:val="hybridMultilevel"/>
    <w:lvl w:ilvl="0">
      <w:lvlJc w:val="left"/>
      <w:lvlText w:val="(%1)"/>
      <w:numFmt w:val="decimal"/>
      <w:start w:val="1"/>
    </w:lvl>
  </w:abstractNum>
  <w:abstractNum w:abstractNumId="113">
    <w:nsid w:val="E6B3F6A"/>
    <w:multiLevelType w:val="hybridMultilevel"/>
    <w:lvl w:ilvl="0">
      <w:lvlJc w:val="left"/>
      <w:lvlText w:val="%1."/>
      <w:numFmt w:val="lowerRoman"/>
      <w:start w:val="1"/>
    </w:lvl>
  </w:abstractNum>
  <w:abstractNum w:abstractNumId="114">
    <w:nsid w:val="3EB21819"/>
    <w:multiLevelType w:val="hybridMultilevel"/>
    <w:lvl w:ilvl="0">
      <w:lvlJc w:val="left"/>
      <w:lvlText w:val="%1."/>
      <w:numFmt w:val="lowerRoman"/>
      <w:start w:val="1"/>
    </w:lvl>
  </w:abstractNum>
  <w:abstractNum w:abstractNumId="115">
    <w:nsid w:val="41531DE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6">
    <w:nsid w:val="6353CD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117">
    <w:nsid w:val="683CAAD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7"/>
    </w:lvl>
  </w:abstractNum>
  <w:abstractNum w:abstractNumId="118">
    <w:nsid w:val="313C7C9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19">
    <w:nsid w:val="519EB94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decimal"/>
      <w:start w:val="1"/>
    </w:lvl>
  </w:abstractNum>
  <w:abstractNum w:abstractNumId="120">
    <w:nsid w:val="39DF2579"/>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lvl w:ilvl="3">
      <w:lvlJc w:val="left"/>
      <w:lvlText w:val="%4."/>
      <w:numFmt w:val="decimal"/>
      <w:start w:val="5"/>
    </w:lvl>
    <w:lvl w:ilvl="4">
      <w:lvlJc w:val="left"/>
      <w:lvlText w:val="%5"/>
      <w:numFmt w:val="decimal"/>
      <w:start w:val="1"/>
    </w:lvl>
  </w:abstractNum>
  <w:abstractNum w:abstractNumId="121">
    <w:nsid w:val="126E008B"/>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lvl w:ilvl="3">
      <w:lvlJc w:val="left"/>
      <w:lvlText w:val="%4"/>
      <w:numFmt w:val="decimal"/>
      <w:start w:val="1"/>
    </w:lvl>
  </w:abstractNum>
  <w:abstractNum w:abstractNumId="122">
    <w:nsid w:val="34DFBC00"/>
    <w:multiLevelType w:val="hybridMultilevel"/>
    <w:lvl w:ilvl="0">
      <w:lvlJc w:val="left"/>
      <w:lvlText w:val="%1"/>
      <w:numFmt w:val="decimal"/>
      <w:start w:val="1"/>
    </w:lvl>
    <w:lvl w:ilvl="1">
      <w:lvlJc w:val="left"/>
      <w:lvlText w:val="%2."/>
      <w:numFmt w:val="decimal"/>
      <w:start w:val="7"/>
    </w:lvl>
    <w:lvl w:ilvl="2">
      <w:lvlJc w:val="left"/>
      <w:lvlText w:val="%3"/>
      <w:numFmt w:val="decimal"/>
      <w:start w:val="1"/>
    </w:lvl>
    <w:lvl w:ilvl="3">
      <w:lvlJc w:val="left"/>
      <w:lvlText w:val="%4"/>
      <w:numFmt w:val="decimal"/>
      <w:start w:val="1"/>
    </w:lvl>
  </w:abstractNum>
  <w:abstractNum w:abstractNumId="123">
    <w:nsid w:val="1F9EC322"/>
    <w:multiLevelType w:val="hybridMultilevel"/>
    <w:lvl w:ilvl="0">
      <w:lvlJc w:val="left"/>
      <w:lvlText w:val="%1."/>
      <w:numFmt w:val="decimal"/>
      <w:start w:val="8"/>
    </w:lvl>
    <w:lvl w:ilvl="1">
      <w:lvlJc w:val="left"/>
      <w:lvlText w:val="%2"/>
      <w:numFmt w:val="decimal"/>
      <w:start w:val="1"/>
    </w:lvl>
    <w:lvl w:ilvl="2">
      <w:lvlJc w:val="left"/>
      <w:lvlText w:val="%3."/>
      <w:numFmt w:val="decimal"/>
      <w:start w:val="9"/>
    </w:lvl>
    <w:lvl w:ilvl="3">
      <w:lvlJc w:val="left"/>
      <w:lvlText w:val="%4."/>
      <w:numFmt w:val="decimal"/>
      <w:start w:val="10"/>
    </w:lvl>
  </w:abstractNum>
  <w:abstractNum w:abstractNumId="124">
    <w:nsid w:val="3410ED56"/>
    <w:multiLevelType w:val="hybridMultilevel"/>
    <w:lvl w:ilvl="0">
      <w:lvlJc w:val="left"/>
      <w:lvlText w:val="%1."/>
      <w:numFmt w:val="decimal"/>
      <w:start w:val="11"/>
    </w:lvl>
  </w:abstractNum>
  <w:abstractNum w:abstractNumId="125">
    <w:nsid w:val="23C049A"/>
    <w:multiLevelType w:val="hybridMultilevel"/>
    <w:lvl w:ilvl="0">
      <w:lvlJc w:val="left"/>
      <w:lvlText w:val="(%1)"/>
      <w:numFmt w:val="lowerLetter"/>
      <w:start w:val="1"/>
    </w:lvl>
  </w:abstractNum>
  <w:abstractNum w:abstractNumId="126">
    <w:nsid w:val="5BDA35D4"/>
    <w:multiLevelType w:val="hybridMultilevel"/>
    <w:lvl w:ilvl="0">
      <w:lvlJc w:val="left"/>
      <w:lvlText w:val="(%1)"/>
      <w:numFmt w:val="lowerRoman"/>
      <w:start w:val="1"/>
    </w:lvl>
  </w:abstractNum>
  <w:abstractNum w:abstractNumId="127">
    <w:nsid w:val="496FB218"/>
    <w:multiLevelType w:val="hybridMultilevel"/>
    <w:lvl w:ilvl="0">
      <w:lvlJc w:val="left"/>
      <w:lvlText w:val="%1"/>
      <w:numFmt w:val="lowerLetter"/>
      <w:start w:val="1"/>
    </w:lvl>
    <w:lvl w:ilvl="1">
      <w:lvlJc w:val="left"/>
      <w:lvlText w:val="(%2)"/>
      <w:numFmt w:val="decimal"/>
      <w:start w:val="1"/>
    </w:lvl>
  </w:abstractNum>
  <w:abstractNum w:abstractNumId="128">
    <w:nsid w:val="680EA5D1"/>
    <w:multiLevelType w:val="hybridMultilevel"/>
    <w:lvl w:ilvl="0">
      <w:lvlJc w:val="left"/>
      <w:lvlText w:val="(%1)"/>
      <w:numFmt w:val="lowerLetter"/>
      <w:start w:val="2"/>
    </w:lvl>
    <w:lvl w:ilvl="1">
      <w:lvlJc w:val="left"/>
      <w:lvlText w:val="%2"/>
      <w:numFmt w:val="decimal"/>
      <w:start w:val="1"/>
    </w:lvl>
  </w:abstractNum>
  <w:abstractNum w:abstractNumId="129">
    <w:nsid w:val="4A9554FE"/>
    <w:multiLevelType w:val="hybridMultilevel"/>
    <w:lvl w:ilvl="0">
      <w:lvlJc w:val="left"/>
      <w:lvlText w:val="%1."/>
      <w:numFmt w:val="decimal"/>
      <w:start w:val="1"/>
    </w:lvl>
  </w:abstractNum>
  <w:abstractNum w:abstractNumId="130">
    <w:nsid w:val="392EDBE4"/>
    <w:multiLevelType w:val="hybridMultilevel"/>
    <w:lvl w:ilvl="0">
      <w:lvlJc w:val="left"/>
      <w:lvlText w:val="(%1)"/>
      <w:numFmt w:val="decimal"/>
      <w:start w:val="1"/>
    </w:lvl>
  </w:abstractNum>
  <w:abstractNum w:abstractNumId="131">
    <w:nsid w:val="3D1A2DD9"/>
    <w:multiLevelType w:val="hybridMultilevel"/>
    <w:lvl w:ilvl="0">
      <w:lvlJc w:val="left"/>
      <w:lvlText w:val="(%1)"/>
      <w:numFmt w:val="lowerRoman"/>
      <w:start w:val="5"/>
    </w:lvl>
  </w:abstractNum>
  <w:abstractNum w:abstractNumId="132">
    <w:nsid w:val="7F618FCD"/>
    <w:multiLevelType w:val="hybridMultilevel"/>
    <w:lvl w:ilvl="0">
      <w:lvlJc w:val="left"/>
      <w:lvlText w:val="%1"/>
      <w:numFmt w:val="lowerLetter"/>
      <w:start w:val="1"/>
    </w:lvl>
    <w:lvl w:ilvl="1">
      <w:lvlJc w:val="left"/>
      <w:lvlText w:val="%2."/>
      <w:numFmt w:val="lowerRoman"/>
      <w:start w:val="1"/>
    </w:lvl>
  </w:abstractNum>
  <w:abstractNum w:abstractNumId="133">
    <w:nsid w:val="7843E45"/>
    <w:multiLevelType w:val="hybridMultilevel"/>
    <w:lvl w:ilvl="0">
      <w:lvlJc w:val="left"/>
      <w:lvlText w:val="(%1)"/>
      <w:numFmt w:val="lowerLetter"/>
      <w:start w:val="2"/>
    </w:lvl>
    <w:lvl w:ilvl="1">
      <w:lvlJc w:val="left"/>
      <w:lvlText w:val="%2."/>
      <w:numFmt w:val="lowerRoman"/>
      <w:start w:val="2"/>
    </w:lvl>
  </w:abstractNum>
  <w:abstractNum w:abstractNumId="134">
    <w:nsid w:val="9815DA3"/>
    <w:multiLevelType w:val="hybridMultilevel"/>
    <w:lvl w:ilvl="0">
      <w:lvlJc w:val="left"/>
      <w:lvlText w:val="(%1)"/>
      <w:numFmt w:val="lowerLetter"/>
      <w:start w:val="3"/>
    </w:lvl>
  </w:abstractNum>
  <w:abstractNum w:abstractNumId="135">
    <w:nsid w:val="5204A191"/>
    <w:multiLevelType w:val="hybridMultilevel"/>
    <w:lvl w:ilvl="0">
      <w:lvlJc w:val="left"/>
      <w:lvlText w:val="(%1)"/>
      <w:numFmt w:val="decimal"/>
      <w:start w:val="1"/>
    </w:lvl>
  </w:abstractNum>
  <w:abstractNum w:abstractNumId="136">
    <w:nsid w:val="4C73A9C6"/>
    <w:multiLevelType w:val="hybridMultilevel"/>
    <w:lvl w:ilvl="0">
      <w:lvlJc w:val="left"/>
      <w:lvlText w:val="%1."/>
      <w:numFmt w:val="decimal"/>
      <w:start w:val="1"/>
    </w:lvl>
  </w:abstractNum>
  <w:abstractNum w:abstractNumId="137">
    <w:nsid w:val="1C7E3C01"/>
    <w:multiLevelType w:val="hybridMultilevel"/>
    <w:lvl w:ilvl="0">
      <w:lvlJc w:val="left"/>
      <w:lvlText w:val="%1"/>
      <w:numFmt w:val="lowerLetter"/>
      <w:start w:val="1"/>
    </w:lvl>
    <w:lvl w:ilvl="1">
      <w:lvlJc w:val="left"/>
      <w:lvlText w:val="(%2)"/>
      <w:numFmt w:val="decimal"/>
      <w:start w:val="1"/>
    </w:lvl>
  </w:abstractNum>
  <w:abstractNum w:abstractNumId="138">
    <w:nsid w:val="1C2201FF"/>
    <w:multiLevelType w:val="hybridMultilevel"/>
    <w:lvl w:ilvl="0">
      <w:lvlJc w:val="left"/>
      <w:lvlText w:val="(%1)"/>
      <w:numFmt w:val="lowerLetter"/>
      <w:start w:val="25"/>
    </w:lvl>
    <w:lvl w:ilvl="1">
      <w:lvlJc w:val="left"/>
      <w:lvlText w:val="%2"/>
      <w:numFmt w:val="decimal"/>
      <w:start w:val="1"/>
    </w:lvl>
  </w:abstractNum>
  <w:abstractNum w:abstractNumId="139">
    <w:nsid w:val="50ABCEC9"/>
    <w:multiLevelType w:val="hybridMultilevel"/>
    <w:lvl w:ilvl="0">
      <w:lvlJc w:val="left"/>
      <w:lvlText w:val="(%1)"/>
      <w:numFmt w:val="decimal"/>
      <w:start w:val="5"/>
    </w:lvl>
  </w:abstractNum>
  <w:abstractNum w:abstractNumId="140">
    <w:nsid w:val="7635AA2A"/>
    <w:multiLevelType w:val="hybridMultilevel"/>
    <w:lvl w:ilvl="0">
      <w:lvlJc w:val="left"/>
      <w:lvlText w:val="%1."/>
      <w:numFmt w:val="decimal"/>
      <w:start w:val="1"/>
    </w:lvl>
  </w:abstractNum>
  <w:abstractNum w:abstractNumId="141">
    <w:nsid w:val="5E74C4D9"/>
    <w:multiLevelType w:val="hybridMultilevel"/>
    <w:lvl w:ilvl="0">
      <w:lvlJc w:val="left"/>
      <w:lvlText w:val="%1."/>
      <w:numFmt w:val="lowerLetter"/>
      <w:start w:val="1"/>
    </w:lvl>
  </w:abstractNum>
  <w:abstractNum w:abstractNumId="142">
    <w:nsid w:val="3B3EBE15"/>
    <w:multiLevelType w:val="hybridMultilevel"/>
    <w:lvl w:ilvl="0">
      <w:lvlJc w:val="left"/>
      <w:lvlText w:val="(%1)"/>
      <w:numFmt w:val="lowerLetter"/>
      <w:start w:val="4"/>
    </w:lvl>
  </w:abstractNum>
  <w:abstractNum w:abstractNumId="143">
    <w:nsid w:val="3822CB01"/>
    <w:multiLevelType w:val="hybridMultilevel"/>
    <w:lvl w:ilvl="0">
      <w:lvlJc w:val="left"/>
      <w:lvlText w:val="%1."/>
      <w:numFmt w:val="lowerRoman"/>
      <w:start w:val="1"/>
    </w:lvl>
    <w:lvl w:ilvl="1">
      <w:lvlJc w:val="left"/>
      <w:lvlText w:val="(%2)"/>
      <w:numFmt w:val="lowerLetter"/>
      <w:start w:val="10"/>
    </w:lvl>
  </w:abstractNum>
  <w:abstractNum w:abstractNumId="144">
    <w:nsid w:val="6CE00443"/>
    <w:multiLevelType w:val="hybridMultilevel"/>
    <w:lvl w:ilvl="0">
      <w:lvlJc w:val="left"/>
      <w:lvlText w:val="%1."/>
      <w:numFmt w:val="lowerLetter"/>
      <w:start w:val="1"/>
    </w:lvl>
  </w:abstractNum>
  <w:abstractNum w:abstractNumId="145">
    <w:nsid w:val="79F0D62F"/>
    <w:multiLevelType w:val="hybridMultilevel"/>
    <w:lvl w:ilvl="0">
      <w:lvlJc w:val="left"/>
      <w:lvlText w:val="%1."/>
      <w:numFmt w:val="lowerLetter"/>
      <w:start w:val="1"/>
    </w:lvl>
    <w:lvl w:ilvl="1">
      <w:lvlJc w:val="left"/>
      <w:lvlText w:val="%2."/>
      <w:numFmt w:val="decimal"/>
    </w:lvl>
    <w:lvl w:ilvl="2">
      <w:lvlJc w:val="left"/>
      <w:lvlText w:val="(%3)"/>
      <w:numFmt w:val="lowerLetter"/>
      <w:start w:val="27"/>
    </w:lvl>
  </w:abstractNum>
  <w:abstractNum w:abstractNumId="146">
    <w:nsid w:val="7975E8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6"/>
    </w:lvl>
  </w:abstractNum>
  <w:abstractNum w:abstractNumId="147">
    <w:nsid w:val="73154115"/>
    <w:multiLevelType w:val="hybridMultilevel"/>
    <w:lvl w:ilvl="0">
      <w:lvlJc w:val="left"/>
      <w:lvlText w:val="(%1)"/>
      <w:numFmt w:val="lowerLetter"/>
      <w:start w:val="1"/>
    </w:lvl>
  </w:abstractNum>
  <w:abstractNum w:abstractNumId="148">
    <w:nsid w:val="622D8102"/>
    <w:multiLevelType w:val="hybridMultilevel"/>
    <w:lvl w:ilvl="0">
      <w:lvlJc w:val="left"/>
      <w:lvlText w:val="%1"/>
      <w:numFmt w:val="lowerLetter"/>
      <w:start w:val="1"/>
    </w:lvl>
    <w:lvl w:ilvl="1">
      <w:lvlJc w:val="left"/>
      <w:lvlText w:val="%2."/>
      <w:numFmt w:val="lowerLetter"/>
      <w:start w:val="1"/>
    </w:lvl>
  </w:abstractNum>
  <w:abstractNum w:abstractNumId="149">
    <w:nsid w:val="2AB26587"/>
    <w:multiLevelType w:val="hybridMultilevel"/>
    <w:lvl w:ilvl="0">
      <w:lvlJc w:val="left"/>
      <w:lvlText w:val="(%1)"/>
      <w:numFmt w:val="lowerLetter"/>
      <w:start w:val="4"/>
    </w:lvl>
    <w:lvl w:ilvl="1">
      <w:lvlJc w:val="left"/>
      <w:lvlText w:val="%2."/>
      <w:numFmt w:val="lowerLetter"/>
      <w:start w:val="3"/>
    </w:lvl>
  </w:abstractNum>
  <w:abstractNum w:abstractNumId="150">
    <w:nsid w:val="44B3FA6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51">
    <w:nsid w:val="1C0CA67C"/>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3"/>
    </w:lvl>
  </w:abstractNum>
  <w:abstractNum w:abstractNumId="152">
    <w:nsid w:val="3D206613"/>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6"/>
    </w:lvl>
  </w:abstractNum>
  <w:abstractNum w:abstractNumId="153">
    <w:nsid w:val="7993B662"/>
    <w:multiLevelType w:val="hybridMultilevel"/>
    <w:lvl w:ilvl="0">
      <w:lvlJc w:val="left"/>
      <w:lvlText w:val="%1."/>
      <w:numFmt w:val="lowerLetter"/>
      <w:start w:val="1"/>
    </w:lvl>
  </w:abstractNum>
  <w:abstractNum w:abstractNumId="154">
    <w:nsid w:val="3BAB699E"/>
    <w:multiLevelType w:val="hybridMultilevel"/>
    <w:lvl w:ilvl="0">
      <w:lvlJc w:val="left"/>
      <w:lvlText w:val="%1"/>
      <w:numFmt w:val="decimal"/>
      <w:start w:val="1"/>
    </w:lvl>
    <w:lvl w:ilvl="1">
      <w:lvlJc w:val="left"/>
      <w:lvlText w:val="%2."/>
      <w:numFmt w:val="lowerRoman"/>
      <w:start w:val="1"/>
    </w:lvl>
  </w:abstractNum>
  <w:abstractNum w:abstractNumId="155">
    <w:nsid w:val="71315369"/>
    <w:multiLevelType w:val="hybridMultilevel"/>
    <w:lvl w:ilvl="0">
      <w:lvlJc w:val="left"/>
      <w:lvlText w:val="(%1)"/>
      <w:numFmt w:val="decimal"/>
      <w:start w:val="4"/>
    </w:lvl>
    <w:lvl w:ilvl="1">
      <w:lvlJc w:val="left"/>
      <w:lvlText w:val="%2"/>
      <w:numFmt w:val="lowerRoman"/>
      <w:start w:val="1"/>
    </w:lvl>
  </w:abstractNum>
  <w:abstractNum w:abstractNumId="156">
    <w:nsid w:val="7BCFBA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7"/>
    </w:lvl>
  </w:abstractNum>
  <w:abstractNum w:abstractNumId="157">
    <w:nsid w:val="17859F7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1"/>
    </w:lvl>
  </w:abstractNum>
  <w:abstractNum w:abstractNumId="158">
    <w:nsid w:val="3AA10581"/>
    <w:multiLevelType w:val="hybridMultilevel"/>
    <w:lvl w:ilvl="0">
      <w:lvlJc w:val="left"/>
      <w:lvlText w:val="%1"/>
      <w:numFmt w:val="lowerLetter"/>
      <w:start w:val="1"/>
    </w:lvl>
    <w:lvl w:ilvl="1">
      <w:lvlJc w:val="left"/>
      <w:lvlText w:val="(%2)"/>
      <w:numFmt w:val="lowerLetter"/>
      <w:start w:val="34"/>
    </w:lvl>
  </w:abstractNum>
  <w:abstractNum w:abstractNumId="159">
    <w:nsid w:val="63DE60CD"/>
    <w:multiLevelType w:val="hybridMultilevel"/>
    <w:lvl w:ilvl="0">
      <w:lvlJc w:val="left"/>
      <w:lvlText w:val="(%1)"/>
      <w:numFmt w:val="lowerLetter"/>
      <w:start w:val="35"/>
    </w:lvl>
    <w:lvl w:ilvl="1">
      <w:lvlJc w:val="left"/>
      <w:lvlText w:val="(%2)"/>
      <w:numFmt w:val="lowerLetter"/>
      <w:start w:val="42"/>
    </w:lvl>
  </w:abstractNum>
  <w:abstractNum w:abstractNumId="160">
    <w:nsid w:val="621AF471"/>
    <w:multiLevelType w:val="hybridMultilevel"/>
    <w:lvl w:ilvl="0">
      <w:lvlJc w:val="left"/>
      <w:lvlText w:val="(%1)"/>
      <w:numFmt w:val="lowerLetter"/>
      <w:start w:val="2"/>
    </w:lvl>
  </w:abstractNum>
  <w:abstractNum w:abstractNumId="161">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162">
    <w:nsid w:val="20F88EA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163">
    <w:nsid w:val="617C843E"/>
    <w:multiLevelType w:val="hybridMultilevel"/>
    <w:lvl w:ilvl="0">
      <w:lvlJc w:val="left"/>
      <w:lvlText w:val="(%1)"/>
      <w:numFmt w:val="lowerLetter"/>
      <w:start w:val="24"/>
    </w:lvl>
    <w:lvl w:ilvl="1">
      <w:lvlJc w:val="left"/>
      <w:lvlText w:val="%2"/>
      <w:numFmt w:val="lowerRoman"/>
      <w:start w:val="1"/>
    </w:lvl>
    <w:lvl w:ilvl="2">
      <w:lvlJc w:val="left"/>
      <w:lvlText w:val="%3"/>
      <w:numFmt w:val="lowerRoman"/>
      <w:start w:val="1"/>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164">
    <w:nsid w:val="7B541FAB"/>
    <w:multiLevelType w:val="hybridMultilevel"/>
    <w:lvl w:ilvl="0">
      <w:lvlJc w:val="left"/>
      <w:lvlText w:val="(%1)"/>
      <w:numFmt w:val="lowerLetter"/>
      <w:start w:val="26"/>
    </w:lvl>
    <w:lvl w:ilvl="1">
      <w:lvlJc w:val="left"/>
      <w:lvlText w:val="%2"/>
      <w:numFmt w:val="lowerRoman"/>
      <w:start w:val="1"/>
    </w:lvl>
    <w:lvl w:ilvl="2">
      <w:lvlJc w:val="left"/>
      <w:lvlText w:val="%3"/>
      <w:numFmt w:val="lowerRoman"/>
      <w:start w:val="1"/>
    </w:lvl>
    <w:lvl w:ilvl="3">
      <w:lvlJc w:val="left"/>
      <w:lvlText w:val="(%4)"/>
      <w:numFmt w:val="decimal"/>
      <w:start w:val="3"/>
    </w:lvl>
    <w:lvl w:ilvl="4">
      <w:lvlJc w:val="left"/>
      <w:lvlText w:val="%5"/>
      <w:numFmt w:val="decimal"/>
      <w:start w:val="1"/>
    </w:lvl>
    <w:lvl w:ilvl="5">
      <w:lvlJc w:val="left"/>
      <w:lvlText w:val="%6"/>
      <w:numFmt w:val="decimal"/>
      <w:start w:val="1"/>
    </w:lvl>
  </w:abstractNum>
  <w:abstractNum w:abstractNumId="165">
    <w:nsid w:val="2A79EC49"/>
    <w:multiLevelType w:val="hybridMultilevel"/>
    <w:lvl w:ilvl="0">
      <w:lvlJc w:val="left"/>
      <w:lvlText w:val="(%1)"/>
      <w:numFmt w:val="lowerRoman"/>
      <w:start w:val="4"/>
    </w:lvl>
  </w:abstractNum>
  <w:abstractNum w:abstractNumId="166">
    <w:nsid w:val="338125CF"/>
    <w:multiLevelType w:val="hybridMultilevel"/>
    <w:lvl w:ilvl="0">
      <w:lvlJc w:val="left"/>
      <w:lvlText w:val="%1."/>
      <w:numFmt w:val="lowerLetter"/>
      <w:start w:val="6"/>
    </w:lvl>
  </w:abstractNum>
  <w:abstractNum w:abstractNumId="167">
    <w:nsid w:val="47C7C971"/>
    <w:multiLevelType w:val="hybridMultilevel"/>
    <w:lvl w:ilvl="0">
      <w:lvlJc w:val="left"/>
      <w:lvlText w:val="%1."/>
      <w:numFmt w:val="lowerRoman"/>
      <w:start w:val="1"/>
    </w:lvl>
    <w:lvl w:ilvl="1">
      <w:lvlJc w:val="left"/>
      <w:lvlText w:val="%2."/>
      <w:numFmt w:val="decimal"/>
      <w:start w:val="1"/>
    </w:lvl>
  </w:abstractNum>
  <w:abstractNum w:abstractNumId="168">
    <w:nsid w:val="46F8284B"/>
    <w:multiLevelType w:val="hybridMultilevel"/>
    <w:lvl w:ilvl="0">
      <w:lvlJc w:val="left"/>
      <w:lvlText w:val="(%1)"/>
      <w:numFmt w:val="lowerLetter"/>
      <w:start w:val="1"/>
    </w:lvl>
  </w:abstractNum>
  <w:abstractNum w:abstractNumId="169">
    <w:nsid w:val="4FA327CE"/>
    <w:multiLevelType w:val="hybridMultilevel"/>
    <w:lvl w:ilvl="0">
      <w:lvlJc w:val="left"/>
      <w:lvlText w:val="%1."/>
      <w:numFmt w:val="lowerRoman"/>
      <w:start w:val="1"/>
    </w:lvl>
  </w:abstractNum>
  <w:abstractNum w:abstractNumId="170">
    <w:nsid w:val="1873983A"/>
    <w:multiLevelType w:val="hybridMultilevel"/>
    <w:lvl w:ilvl="0">
      <w:lvlJc w:val="left"/>
      <w:lvlText w:val="(%1)"/>
      <w:numFmt w:val="decimal"/>
      <w:start w:val="1"/>
    </w:lvl>
  </w:abstractNum>
  <w:abstractNum w:abstractNumId="171">
    <w:nsid w:val="3D2DD275"/>
    <w:multiLevelType w:val="hybridMultilevel"/>
    <w:lvl w:ilvl="0">
      <w:lvlJc w:val="left"/>
      <w:lvlText w:val="(%1)"/>
      <w:numFmt w:val="lowerLetter"/>
      <w:start w:val="2"/>
    </w:lvl>
  </w:abstractNum>
  <w:abstractNum w:abstractNumId="172">
    <w:nsid w:val="2E17ECA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73">
    <w:nsid w:val="53B2564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74">
    <w:nsid w:val="75509D76"/>
    <w:multiLevelType w:val="hybridMultilevel"/>
    <w:lvl w:ilvl="0">
      <w:lvlJc w:val="left"/>
      <w:lvlText w:val="%1."/>
      <w:numFmt w:val="decimal"/>
      <w:start w:val="1"/>
    </w:lvl>
    <w:lvl w:ilvl="1">
      <w:lvlJc w:val="left"/>
      <w:lvlText w:val="%2."/>
      <w:numFmt w:val="lowerLetter"/>
      <w:start w:val="1"/>
    </w:lvl>
  </w:abstractNum>
  <w:abstractNum w:abstractNumId="175">
    <w:nsid w:val="1AF7F0EA"/>
    <w:multiLevelType w:val="hybridMultilevel"/>
    <w:lvl w:ilvl="0">
      <w:lvlJc w:val="left"/>
      <w:lvlText w:val="%1."/>
      <w:numFmt w:val="lowerRoman"/>
      <w:start w:val="1"/>
    </w:lvl>
  </w:abstractNum>
  <w:abstractNum w:abstractNumId="176">
    <w:nsid w:val="4DA32C7E"/>
    <w:multiLevelType w:val="hybridMultilevel"/>
    <w:lvl w:ilvl="0">
      <w:lvlJc w:val="left"/>
      <w:lvlText w:val="(%1)"/>
      <w:numFmt w:val="lowerLetter"/>
      <w:start w:val="2"/>
    </w:lvl>
  </w:abstractNum>
  <w:abstractNum w:abstractNumId="177">
    <w:nsid w:val="6EC68664"/>
    <w:multiLevelType w:val="hybridMultilevel"/>
    <w:lvl w:ilvl="0">
      <w:lvlJc w:val="left"/>
      <w:lvlText w:val="(%1)"/>
      <w:numFmt w:val="lowerRoman"/>
      <w:start w:val="1"/>
    </w:lvl>
  </w:abstractNum>
  <w:abstractNum w:abstractNumId="178">
    <w:nsid w:val="E0D31FF"/>
    <w:multiLevelType w:val="hybridMultilevel"/>
    <w:lvl w:ilvl="0">
      <w:lvlJc w:val="left"/>
      <w:lvlText w:val="%1."/>
      <w:numFmt w:val="lowerRoman"/>
      <w:start w:val="1"/>
    </w:lvl>
  </w:abstractNum>
  <w:abstractNum w:abstractNumId="179">
    <w:nsid w:val="2FD0AD81"/>
    <w:multiLevelType w:val="hybridMultilevel"/>
    <w:lvl w:ilvl="0">
      <w:lvlJc w:val="left"/>
      <w:lvlText w:val="(%1)"/>
      <w:numFmt w:val="lowerLetter"/>
      <w:start w:val="1"/>
    </w:lvl>
  </w:abstractNum>
  <w:abstractNum w:abstractNumId="180">
    <w:nsid w:val="1978EBE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81">
    <w:nsid w:val="52C12C61"/>
    <w:multiLevelType w:val="hybridMultilevel"/>
    <w:lvl w:ilvl="0">
      <w:lvlJc w:val="left"/>
      <w:lvlText w:val="%1."/>
      <w:numFmt w:val="lowerLetter"/>
      <w:start w:val="1"/>
    </w:lvl>
  </w:abstractNum>
  <w:abstractNum w:abstractNumId="182">
    <w:nsid w:val="4BDD53FD"/>
    <w:multiLevelType w:val="hybridMultilevel"/>
    <w:lvl w:ilvl="0">
      <w:lvlJc w:val="left"/>
      <w:lvlText w:val="(%1)"/>
      <w:numFmt w:val="lowerLetter"/>
      <w:start w:val="1"/>
    </w:lvl>
    <w:lvl w:ilvl="1">
      <w:lvlJc w:val="left"/>
      <w:lvlText w:val="(%2)"/>
      <w:numFmt w:val="lowerRoman"/>
      <w:start w:val="1"/>
    </w:lvl>
  </w:abstractNum>
  <w:abstractNum w:abstractNumId="183">
    <w:nsid w:val="569951FE"/>
    <w:multiLevelType w:val="hybridMultilevel"/>
    <w:lvl w:ilvl="0">
      <w:lvlJc w:val="left"/>
      <w:lvlText w:val="%1"/>
      <w:numFmt w:val="lowerLetter"/>
      <w:start w:val="1"/>
    </w:lvl>
    <w:lvl w:ilvl="1">
      <w:lvlJc w:val="left"/>
      <w:lvlText w:val="(%2)"/>
      <w:numFmt w:val="lowerLetter"/>
      <w:start w:val="1"/>
    </w:lvl>
  </w:abstractNum>
  <w:abstractNum w:abstractNumId="184">
    <w:nsid w:val="4C54E2C3"/>
    <w:multiLevelType w:val="hybridMultilevel"/>
    <w:lvl w:ilvl="0">
      <w:lvlJc w:val="left"/>
      <w:lvlText w:val="%1."/>
      <w:numFmt w:val="lowerLetter"/>
      <w:start w:val="1"/>
    </w:lvl>
  </w:abstractNum>
  <w:abstractNum w:abstractNumId="185">
    <w:nsid w:val="788BD9B"/>
    <w:multiLevelType w:val="hybridMultilevel"/>
    <w:lvl w:ilvl="0">
      <w:lvlJc w:val="left"/>
      <w:lvlText w:val="(%1)"/>
      <w:numFmt w:val="lowerLetter"/>
      <w:start w:val="1"/>
    </w:lvl>
    <w:lvl w:ilvl="1">
      <w:lvlJc w:val="left"/>
      <w:lvlText w:val="(%2)"/>
      <w:numFmt w:val="lowerLetter"/>
      <w:start w:val="9"/>
    </w:lvl>
  </w:abstractNum>
  <w:abstractNum w:abstractNumId="186">
    <w:nsid w:val="47CAA56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187">
    <w:nsid w:val="48249DB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188">
    <w:nsid w:val="1F0E5D0D"/>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2"/>
    </w:lvl>
    <w:lvl w:ilvl="3">
      <w:lvlJc w:val="left"/>
      <w:lvlText w:val="%4."/>
      <w:numFmt w:val="lowerLetter"/>
      <w:start w:val="1"/>
    </w:lvl>
    <w:lvl w:ilvl="4">
      <w:lvlJc w:val="left"/>
      <w:lvlText w:val="(%5)"/>
      <w:numFmt w:val="lowerRoman"/>
      <w:start w:val="1"/>
    </w:lvl>
  </w:abstractNum>
  <w:abstractNum w:abstractNumId="189">
    <w:nsid w:val="26BAAE9"/>
    <w:multiLevelType w:val="hybridMultilevel"/>
    <w:lvl w:ilvl="0">
      <w:lvlJc w:val="left"/>
      <w:lvlText w:val="%1."/>
      <w:numFmt w:val="lowerRoman"/>
      <w:start w:val="1"/>
    </w:lvl>
    <w:lvl w:ilvl="1">
      <w:lvlJc w:val="left"/>
      <w:lvlText w:val="%2."/>
      <w:numFmt w:val="lowerRoman"/>
      <w:start w:val="3"/>
    </w:lvl>
  </w:abstractNum>
  <w:abstractNum w:abstractNumId="190">
    <w:nsid w:val="2C02FE8C"/>
    <w:multiLevelType w:val="hybridMultilevel"/>
    <w:lvl w:ilvl="0">
      <w:lvlJc w:val="left"/>
      <w:lvlText w:val="%1."/>
      <w:numFmt w:val="lowerLetter"/>
      <w:start w:val="1"/>
    </w:lvl>
    <w:lvl w:ilvl="1">
      <w:lvlJc w:val="left"/>
      <w:lvlText w:val="(%2)"/>
      <w:numFmt w:val="lowerRoman"/>
      <w:start w:val="1"/>
    </w:lvl>
  </w:abstractNum>
  <w:abstractNum w:abstractNumId="191">
    <w:nsid w:val="129517E"/>
    <w:multiLevelType w:val="hybridMultilevel"/>
    <w:lvl w:ilvl="0">
      <w:lvlJc w:val="left"/>
      <w:lvlText w:val="%1."/>
      <w:numFmt w:val="lowerRoman"/>
      <w:start w:val="1"/>
    </w:lvl>
    <w:lvl w:ilvl="1">
      <w:lvlJc w:val="left"/>
      <w:lvlText w:val="%2."/>
      <w:numFmt w:val="lowerRoman"/>
      <w:start w:val="2"/>
    </w:lvl>
  </w:abstractNum>
  <w:abstractNum w:abstractNumId="192">
    <w:nsid w:val="763B8C4E"/>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93">
    <w:nsid w:val="4CFB8D32"/>
    <w:multiLevelType w:val="hybridMultilevel"/>
    <w:lvl w:ilvl="0">
      <w:lvlJc w:val="left"/>
      <w:lvlText w:val="%1."/>
      <w:numFmt w:val="lowerLetter"/>
      <w:start w:val="22"/>
    </w:lvl>
    <w:lvl w:ilvl="1">
      <w:lvlJc w:val="left"/>
      <w:lvlText w:val="%2"/>
      <w:numFmt w:val="lowerRoman"/>
      <w:start w:val="1"/>
    </w:lvl>
    <w:lvl w:ilvl="2">
      <w:lvlJc w:val="left"/>
      <w:lvlText w:val="%3."/>
      <w:numFmt w:val="lowerLetter"/>
      <w:start w:val="1"/>
    </w:lvl>
  </w:abstractNum>
  <w:abstractNum w:abstractNumId="194">
    <w:nsid w:val="62A5D5BD"/>
    <w:multiLevelType w:val="hybridMultilevel"/>
    <w:lvl w:ilvl="0">
      <w:lvlJc w:val="left"/>
      <w:lvlText w:val="(%1)"/>
      <w:numFmt w:val="lowerRoman"/>
      <w:start w:val="1"/>
    </w:lvl>
  </w:abstractNum>
  <w:abstractNum w:abstractNumId="195">
    <w:nsid w:val="718FABF9"/>
    <w:multiLevelType w:val="hybridMultilevel"/>
    <w:lvl w:ilvl="0">
      <w:lvlJc w:val="left"/>
      <w:lvlText w:val="%1"/>
      <w:numFmt w:val="lowerRoman"/>
      <w:start w:val="1"/>
    </w:lvl>
    <w:lvl w:ilvl="1">
      <w:lvlJc w:val="left"/>
      <w:lvlText w:val="%2."/>
      <w:numFmt w:val="lowerLetter"/>
      <w:start w:val="1"/>
    </w:lvl>
  </w:abstractNum>
  <w:abstractNum w:abstractNumId="196">
    <w:nsid w:val="7775797C"/>
    <w:multiLevelType w:val="hybridMultilevel"/>
    <w:lvl w:ilvl="0">
      <w:lvlJc w:val="left"/>
      <w:lvlText w:val="(%1)"/>
      <w:numFmt w:val="lowerRoman"/>
      <w:start w:val="3"/>
    </w:lvl>
    <w:lvl w:ilvl="1">
      <w:lvlJc w:val="left"/>
      <w:lvlText w:val="%2"/>
      <w:numFmt w:val="lowerLetter"/>
      <w:start w:val="1"/>
    </w:lvl>
  </w:abstractNum>
  <w:abstractNum w:abstractNumId="197">
    <w:nsid w:val="1626FB8C"/>
    <w:multiLevelType w:val="hybridMultilevel"/>
    <w:lvl w:ilvl="0">
      <w:lvlJc w:val="left"/>
      <w:lvlText w:val="%1."/>
      <w:numFmt w:val="lowerLetter"/>
      <w:start w:val="1"/>
    </w:lvl>
  </w:abstractNum>
  <w:abstractNum w:abstractNumId="198">
    <w:nsid w:val="3957756A"/>
    <w:multiLevelType w:val="hybridMultilevel"/>
    <w:lvl w:ilvl="0">
      <w:lvlJc w:val="left"/>
      <w:lvlText w:val="%1."/>
      <w:numFmt w:val="lowerLetter"/>
      <w:start w:val="1"/>
    </w:lvl>
  </w:abstractNum>
  <w:abstractNum w:abstractNumId="199">
    <w:nsid w:val="3E6DA1C7"/>
    <w:multiLevelType w:val="hybridMultilevel"/>
    <w:lvl w:ilvl="0">
      <w:lvlJc w:val="left"/>
      <w:lvlText w:val="(%1)"/>
      <w:numFmt w:val="lowerLetter"/>
      <w:start w:val="1"/>
    </w:lvl>
    <w:lvl w:ilvl="1">
      <w:lvlJc w:val="left"/>
      <w:lvlText w:val="(%2)"/>
      <w:numFmt w:val="lowerRoman"/>
      <w:start w:val="1"/>
    </w:lvl>
  </w:abstractNum>
  <w:abstractNum w:abstractNumId="200">
    <w:nsid w:val="65CA235B"/>
    <w:multiLevelType w:val="hybridMultilevel"/>
    <w:lvl w:ilvl="0">
      <w:lvlJc w:val="left"/>
      <w:lvlText w:val="(%1)"/>
      <w:numFmt w:val="lowerRoman"/>
      <w:start w:val="1"/>
    </w:lvl>
  </w:abstractNum>
  <w:abstractNum w:abstractNumId="201">
    <w:nsid w:val="51CB0DA4"/>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lvl w:ilvl="3">
      <w:lvlJc w:val="left"/>
      <w:lvlText w:val="%4"/>
      <w:numFmt w:val="decimal"/>
      <w:start w:val="1"/>
    </w:lvl>
  </w:abstractNum>
  <w:abstractNum w:abstractNumId="202">
    <w:nsid w:val="7B9B743C"/>
    <w:multiLevelType w:val="hybridMultilevel"/>
    <w:lvl w:ilvl="0">
      <w:lvlJc w:val="left"/>
      <w:lvlText w:val="(%1)"/>
      <w:numFmt w:val="lowerRoman"/>
      <w:start w:val="10"/>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03">
    <w:nsid w:val="13E21002"/>
    <w:multiLevelType w:val="hybridMultilevel"/>
    <w:lvl w:ilvl="0">
      <w:lvlJc w:val="left"/>
      <w:lvlText w:val="(%1)"/>
      <w:numFmt w:val="lowerRoman"/>
      <w:start w:val="10"/>
    </w:lvl>
    <w:lvl w:ilvl="1">
      <w:lvlJc w:val="left"/>
      <w:lvlText w:val="%2"/>
      <w:numFmt w:val="upperLetter"/>
      <w:start w:val="1"/>
    </w:lvl>
    <w:lvl w:ilvl="2">
      <w:lvlJc w:val="left"/>
      <w:lvlText w:val="(%3)"/>
      <w:numFmt w:val="upperLetter"/>
      <w:start w:val="2"/>
    </w:lvl>
    <w:lvl w:ilvl="3">
      <w:lvlJc w:val="left"/>
      <w:lvlText w:val="%4"/>
      <w:numFmt w:val="decimal"/>
      <w:start w:val="1"/>
    </w:lvl>
  </w:abstractNum>
  <w:abstractNum w:abstractNumId="204">
    <w:nsid w:val="257D63F4"/>
    <w:multiLevelType w:val="hybridMultilevel"/>
    <w:lvl w:ilvl="0">
      <w:lvlJc w:val="left"/>
      <w:lvlText w:val="(%1)"/>
      <w:numFmt w:val="decimal"/>
      <w:start w:val="12"/>
    </w:lvl>
  </w:abstractNum>
  <w:abstractNum w:abstractNumId="205">
    <w:nsid w:val="70EC11B2"/>
    <w:multiLevelType w:val="hybridMultilevel"/>
    <w:lvl w:ilvl="0">
      <w:lvlJc w:val="left"/>
      <w:lvlText w:val="%1."/>
      <w:numFmt w:val="upperLetter"/>
      <w:start w:val="1"/>
    </w:lvl>
  </w:abstractNum>
  <w:abstractNum w:abstractNumId="206">
    <w:nsid w:val="2EDA00ED"/>
    <w:multiLevelType w:val="hybridMultilevel"/>
    <w:lvl w:ilvl="0">
      <w:lvlJc w:val="left"/>
      <w:lvlText w:val="%1."/>
      <w:numFmt w:val="decimal"/>
      <w:start w:val="2"/>
    </w:lvl>
  </w:abstractNum>
  <w:abstractNum w:abstractNumId="207">
    <w:nsid w:val="73209072"/>
    <w:multiLevelType w:val="hybridMultilevel"/>
    <w:lvl w:ilvl="0">
      <w:lvlJc w:val="left"/>
      <w:lvlText w:val="%1."/>
      <w:numFmt w:val="decimal"/>
      <w:start w:val="3"/>
    </w:lvl>
  </w:abstractNum>
  <w:abstractNum w:abstractNumId="208">
    <w:nsid w:val="5FB2981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09">
    <w:nsid w:val="3CE732E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210">
    <w:nsid w:val="22F13DF3"/>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11">
    <w:nsid w:val="792B8401"/>
    <w:multiLevelType w:val="hybridMultilevel"/>
    <w:lvl w:ilvl="0">
      <w:lvlJc w:val="left"/>
      <w:lvlText w:val="%1."/>
      <w:numFmt w:val="decimal"/>
      <w:start w:val="1"/>
    </w:lvl>
    <w:lvl w:ilvl="1">
      <w:lvlJc w:val="left"/>
      <w:lvlText w:val="%2."/>
      <w:numFmt w:val="lowerLetter"/>
      <w:start w:val="1"/>
    </w:lvl>
  </w:abstractNum>
  <w:abstractNum w:abstractNumId="212">
    <w:nsid w:val="FA85F4D"/>
    <w:multiLevelType w:val="hybridMultilevel"/>
    <w:lvl w:ilvl="0">
      <w:lvlJc w:val="left"/>
      <w:lvlText w:val="%1."/>
      <w:numFmt w:val="lowerLetter"/>
      <w:start w:val="2"/>
    </w:lvl>
    <w:lvl w:ilvl="1">
      <w:lvlJc w:val="left"/>
      <w:lvlText w:val="(%2)"/>
      <w:numFmt w:val="lowerRoman"/>
      <w:start w:val="1"/>
    </w:lvl>
  </w:abstractNum>
  <w:abstractNum w:abstractNumId="213">
    <w:nsid w:val="6ECE91F0"/>
    <w:multiLevelType w:val="hybridMultilevel"/>
    <w:lvl w:ilvl="0">
      <w:lvlJc w:val="left"/>
      <w:lvlText w:val="%1."/>
      <w:numFmt w:val="lowerRoman"/>
      <w:start w:val="1"/>
    </w:lvl>
    <w:lvl w:ilvl="1">
      <w:lvlJc w:val="left"/>
      <w:lvlText w:val="%2."/>
      <w:numFmt w:val="lowerRoman"/>
      <w:start w:val="3"/>
    </w:lvl>
  </w:abstractNum>
  <w:abstractNum w:abstractNumId="214">
    <w:nsid w:val="4FC4D600"/>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215">
    <w:nsid w:val="5BFD4210"/>
    <w:multiLevelType w:val="hybridMultilevel"/>
    <w:lvl w:ilvl="0">
      <w:lvlJc w:val="left"/>
      <w:lvlText w:val="%1."/>
      <w:numFmt w:val="lowerRoman"/>
      <w:start w:val="4"/>
    </w:lvl>
    <w:lvl w:ilvl="1">
      <w:lvlJc w:val="left"/>
      <w:lvlText w:val="%2"/>
      <w:numFmt w:val="lowerRoman"/>
      <w:start w:val="1"/>
    </w:lvl>
    <w:lvl w:ilvl="2">
      <w:lvlJc w:val="left"/>
      <w:lvlText w:val="%3."/>
      <w:numFmt w:val="decimal"/>
      <w:start w:val="1"/>
    </w:lvl>
  </w:abstractNum>
  <w:abstractNum w:abstractNumId="216">
    <w:nsid w:val="76574F8B"/>
    <w:multiLevelType w:val="hybridMultilevel"/>
    <w:lvl w:ilvl="0">
      <w:lvlJc w:val="left"/>
      <w:lvlText w:val="%1."/>
      <w:numFmt w:val="decimal"/>
      <w:start w:val="1"/>
    </w:lvl>
  </w:abstractNum>
  <w:abstractNum w:abstractNumId="217">
    <w:nsid w:val="178F7B67"/>
    <w:multiLevelType w:val="hybridMultilevel"/>
    <w:lvl w:ilvl="0">
      <w:lvlJc w:val="left"/>
      <w:lvlText w:val="(%1)"/>
      <w:numFmt w:val="lowerLetter"/>
      <w:start w:val="1"/>
    </w:lvl>
  </w:abstractNum>
  <w:abstractNum w:abstractNumId="218">
    <w:nsid w:val="2421DFCF"/>
    <w:multiLevelType w:val="hybridMultilevel"/>
    <w:lvl w:ilvl="0">
      <w:lvlJc w:val="left"/>
      <w:lvlText w:val="(%1)"/>
      <w:numFmt w:val="lowerLetter"/>
      <w:start w:val="1"/>
    </w:lvl>
  </w:abstractNum>
  <w:abstractNum w:abstractNumId="219">
    <w:nsid w:val="1565AC99"/>
    <w:multiLevelType w:val="hybridMultilevel"/>
    <w:lvl w:ilvl="0">
      <w:lvlJc w:val="left"/>
      <w:lvlText w:val="(%1)"/>
      <w:numFmt w:val="lowerLetter"/>
      <w:start w:val="1"/>
    </w:lvl>
  </w:abstractNum>
  <w:abstractNum w:abstractNumId="220">
    <w:nsid w:val="19FB2650"/>
    <w:multiLevelType w:val="hybridMultilevel"/>
    <w:lvl w:ilvl="0">
      <w:lvlJc w:val="left"/>
      <w:lvlText w:val="(%1)"/>
      <w:numFmt w:val="lowerRoman"/>
      <w:start w:val="1"/>
    </w:lvl>
  </w:abstractNum>
  <w:abstractNum w:abstractNumId="221">
    <w:nsid w:val="5024DE5B"/>
    <w:multiLevelType w:val="hybridMultilevel"/>
    <w:lvl w:ilvl="0">
      <w:lvlJc w:val="left"/>
      <w:lvlText w:val="%1."/>
      <w:numFmt w:val="lowerRoman"/>
      <w:start w:val="1"/>
    </w:lvl>
  </w:abstractNum>
  <w:abstractNum w:abstractNumId="222">
    <w:nsid w:val="168EFE17"/>
    <w:multiLevelType w:val="hybridMultilevel"/>
    <w:lvl w:ilvl="0">
      <w:lvlJc w:val="left"/>
      <w:lvlText w:val="(%1)"/>
      <w:numFmt w:val="lowerLetter"/>
      <w:start w:val="1"/>
    </w:lvl>
  </w:abstractNum>
  <w:abstractNum w:abstractNumId="223">
    <w:nsid w:val="1036B29F"/>
    <w:multiLevelType w:val="hybridMultilevel"/>
    <w:lvl w:ilvl="0">
      <w:lvlJc w:val="left"/>
      <w:lvlText w:val="(%1)"/>
      <w:numFmt w:val="lowerLetter"/>
      <w:start w:val="1"/>
    </w:lvl>
  </w:abstractNum>
  <w:abstractNum w:abstractNumId="224">
    <w:nsid w:val="1D206B8E"/>
    <w:multiLevelType w:val="hybridMultilevel"/>
    <w:lvl w:ilvl="0">
      <w:lvlJc w:val="left"/>
      <w:lvlText w:val="%1"/>
      <w:numFmt w:val="lowerRoman"/>
      <w:start w:val="1"/>
    </w:lvl>
    <w:lvl w:ilvl="1">
      <w:lvlJc w:val="left"/>
      <w:lvlText w:val="%2."/>
      <w:numFmt w:val="lowerLetter"/>
      <w:start w:val="1"/>
    </w:lvl>
  </w:abstractNum>
  <w:abstractNum w:abstractNumId="225">
    <w:nsid w:val="7934D3D4"/>
    <w:multiLevelType w:val="hybridMultilevel"/>
    <w:lvl w:ilvl="0">
      <w:lvlJc w:val="left"/>
      <w:lvlText w:val="(%1)"/>
      <w:numFmt w:val="lowerRoman"/>
      <w:start w:val="1"/>
    </w:lvl>
    <w:lvl w:ilvl="1">
      <w:lvlJc w:val="left"/>
      <w:lvlText w:val="%2"/>
      <w:numFmt w:val="lowerLetter"/>
      <w:start w:val="1"/>
    </w:lvl>
  </w:abstractNum>
  <w:abstractNum w:abstractNumId="226">
    <w:nsid w:val="1C65E98"/>
    <w:multiLevelType w:val="hybridMultilevel"/>
    <w:lvl w:ilvl="0">
      <w:lvlJc w:val="left"/>
      <w:lvlText w:val="%1."/>
      <w:numFmt w:val="lowerLetter"/>
      <w:start w:val="3"/>
    </w:lvl>
  </w:abstractNum>
  <w:abstractNum w:abstractNumId="227">
    <w:nsid w:val="1495E50A"/>
    <w:multiLevelType w:val="hybridMultilevel"/>
    <w:lvl w:ilvl="0">
      <w:lvlJc w:val="left"/>
      <w:lvlText w:val="%1"/>
      <w:numFmt w:val="lowerLetter"/>
      <w:start w:val="1"/>
    </w:lvl>
    <w:lvl w:ilvl="1">
      <w:lvlJc w:val="left"/>
      <w:lvlText w:val="%2."/>
      <w:numFmt w:val="lowerLetter"/>
      <w:start w:val="1"/>
    </w:lvl>
  </w:abstractNum>
  <w:abstractNum w:abstractNumId="228">
    <w:nsid w:val="F5BCF61"/>
    <w:multiLevelType w:val="hybridMultilevel"/>
    <w:lvl w:ilvl="0">
      <w:lvlJc w:val="left"/>
      <w:lvlText w:val="(%1)"/>
      <w:numFmt w:val="lowerLetter"/>
      <w:start w:val="1"/>
    </w:lvl>
    <w:lvl w:ilvl="1">
      <w:lvlJc w:val="left"/>
      <w:lvlText w:val="%2"/>
      <w:numFmt w:val="lowerLetter"/>
      <w:start w:val="1"/>
    </w:lvl>
  </w:abstractNum>
  <w:abstractNum w:abstractNumId="229">
    <w:nsid w:val="3B1DD403"/>
    <w:multiLevelType w:val="hybridMultilevel"/>
    <w:lvl w:ilvl="0">
      <w:lvlJc w:val="left"/>
      <w:lvlText w:val="(%1)"/>
      <w:numFmt w:val="lowerLetter"/>
      <w:start w:val="1"/>
    </w:lvl>
  </w:abstractNum>
  <w:abstractNum w:abstractNumId="230">
    <w:nsid w:val="530386D1"/>
    <w:multiLevelType w:val="hybridMultilevel"/>
    <w:lvl w:ilvl="0">
      <w:lvlJc w:val="left"/>
      <w:lvlText w:val="%1"/>
      <w:numFmt w:val="lowerLetter"/>
      <w:start w:val="1"/>
    </w:lvl>
    <w:lvl w:ilvl="1">
      <w:lvlJc w:val="left"/>
      <w:lvlText w:val="%2."/>
      <w:numFmt w:val="lowerRoman"/>
      <w:start w:val="1"/>
    </w:lvl>
  </w:abstractNum>
  <w:abstractNum w:abstractNumId="231">
    <w:nsid w:val="7525F2BC"/>
    <w:multiLevelType w:val="hybridMultilevel"/>
    <w:lvl w:ilvl="0">
      <w:lvlJc w:val="left"/>
      <w:lvlText w:val="(%1)"/>
      <w:numFmt w:val="lowerLetter"/>
      <w:start w:val="25"/>
    </w:lvl>
    <w:lvl w:ilvl="1">
      <w:lvlJc w:val="left"/>
      <w:lvlText w:val="%2"/>
      <w:numFmt w:val="lowerRoman"/>
      <w:start w:val="1"/>
    </w:lvl>
  </w:abstractNum>
  <w:abstractNum w:abstractNumId="232">
    <w:nsid w:val="CE8E1A7"/>
    <w:multiLevelType w:val="hybridMultilevel"/>
    <w:lvl w:ilvl="0">
      <w:lvlJc w:val="left"/>
      <w:lvlText w:val="%1."/>
      <w:numFmt w:val="lowerRoman"/>
      <w:start w:val="1"/>
    </w:lvl>
  </w:abstractNum>
  <w:abstractNum w:abstractNumId="233">
    <w:nsid w:val="4E9EFB0D"/>
    <w:multiLevelType w:val="hybridMultilevel"/>
    <w:lvl w:ilvl="0">
      <w:lvlJc w:val="left"/>
      <w:lvlText w:val="(%1)"/>
      <w:numFmt w:val="lowerRoman"/>
      <w:start w:val="7"/>
    </w:lvl>
    <w:lvl w:ilvl="1">
      <w:lvlJc w:val="left"/>
      <w:lvlText w:val="%2."/>
      <w:numFmt w:val="lowerRoman"/>
      <w:start w:val="1"/>
    </w:lvl>
  </w:abstractNum>
  <w:abstractNum w:abstractNumId="234">
    <w:nsid w:val="90802BE"/>
    <w:multiLevelType w:val="hybridMultilevel"/>
    <w:lvl w:ilvl="0">
      <w:lvlJc w:val="left"/>
      <w:lvlText w:val="(%1)"/>
      <w:numFmt w:val="lowerRoman"/>
      <w:start w:val="4"/>
    </w:lvl>
    <w:lvl w:ilvl="1">
      <w:lvlJc w:val="left"/>
      <w:lvlText w:val="%2."/>
      <w:numFmt w:val="lowerRoman"/>
      <w:start w:val="2"/>
    </w:lvl>
  </w:abstractNum>
  <w:abstractNum w:abstractNumId="235">
    <w:nsid w:val="3266459B"/>
    <w:multiLevelType w:val="hybridMultilevel"/>
    <w:lvl w:ilvl="0">
      <w:lvlJc w:val="left"/>
      <w:lvlText w:val="%1."/>
      <w:numFmt w:val="lowerRoman"/>
      <w:start w:val="1"/>
    </w:lvl>
  </w:abstractNum>
  <w:abstractNum w:abstractNumId="236">
    <w:nsid w:val="3F8B0CBF"/>
    <w:multiLevelType w:val="hybridMultilevel"/>
    <w:lvl w:ilvl="0">
      <w:lvlJc w:val="left"/>
      <w:lvlText w:val="(%1)"/>
      <w:numFmt w:val="lowerLetter"/>
      <w:start w:val="1"/>
    </w:lvl>
  </w:abstractNum>
  <w:abstractNum w:abstractNumId="237">
    <w:nsid w:val="37E203AB"/>
    <w:multiLevelType w:val="hybridMultilevel"/>
    <w:lvl w:ilvl="0">
      <w:lvlJc w:val="left"/>
      <w:lvlText w:val="%1"/>
      <w:numFmt w:val="upperLetter"/>
      <w:start w:val="1"/>
    </w:lvl>
    <w:lvl w:ilvl="1">
      <w:lvlJc w:val="left"/>
      <w:lvlText w:val="%2."/>
      <w:numFmt w:val="lowerLetter"/>
      <w:start w:val="1"/>
    </w:lvl>
  </w:abstractNum>
  <w:abstractNum w:abstractNumId="238">
    <w:nsid w:val="2586D60E"/>
    <w:multiLevelType w:val="hybridMultilevel"/>
    <w:lvl w:ilvl="0">
      <w:lvlJc w:val="left"/>
      <w:lvlText w:val="(%1)"/>
      <w:numFmt w:val="upperLetter"/>
      <w:start w:val="2"/>
    </w:lvl>
    <w:lvl w:ilvl="1">
      <w:lvlJc w:val="left"/>
      <w:lvlText w:val="%2."/>
      <w:numFmt w:val="lowerLetter"/>
      <w:start w:val="3"/>
    </w:lvl>
  </w:abstractNum>
  <w:abstractNum w:abstractNumId="239">
    <w:nsid w:val="1F3DA4D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lvl w:ilvl="3">
      <w:lvlJc w:val="left"/>
      <w:lvlText w:val="(%4)"/>
      <w:numFmt w:val="lowerRoman"/>
      <w:start w:val="1"/>
    </w:lvl>
    <w:lvl w:ilvl="4">
      <w:lvlJc w:val="left"/>
      <w:lvlText w:val="(%5)"/>
      <w:numFmt w:val="lowerRoman"/>
      <w:start w:val="5"/>
    </w:lvl>
    <w:lvl w:ilvl="5">
      <w:lvlJc w:val="left"/>
      <w:lvlText w:val="(%6)"/>
      <w:numFmt w:val="lowerRoman"/>
      <w:start w:val="1"/>
    </w:lvl>
  </w:abstractNum>
  <w:abstractNum w:abstractNumId="240">
    <w:nsid w:val="74C93698"/>
    <w:multiLevelType w:val="hybridMultilevel"/>
    <w:lvl w:ilvl="0">
      <w:lvlJc w:val="left"/>
      <w:lvlText w:val="%1."/>
      <w:numFmt w:val="lowerLetter"/>
      <w:start w:val="1"/>
    </w:lvl>
  </w:abstractNum>
  <w:abstractNum w:abstractNumId="241">
    <w:nsid w:val="4878140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242">
    <w:nsid w:val="186928D6"/>
    <w:multiLevelType w:val="hybridMultilevel"/>
    <w:lvl w:ilvl="0">
      <w:lvlJc w:val="left"/>
      <w:lvlText w:val="(%1)"/>
      <w:numFmt w:val="lowerRoman"/>
      <w:start w:val="1"/>
    </w:lvl>
    <w:lvl w:ilvl="1">
      <w:lvlJc w:val="left"/>
      <w:lvlText w:val="(%2)"/>
      <w:numFmt w:val="lowerRoman"/>
    </w:lvl>
    <w:lvl w:ilvl="2">
      <w:lvlJc w:val="left"/>
      <w:lvlText w:val="(%3)"/>
      <w:numFmt w:val="lowerLetter"/>
      <w:start w:val="9"/>
    </w:lvl>
    <w:lvl w:ilvl="3">
      <w:lvlJc w:val="left"/>
      <w:lvlText w:val="%4"/>
      <w:numFmt w:val="lowerLetter"/>
      <w:start w:val="1"/>
    </w:lvl>
    <w:lvl w:ilvl="4">
      <w:lvlJc w:val="left"/>
      <w:lvlText w:val="(%5)"/>
      <w:numFmt w:val="lowerRoman"/>
      <w:start w:val="2"/>
    </w:lvl>
  </w:abstractNum>
  <w:abstractNum w:abstractNumId="243">
    <w:nsid w:val="47195E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244">
    <w:nsid w:val="3746A5F2"/>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45">
    <w:nsid w:val="682DFED6"/>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246">
    <w:nsid w:val="606ED7F6"/>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6"/>
    </w:lvl>
  </w:abstractNum>
  <w:abstractNum w:abstractNumId="247">
    <w:nsid w:val="2D9DF57D"/>
    <w:multiLevelType w:val="hybridMultilevel"/>
    <w:lvl w:ilvl="0">
      <w:lvlJc w:val="left"/>
      <w:lvlText w:val="%1."/>
      <w:numFmt w:val="lowerRoman"/>
      <w:start w:val="1"/>
    </w:lvl>
  </w:abstractNum>
  <w:abstractNum w:abstractNumId="248">
    <w:nsid w:val="7FBD7A3E"/>
    <w:multiLevelType w:val="hybridMultilevel"/>
    <w:lvl w:ilvl="0">
      <w:lvlJc w:val="left"/>
      <w:lvlText w:val="%1"/>
      <w:numFmt w:val="decimal"/>
      <w:start w:val="1"/>
    </w:lvl>
    <w:lvl w:ilvl="1">
      <w:lvlJc w:val="left"/>
      <w:lvlText w:val="%2."/>
      <w:numFmt w:val="lowerLetter"/>
      <w:start w:val="1"/>
    </w:lvl>
  </w:abstractNum>
  <w:abstractNum w:abstractNumId="249">
    <w:nsid w:val="490B7C5"/>
    <w:multiLevelType w:val="hybridMultilevel"/>
    <w:lvl w:ilvl="0">
      <w:lvlJc w:val="left"/>
      <w:lvlText w:val="(%1)"/>
      <w:numFmt w:val="decimal"/>
      <w:start w:val="5"/>
    </w:lvl>
    <w:lvl w:ilvl="1">
      <w:lvlJc w:val="left"/>
      <w:lvlText w:val="%2."/>
      <w:numFmt w:val="lowerLetter"/>
      <w:start w:val="3"/>
    </w:lvl>
  </w:abstractNum>
  <w:abstractNum w:abstractNumId="250">
    <w:nsid w:val="4303A216"/>
    <w:multiLevelType w:val="hybridMultilevel"/>
    <w:lvl w:ilvl="0">
      <w:lvlJc w:val="left"/>
      <w:lvlText w:val="(%1)"/>
      <w:numFmt w:val="lowerLetter"/>
      <w:start w:val="1"/>
    </w:lvl>
  </w:abstractNum>
  <w:abstractNum w:abstractNumId="251">
    <w:nsid w:val="19B8A08E"/>
    <w:multiLevelType w:val="hybridMultilevel"/>
    <w:lvl w:ilvl="0">
      <w:lvlJc w:val="left"/>
      <w:lvlText w:val="(%1)"/>
      <w:numFmt w:val="lowerLetter"/>
      <w:start w:val="1"/>
    </w:lvl>
  </w:abstractNum>
  <w:abstractNum w:abstractNumId="252">
    <w:nsid w:val="54B59621"/>
    <w:multiLevelType w:val="hybridMultilevel"/>
    <w:lvl w:ilvl="0">
      <w:lvlJc w:val="left"/>
      <w:lvlText w:val="%1."/>
      <w:numFmt w:val="lowerLetter"/>
      <w:start w:val="1"/>
    </w:lvl>
  </w:abstractNum>
  <w:abstractNum w:abstractNumId="253">
    <w:nsid w:val="5992A02E"/>
    <w:multiLevelType w:val="hybridMultilevel"/>
    <w:lvl w:ilvl="0">
      <w:lvlJc w:val="left"/>
      <w:lvlText w:val="(%1)"/>
      <w:numFmt w:val="lowerRoman"/>
      <w:start w:val="2"/>
    </w:lvl>
    <w:lvl w:ilvl="1">
      <w:lvlJc w:val="left"/>
      <w:lvlText w:val="(%2)"/>
      <w:numFmt w:val="decimal"/>
      <w:start w:val="1"/>
    </w:lvl>
  </w:abstractNum>
  <w:abstractNum w:abstractNumId="254">
    <w:nsid w:val="29EF532D"/>
    <w:multiLevelType w:val="hybridMultilevel"/>
    <w:lvl w:ilvl="0">
      <w:lvlJc w:val="left"/>
      <w:lvlText w:val="%1"/>
      <w:numFmt w:val="upperLetter"/>
      <w:start w:val="1"/>
    </w:lvl>
    <w:lvl w:ilvl="1">
      <w:lvlJc w:val="left"/>
      <w:lvlText w:val="(%2)"/>
      <w:numFmt w:val="decimal"/>
      <w:start w:val="1"/>
    </w:lvl>
  </w:abstractNum>
  <w:abstractNum w:abstractNumId="255">
    <w:nsid w:val="71D601AF"/>
    <w:multiLevelType w:val="hybridMultilevel"/>
    <w:lvl w:ilvl="0">
      <w:lvlJc w:val="left"/>
      <w:lvlText w:val="(%1)"/>
      <w:numFmt w:val="upperLetter"/>
      <w:start w:val="1"/>
    </w:lvl>
    <w:lvl w:ilvl="1">
      <w:lvlJc w:val="left"/>
      <w:lvlText w:val="(%2)"/>
      <w:numFmt w:val="decimal"/>
      <w:start w:val="4"/>
    </w:lvl>
  </w:abstractNum>
  <w:abstractNum w:abstractNumId="256">
    <w:nsid w:val="52C77402"/>
    <w:multiLevelType w:val="hybridMultilevel"/>
    <w:lvl w:ilvl="0">
      <w:lvlJc w:val="left"/>
      <w:lvlText w:val="%1."/>
      <w:numFmt w:val="decimal"/>
      <w:start w:val="1"/>
    </w:lvl>
  </w:abstractNum>
  <w:abstractNum w:abstractNumId="257">
    <w:nsid w:val="2BB5B1C6"/>
    <w:multiLevelType w:val="hybridMultilevel"/>
    <w:lvl w:ilvl="0">
      <w:lvlJc w:val="left"/>
      <w:lvlText w:val="(%1)"/>
      <w:numFmt w:val="upperLetter"/>
      <w:start w:val="1"/>
    </w:lvl>
  </w:abstractNum>
  <w:abstractNum w:abstractNumId="258">
    <w:nsid w:val="66BE6B9"/>
    <w:multiLevelType w:val="hybridMultilevel"/>
    <w:lvl w:ilvl="0">
      <w:lvlJc w:val="left"/>
      <w:lvlText w:val="%1."/>
      <w:numFmt w:val="lowerLetter"/>
      <w:start w:val="1"/>
    </w:lvl>
  </w:abstractNum>
  <w:abstractNum w:abstractNumId="259">
    <w:nsid w:val="62234363"/>
    <w:multiLevelType w:val="hybridMultilevel"/>
    <w:lvl w:ilvl="0">
      <w:lvlJc w:val="left"/>
      <w:lvlText w:val="(%1)"/>
      <w:numFmt w:val="lowerLetter"/>
      <w:start w:val="1"/>
    </w:lvl>
  </w:abstractNum>
  <w:abstractNum w:abstractNumId="260">
    <w:nsid w:val="66D385C9"/>
    <w:multiLevelType w:val="hybridMultilevel"/>
    <w:lvl w:ilvl="0">
      <w:lvlJc w:val="left"/>
      <w:lvlText w:val="%1"/>
      <w:numFmt w:val="lowerRoman"/>
      <w:start w:val="1"/>
    </w:lvl>
    <w:lvl w:ilvl="1">
      <w:lvlJc w:val="left"/>
      <w:lvlText w:val="%2."/>
      <w:numFmt w:val="lowerLetter"/>
      <w:start w:val="1"/>
    </w:lvl>
  </w:abstractNum>
  <w:abstractNum w:abstractNumId="261">
    <w:nsid w:val="596F6D8A"/>
    <w:multiLevelType w:val="hybridMultilevel"/>
    <w:lvl w:ilvl="0">
      <w:lvlJc w:val="left"/>
      <w:lvlText w:val="(%1)"/>
      <w:numFmt w:val="lowerRoman"/>
      <w:start w:val="1"/>
    </w:lvl>
    <w:lvl w:ilvl="1">
      <w:lvlJc w:val="left"/>
      <w:lvlText w:val="%2."/>
      <w:numFmt w:val="lowerLetter"/>
      <w:start w:val="2"/>
    </w:lvl>
  </w:abstractNum>
  <w:abstractNum w:abstractNumId="262">
    <w:nsid w:val="5749361F"/>
    <w:multiLevelType w:val="hybridMultilevel"/>
    <w:lvl w:ilvl="0">
      <w:lvlJc w:val="left"/>
      <w:lvlText w:val="%1"/>
      <w:numFmt w:val="lowerLetter"/>
      <w:start w:val="1"/>
    </w:lvl>
    <w:lvl w:ilvl="1">
      <w:lvlJc w:val="left"/>
      <w:lvlText w:val="%2."/>
      <w:numFmt w:val="lowerRoman"/>
      <w:start w:val="1"/>
    </w:lvl>
  </w:abstractNum>
  <w:abstractNum w:abstractNumId="263">
    <w:nsid w:val="73BC6770"/>
    <w:multiLevelType w:val="hybridMultilevel"/>
    <w:lvl w:ilvl="0">
      <w:lvlJc w:val="left"/>
      <w:lvlText w:val="(%1)"/>
      <w:numFmt w:val="lowerLetter"/>
      <w:start w:val="4"/>
    </w:lvl>
    <w:lvl w:ilvl="1">
      <w:lvlJc w:val="left"/>
      <w:lvlText w:val="%2"/>
      <w:numFmt w:val="lowerRoman"/>
      <w:start w:val="1"/>
    </w:lvl>
  </w:abstractNum>
  <w:abstractNum w:abstractNumId="264">
    <w:nsid w:val="280E6897"/>
    <w:multiLevelType w:val="hybridMultilevel"/>
    <w:lvl w:ilvl="0">
      <w:lvlJc w:val="left"/>
      <w:lvlText w:val="(%1)"/>
      <w:numFmt w:val="lowerRoman"/>
      <w:start w:val="1"/>
    </w:lvl>
  </w:abstractNum>
  <w:abstractNum w:abstractNumId="265">
    <w:nsid w:val="605138DE"/>
    <w:multiLevelType w:val="hybridMultilevel"/>
    <w:lvl w:ilvl="0">
      <w:lvlJc w:val="left"/>
      <w:lvlText w:val="%1."/>
      <w:numFmt w:val="lowerRoman"/>
      <w:start w:val="1"/>
    </w:lvl>
  </w:abstractNum>
  <w:abstractNum w:abstractNumId="266">
    <w:nsid w:val="2622AD0C"/>
    <w:multiLevelType w:val="hybridMultilevel"/>
    <w:lvl w:ilvl="0">
      <w:lvlJc w:val="left"/>
      <w:lvlText w:val="(%1)"/>
      <w:numFmt w:val="lowerLetter"/>
      <w:start w:val="1"/>
    </w:lvl>
  </w:abstractNum>
  <w:abstractNum w:abstractNumId="267">
    <w:nsid w:val="67997556"/>
    <w:multiLevelType w:val="hybridMultilevel"/>
    <w:lvl w:ilvl="0">
      <w:lvlJc w:val="left"/>
      <w:lvlText w:val="(%1)"/>
      <w:numFmt w:val="lowerRoman"/>
      <w:start w:val="1"/>
    </w:lvl>
  </w:abstractNum>
  <w:abstractNum w:abstractNumId="268">
    <w:nsid w:val="18333C89"/>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4"/>
      <w:numFmt w:val="lowerRoman"/>
      <w:start w:val="1"/>
    </w:lvl>
  </w:abstractNum>
  <w:abstractNum w:abstractNumId="269">
    <w:nsid w:val="4BA9831A"/>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2"/>
    </w:lvl>
    <w:lvl w:ilvl="3">
      <w:lvlJc w:val="left"/>
      <w:lvlText w:val="(%4)"/>
      <w:numFmt w:val="lowerRoman"/>
      <w:start w:val="1"/>
    </w:lvl>
  </w:abstractNum>
  <w:abstractNum w:abstractNumId="270">
    <w:nsid w:val="6D71A2B"/>
    <w:multiLevelType w:val="hybridMultilevel"/>
    <w:lvl w:ilvl="0">
      <w:lvlJc w:val="left"/>
      <w:lvlText w:val="(%1)"/>
      <w:numFmt w:val="lowerLetter"/>
      <w:start w:val="1"/>
    </w:lvl>
  </w:abstractNum>
  <w:abstractNum w:abstractNumId="271">
    <w:nsid w:val="CFC7321"/>
    <w:multiLevelType w:val="hybridMultilevel"/>
    <w:lvl w:ilvl="0">
      <w:lvlJc w:val="left"/>
      <w:lvlText w:val="(%1)"/>
      <w:numFmt w:val="lowerRoman"/>
      <w:start w:val="2"/>
    </w:lvl>
  </w:abstractNum>
  <w:abstractNum w:abstractNumId="272">
    <w:nsid w:val="1421971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73">
    <w:nsid w:val="1F404301"/>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274">
    <w:nsid w:val="116E0907"/>
    <w:multiLevelType w:val="hybridMultilevel"/>
    <w:lvl w:ilvl="0">
      <w:lvlJc w:val="left"/>
      <w:lvlText w:val="%1"/>
      <w:numFmt w:val="lowerRoman"/>
      <w:start w:val="1"/>
    </w:lvl>
    <w:lvl w:ilvl="1">
      <w:lvlJc w:val="left"/>
      <w:lvlText w:val="(%2)"/>
      <w:numFmt w:val="lowerLetter"/>
      <w:start w:val="1"/>
    </w:lvl>
  </w:abstractNum>
  <w:abstractNum w:abstractNumId="275">
    <w:nsid w:val="4B683D0D"/>
    <w:multiLevelType w:val="hybridMultilevel"/>
    <w:lvl w:ilvl="0">
      <w:lvlJc w:val="left"/>
      <w:lvlText w:val="%1"/>
      <w:numFmt w:val="lowerRoman"/>
      <w:start w:val="1"/>
    </w:lvl>
    <w:lvl w:ilvl="1">
      <w:lvlJc w:val="left"/>
      <w:lvlText w:val="(%2)"/>
      <w:numFmt w:val="lowerLetter"/>
      <w:start w:val="9"/>
    </w:lvl>
  </w:abstractNum>
  <w:abstractNum w:abstractNumId="276">
    <w:nsid w:val="76E41D8"/>
    <w:multiLevelType w:val="hybridMultilevel"/>
    <w:lvl w:ilvl="0">
      <w:lvlJc w:val="left"/>
      <w:lvlText w:val="(%1)"/>
      <w:numFmt w:val="lowerRoman"/>
      <w:start w:val="2"/>
    </w:lvl>
    <w:lvl w:ilvl="1">
      <w:lvlJc w:val="left"/>
      <w:lvlText w:val="(%2)"/>
      <w:numFmt w:val="lowerLetter"/>
      <w:start w:val="2"/>
    </w:lvl>
  </w:abstractNum>
  <w:abstractNum w:abstractNumId="277">
    <w:nsid w:val="71DCE0FD"/>
    <w:multiLevelType w:val="hybridMultilevel"/>
    <w:lvl w:ilvl="0">
      <w:lvlJc w:val="left"/>
      <w:lvlText w:val="%1."/>
      <w:numFmt w:val="lowerLetter"/>
      <w:start w:val="1"/>
    </w:lvl>
  </w:abstractNum>
  <w:abstractNum w:abstractNumId="278">
    <w:nsid w:val="7906328B"/>
    <w:multiLevelType w:val="hybridMultilevel"/>
    <w:lvl w:ilvl="0">
      <w:lvlJc w:val="left"/>
      <w:lvlText w:val="%1."/>
      <w:numFmt w:val="lowerLetter"/>
      <w:start w:val="7"/>
    </w:lvl>
  </w:abstractNum>
  <w:abstractNum w:abstractNumId="279">
    <w:nsid w:val="72BBC16"/>
    <w:multiLevelType w:val="hybridMultilevel"/>
    <w:lvl w:ilvl="0">
      <w:lvlJc w:val="left"/>
      <w:lvlText w:val="%1."/>
      <w:numFmt w:val="lowerLetter"/>
      <w:start w:val="1"/>
    </w:lvl>
  </w:abstractNum>
  <w:abstractNum w:abstractNumId="280">
    <w:nsid w:val="766D98C2"/>
    <w:multiLevelType w:val="hybridMultilevel"/>
    <w:lvl w:ilvl="0">
      <w:lvlJc w:val="left"/>
      <w:lvlText w:val="(%1)"/>
      <w:numFmt w:val="lowerLetter"/>
      <w:start w:val="1"/>
    </w:lvl>
  </w:abstractNum>
  <w:abstractNum w:abstractNumId="281">
    <w:nsid w:val="3C09D4A1"/>
    <w:multiLevelType w:val="hybridMultilevel"/>
    <w:lvl w:ilvl="0">
      <w:lvlJc w:val="left"/>
      <w:lvlText w:val="(%1)"/>
      <w:numFmt w:val="lowerLetter"/>
      <w:start w:val="3"/>
    </w:lvl>
  </w:abstractNum>
  <w:abstractNum w:abstractNumId="282">
    <w:nsid w:val="20E45CA4"/>
    <w:multiLevelType w:val="hybridMultilevel"/>
    <w:lvl w:ilvl="0">
      <w:lvlJc w:val="left"/>
      <w:lvlText w:val="%1."/>
      <w:numFmt w:val="lowerRoman"/>
      <w:start w:val="1"/>
    </w:lvl>
    <w:lvl w:ilvl="1">
      <w:lvlJc w:val="left"/>
      <w:lvlText w:val="(%2)"/>
      <w:numFmt w:val="lowerRoman"/>
      <w:start w:val="2"/>
    </w:lvl>
  </w:abstractNum>
  <w:abstractNum w:abstractNumId="283">
    <w:nsid w:val="4B232EE3"/>
    <w:multiLevelType w:val="hybridMultilevel"/>
    <w:lvl w:ilvl="0">
      <w:lvlJc w:val="left"/>
      <w:lvlText w:val="(%1)"/>
      <w:numFmt w:val="lowerLetter"/>
      <w:start w:val="1"/>
    </w:lvl>
  </w:abstractNum>
  <w:abstractNum w:abstractNumId="284">
    <w:nsid w:val="159C74CF"/>
    <w:multiLevelType w:val="hybridMultilevel"/>
    <w:lvl w:ilvl="0">
      <w:lvlJc w:val="left"/>
      <w:lvlText w:val="(%1)"/>
      <w:numFmt w:val="lowerRoman"/>
      <w:start w:val="1"/>
    </w:lvl>
  </w:abstractNum>
  <w:abstractNum w:abstractNumId="285">
    <w:nsid w:val="4AD3AFD2"/>
    <w:multiLevelType w:val="hybridMultilevel"/>
    <w:lvl w:ilvl="0">
      <w:lvlJc w:val="left"/>
      <w:lvlText w:val="(%1)"/>
      <w:numFmt w:val="lowerLetter"/>
      <w:start w:val="1"/>
    </w:lvl>
  </w:abstractNum>
  <w:abstractNum w:abstractNumId="286">
    <w:nsid w:val="3CF93092"/>
    <w:multiLevelType w:val="hybridMultilevel"/>
    <w:lvl w:ilvl="0">
      <w:lvlJc w:val="left"/>
      <w:lvlText w:val="(%1)"/>
      <w:numFmt w:val="lowerLetter"/>
      <w:start w:val="1"/>
    </w:lvl>
  </w:abstractNum>
  <w:abstractNum w:abstractNumId="287">
    <w:nsid w:val="6863E8D2"/>
    <w:multiLevelType w:val="hybridMultilevel"/>
    <w:lvl w:ilvl="0">
      <w:lvlJc w:val="left"/>
      <w:lvlText w:val="%1."/>
      <w:numFmt w:val="lowerLetter"/>
      <w:start w:val="1"/>
    </w:lvl>
  </w:abstractNum>
  <w:abstractNum w:abstractNumId="288">
    <w:nsid w:val="76896198"/>
    <w:multiLevelType w:val="hybridMultilevel"/>
    <w:lvl w:ilvl="0">
      <w:lvlJc w:val="left"/>
      <w:lvlText w:val="(%1)"/>
      <w:numFmt w:val="lowerLetter"/>
      <w:start w:val="1"/>
    </w:lvl>
  </w:abstractNum>
  <w:abstractNum w:abstractNumId="289">
    <w:nsid w:val="4365174B"/>
    <w:multiLevelType w:val="hybridMultilevel"/>
    <w:lvl w:ilvl="0">
      <w:lvlJc w:val="left"/>
      <w:lvlText w:val="%1"/>
      <w:numFmt w:val="decimal"/>
      <w:start w:val="1"/>
    </w:lvl>
    <w:lvl w:ilvl="1">
      <w:lvlJc w:val="left"/>
      <w:lvlText w:val="(%2)"/>
      <w:numFmt w:val="lowerLetter"/>
      <w:start w:val="3"/>
    </w:lvl>
  </w:abstractNum>
  <w:abstractNum w:abstractNumId="290">
    <w:nsid w:val="4A872C35"/>
    <w:multiLevelType w:val="hybridMultilevel"/>
    <w:lvl w:ilvl="0">
      <w:lvlJc w:val="left"/>
      <w:lvlText w:val="(%1)"/>
      <w:numFmt w:val="decimal"/>
      <w:start w:val="3"/>
    </w:lvl>
    <w:lvl w:ilvl="1">
      <w:lvlJc w:val="left"/>
      <w:lvlText w:val="%2"/>
      <w:numFmt w:val="lowerLetter"/>
      <w:start w:val="1"/>
    </w:lvl>
  </w:abstractNum>
  <w:abstractNum w:abstractNumId="291">
    <w:nsid w:val="5D5CE761"/>
    <w:multiLevelType w:val="hybridMultilevel"/>
    <w:lvl w:ilvl="0">
      <w:lvlJc w:val="left"/>
      <w:lvlText w:val="(%1)"/>
      <w:numFmt w:val="lowerLetter"/>
      <w:start w:val="4"/>
    </w:lvl>
  </w:abstractNum>
  <w:abstractNum w:abstractNumId="292">
    <w:nsid w:val="1CD484D5"/>
    <w:multiLevelType w:val="hybridMultilevel"/>
    <w:lvl w:ilvl="0">
      <w:lvlJc w:val="left"/>
      <w:lvlText w:val="%1."/>
      <w:numFmt w:val="lowerLetter"/>
      <w:start w:val="1"/>
    </w:lvl>
    <w:lvl w:ilvl="1">
      <w:lvlJc w:val="left"/>
      <w:lvlText w:val="(%2)"/>
      <w:numFmt w:val="upperLetter"/>
      <w:start w:val="1"/>
    </w:lvl>
  </w:abstractNum>
  <w:abstractNum w:abstractNumId="293">
    <w:nsid w:val="21D06255"/>
    <w:multiLevelType w:val="hybridMultilevel"/>
    <w:lvl w:ilvl="0">
      <w:lvlJc w:val="left"/>
      <w:lvlText w:val="%1"/>
      <w:numFmt w:val="lowerRoman"/>
      <w:start w:val="1"/>
    </w:lvl>
    <w:lvl w:ilvl="1">
      <w:lvlJc w:val="left"/>
      <w:lvlText w:val="%2."/>
      <w:numFmt w:val="lowerLetter"/>
      <w:start w:val="1"/>
    </w:lvl>
  </w:abstractNum>
  <w:abstractNum w:abstractNumId="294">
    <w:nsid w:val="51194ED1"/>
    <w:multiLevelType w:val="hybridMultilevel"/>
    <w:lvl w:ilvl="0">
      <w:lvlJc w:val="left"/>
      <w:lvlText w:val="(%1)"/>
      <w:numFmt w:val="lowerRoman"/>
      <w:start w:val="2"/>
    </w:lvl>
    <w:lvl w:ilvl="1">
      <w:lvlJc w:val="left"/>
      <w:lvlText w:val="%2"/>
      <w:numFmt w:val="lowerLetter"/>
      <w:start w:val="1"/>
    </w:lvl>
  </w:abstractNum>
  <w:abstractNum w:abstractNumId="295">
    <w:nsid w:val="44E2ED6C"/>
    <w:multiLevelType w:val="hybridMultilevel"/>
    <w:lvl w:ilvl="0">
      <w:lvlJc w:val="left"/>
      <w:lvlText w:val="(%1)"/>
      <w:numFmt w:val="lowerLetter"/>
      <w:start w:val="25"/>
    </w:lvl>
  </w:abstractNum>
  <w:abstractNum w:abstractNumId="296">
    <w:nsid w:val="2219B33"/>
    <w:multiLevelType w:val="hybridMultilevel"/>
    <w:lvl w:ilvl="0">
      <w:lvlJc w:val="left"/>
      <w:lvlText w:val="(%1)"/>
      <w:numFmt w:val="lowerRoman"/>
      <w:start w:val="1"/>
    </w:lvl>
  </w:abstractNum>
  <w:abstractNum w:abstractNumId="297">
    <w:nsid w:val="773BFBDD"/>
    <w:multiLevelType w:val="hybridMultilevel"/>
    <w:lvl w:ilvl="0">
      <w:lvlJc w:val="left"/>
      <w:lvlText w:val="(%1)"/>
      <w:numFmt w:val="lowerRoman"/>
      <w:start w:val="1"/>
    </w:lvl>
  </w:abstractNum>
  <w:abstractNum w:abstractNumId="298">
    <w:nsid w:val="2C7C62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9">
    <w:nsid w:val="1A54D7BC"/>
    <w:multiLevelType w:val="hybridMultilevel"/>
    <w:lvl w:ilvl="0">
      <w:lvlJc w:val="left"/>
      <w:lvlText w:val="(%1)"/>
      <w:numFmt w:val="lowerLetter"/>
      <w:start w:val="1"/>
    </w:lvl>
  </w:abstractNum>
  <w:abstractNum w:abstractNumId="300">
    <w:nsid w:val="42E57EF7"/>
    <w:multiLevelType w:val="hybridMultilevel"/>
    <w:lvl w:ilvl="0">
      <w:lvlJc w:val="left"/>
      <w:lvlText w:val="(%1)"/>
      <w:numFmt w:val="lowerLetter"/>
      <w:start w:val="1"/>
    </w:lvl>
  </w:abstractNum>
  <w:abstractNum w:abstractNumId="301">
    <w:nsid w:val="33537CED"/>
    <w:multiLevelType w:val="hybridMultilevel"/>
    <w:lvl w:ilvl="0">
      <w:lvlJc w:val="left"/>
      <w:lvlText w:val="(%1)"/>
      <w:numFmt w:val="lowerLetter"/>
      <w:start w:val="1"/>
    </w:lvl>
  </w:abstractNum>
  <w:abstractNum w:abstractNumId="302">
    <w:nsid w:val="27514ADE"/>
    <w:multiLevelType w:val="hybridMultilevel"/>
    <w:lvl w:ilvl="0">
      <w:lvlJc w:val="left"/>
      <w:lvlText w:val="%1"/>
      <w:numFmt w:val="lowerLetter"/>
      <w:start w:val="1"/>
    </w:lvl>
    <w:lvl w:ilvl="1">
      <w:lvlJc w:val="left"/>
      <w:lvlText w:val="(%2)"/>
      <w:numFmt w:val="lowerLetter"/>
      <w:start w:val="1"/>
    </w:lvl>
  </w:abstractNum>
  <w:abstractNum w:abstractNumId="303">
    <w:nsid w:val="57071613"/>
    <w:multiLevelType w:val="hybridMultilevel"/>
    <w:lvl w:ilvl="0">
      <w:lvlJc w:val="left"/>
      <w:lvlText w:val="(%1)"/>
      <w:numFmt w:val="lowerLetter"/>
      <w:start w:val="26"/>
    </w:lvl>
    <w:lvl w:ilvl="1">
      <w:lvlJc w:val="left"/>
      <w:lvlText w:val="%2"/>
      <w:numFmt w:val="lowerLetter"/>
      <w:start w:val="1"/>
    </w:lvl>
  </w:abstractNum>
  <w:abstractNum w:abstractNumId="304">
    <w:nsid w:val="5293BFE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05">
    <w:nsid w:val="38BF53E5"/>
    <w:multiLevelType w:val="hybridMultilevel"/>
    <w:lvl w:ilvl="0">
      <w:lvlJc w:val="left"/>
      <w:lvlText w:val="(%1)"/>
      <w:numFmt w:val="decimal"/>
      <w:start w:val="2"/>
    </w:lvl>
  </w:abstractNum>
  <w:abstractNum w:abstractNumId="306">
    <w:nsid w:val="226F5320"/>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lvl w:ilvl="3">
      <w:lvlJc w:val="left"/>
      <w:lvlText w:val="%4."/>
      <w:numFmt w:val="decimal"/>
      <w:start w:val="1"/>
    </w:lvl>
  </w:abstractNum>
  <w:abstractNum w:abstractNumId="307">
    <w:nsid w:val="5A0201C7"/>
    <w:multiLevelType w:val="hybridMultilevel"/>
    <w:lvl w:ilvl="0">
      <w:lvlJc w:val="left"/>
      <w:lvlText w:val="%1."/>
      <w:numFmt w:val="lowerRoman"/>
      <w:start w:val="4"/>
    </w:lvl>
  </w:abstractNum>
  <w:abstractNum w:abstractNumId="308">
    <w:nsid w:val="2A9C34E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3"/>
    </w:lvl>
    <w:lvl w:ilvl="5">
      <w:lvlJc w:val="left"/>
      <w:lvlText w:val="%6."/>
      <w:numFmt w:val="lowerRoman"/>
      <w:start w:val="3"/>
    </w:lvl>
  </w:abstractNum>
  <w:abstractNum w:abstractNumId="309">
    <w:nsid w:val="1B7585A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310">
    <w:nsid w:val="612DBDD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311">
    <w:nsid w:val="2109CDA4"/>
    <w:multiLevelType w:val="hybridMultilevel"/>
    <w:lvl w:ilvl="0">
      <w:lvlJc w:val="left"/>
      <w:lvlText w:val="%1"/>
      <w:numFmt w:val="lowerRoman"/>
      <w:start w:val="1"/>
    </w:lvl>
    <w:lvl w:ilvl="1">
      <w:lvlJc w:val="left"/>
      <w:lvlText w:val="%2."/>
      <w:numFmt w:val="lowerRoman"/>
      <w:start w:val="4"/>
    </w:lvl>
  </w:abstractNum>
  <w:abstractNum w:abstractNumId="312">
    <w:nsid w:val="577F5A4D"/>
    <w:multiLevelType w:val="hybridMultilevel"/>
    <w:lvl w:ilvl="0">
      <w:lvlJc w:val="left"/>
      <w:lvlText w:val="%1."/>
      <w:numFmt w:val="lowerRoman"/>
      <w:start w:val="5"/>
    </w:lvl>
    <w:lvl w:ilvl="1">
      <w:lvlJc w:val="left"/>
      <w:lvlText w:val="%2"/>
      <w:numFmt w:val="lowerRoman"/>
      <w:start w:val="1"/>
    </w:lvl>
  </w:abstractNum>
  <w:abstractNum w:abstractNumId="313">
    <w:nsid w:val="2121A81"/>
    <w:multiLevelType w:val="hybridMultilevel"/>
    <w:lvl w:ilvl="0">
      <w:lvlJc w:val="left"/>
      <w:lvlText w:val="%1."/>
      <w:numFmt w:val="lowerRoman"/>
      <w:start w:val="6"/>
    </w:lvl>
    <w:lvl w:ilvl="1">
      <w:lvlJc w:val="left"/>
      <w:lvlText w:val="%2."/>
      <w:numFmt w:val="lowerRoman"/>
      <w:start w:val="7"/>
    </w:lvl>
    <w:lvl w:ilvl="2">
      <w:lvlJc w:val="left"/>
      <w:lvlText w:val="%3."/>
      <w:numFmt w:val="lowerRoman"/>
      <w:start w:val="8"/>
    </w:lvl>
  </w:abstractNum>
  <w:abstractNum w:abstractNumId="314">
    <w:nsid w:val="6C2CFC88"/>
    <w:multiLevelType w:val="hybridMultilevel"/>
    <w:lvl w:ilvl="0">
      <w:lvlJc w:val="left"/>
      <w:lvlText w:val="%1"/>
      <w:numFmt w:val="lowerLetter"/>
      <w:start w:val="1"/>
    </w:lvl>
    <w:lvl w:ilvl="1">
      <w:lvlJc w:val="left"/>
      <w:lvlText w:val="(%2)"/>
      <w:numFmt w:val="upperLetter"/>
      <w:start w:val="5"/>
    </w:lvl>
    <w:lvl w:ilvl="2">
      <w:lvlJc w:val="left"/>
      <w:lvlText w:val="%3."/>
      <w:numFmt w:val="lowerRoman"/>
      <w:start w:val="1"/>
    </w:lvl>
  </w:abstractNum>
  <w:abstractNum w:abstractNumId="315">
    <w:nsid w:val="6D1BCF1C"/>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3"/>
    </w:lvl>
  </w:abstractNum>
  <w:abstractNum w:abstractNumId="316">
    <w:nsid w:val="4CE5CA53"/>
    <w:multiLevelType w:val="hybridMultilevel"/>
    <w:lvl w:ilvl="0">
      <w:lvlJc w:val="left"/>
      <w:lvlText w:val="(%1)"/>
      <w:numFmt w:val="lowerLetter"/>
      <w:start w:val="2"/>
    </w:lvl>
  </w:abstractNum>
  <w:abstractNum w:abstractNumId="317">
    <w:nsid w:val="29262D1A"/>
    <w:multiLevelType w:val="hybridMultilevel"/>
    <w:lvl w:ilvl="0">
      <w:lvlJc w:val="left"/>
      <w:lvlText w:val="(%1)"/>
      <w:numFmt w:val="lowerRoman"/>
      <w:start w:val="1"/>
    </w:lvl>
  </w:abstractNum>
  <w:abstractNum w:abstractNumId="318">
    <w:nsid w:val="557FB7EE"/>
    <w:multiLevelType w:val="hybridMultilevel"/>
    <w:lvl w:ilvl="0">
      <w:lvlJc w:val="left"/>
      <w:lvlText w:val="%1."/>
      <w:numFmt w:val="lowerRoman"/>
      <w:start w:val="1"/>
    </w:lvl>
    <w:lvl w:ilvl="1">
      <w:lvlJc w:val="left"/>
      <w:lvlText w:val="%2."/>
      <w:numFmt w:val="lowerLetter"/>
      <w:start w:val="2"/>
    </w:lvl>
  </w:abstractNum>
  <w:abstractNum w:abstractNumId="319">
    <w:nsid w:val="436F2BEB"/>
    <w:multiLevelType w:val="hybridMultilevel"/>
    <w:lvl w:ilvl="0">
      <w:lvlJc w:val="left"/>
      <w:lvlText w:val="%1."/>
      <w:numFmt w:val="lowerLetter"/>
      <w:start w:val="1"/>
    </w:lvl>
  </w:abstractNum>
  <w:abstractNum w:abstractNumId="320">
    <w:nsid w:val="6C8B446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21">
    <w:nsid w:val="2006E42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lvl w:ilvl="4">
      <w:lvlJc w:val="left"/>
      <w:lvlText w:val="%5"/>
      <w:numFmt w:val="lowerLetter"/>
      <w:start w:val="1"/>
    </w:lvl>
    <w:lvl w:ilvl="5">
      <w:lvlJc w:val="left"/>
      <w:lvlText w:val="%6."/>
      <w:numFmt w:val="decimal"/>
      <w:start w:val="1"/>
    </w:lvl>
  </w:abstractNum>
  <w:abstractNum w:abstractNumId="322">
    <w:nsid w:val="20CC134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lvl>
    <w:lvl w:ilvl="4">
      <w:lvlJc w:val="left"/>
      <w:lvlText w:val="%5."/>
      <w:numFmt w:val="lowerLetter"/>
      <w:start w:val="4"/>
    </w:lvl>
    <w:lvl w:ilvl="5">
      <w:lvlJc w:val="left"/>
      <w:lvlText w:val="%6"/>
      <w:numFmt w:val="decimal"/>
      <w:start w:val="1"/>
    </w:lvl>
  </w:abstractNum>
  <w:abstractNum w:abstractNumId="323">
    <w:nsid w:val="95FC93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3"/>
    </w:lvl>
    <w:lvl w:ilvl="4">
      <w:lvlJc w:val="left"/>
      <w:lvlText w:val="%5."/>
      <w:numFmt w:val="lowerLetter"/>
      <w:start w:val="7"/>
    </w:lvl>
    <w:lvl w:ilvl="5">
      <w:lvlJc w:val="left"/>
      <w:lvlText w:val="%6"/>
      <w:numFmt w:val="decimal"/>
      <w:start w:val="1"/>
    </w:lvl>
  </w:abstractNum>
  <w:abstractNum w:abstractNumId="324">
    <w:nsid w:val="41D7467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lvl w:ilvl="4">
      <w:lvlJc w:val="left"/>
      <w:lvlText w:val="%5"/>
      <w:numFmt w:val="lowerLetter"/>
      <w:start w:val="1"/>
    </w:lvl>
    <w:lvl w:ilvl="5">
      <w:lvlJc w:val="left"/>
      <w:lvlText w:val="%6"/>
      <w:numFmt w:val="decimal"/>
      <w:start w:val="1"/>
    </w:lvl>
  </w:abstractNum>
  <w:abstractNum w:abstractNumId="325">
    <w:nsid w:val="71E5621E"/>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0"/>
    </w:lvl>
  </w:abstractNum>
  <w:abstractNum w:abstractNumId="326">
    <w:nsid w:val="4E42B6A8"/>
    <w:multiLevelType w:val="hybridMultilevel"/>
    <w:lvl w:ilvl="0">
      <w:lvlJc w:val="left"/>
      <w:lvlText w:val="(%1)"/>
      <w:numFmt w:val="lowerLetter"/>
      <w:start w:val="1"/>
    </w:lvl>
  </w:abstractNum>
  <w:abstractNum w:abstractNumId="327">
    <w:nsid w:val="43F8E1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28">
    <w:nsid w:val="69215DF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29">
    <w:nsid w:val="7ABF196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30">
    <w:nsid w:val="5E4DB968"/>
    <w:multiLevelType w:val="hybridMultilevel"/>
    <w:lvl w:ilvl="0">
      <w:lvlJc w:val="left"/>
      <w:lvlText w:val="(%1)"/>
      <w:numFmt w:val="lowerLetter"/>
      <w:start w:val="2"/>
    </w:lvl>
  </w:abstractNum>
  <w:abstractNum w:abstractNumId="331">
    <w:nsid w:val="2C06DCF3"/>
    <w:multiLevelType w:val="hybridMultilevel"/>
    <w:lvl w:ilvl="0">
      <w:lvlJc w:val="left"/>
      <w:lvlText w:val="%1."/>
      <w:numFmt w:val="lowerLetter"/>
      <w:start w:val="1"/>
    </w:lvl>
  </w:abstractNum>
  <w:abstractNum w:abstractNumId="332">
    <w:nsid w:val="2E129658"/>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333">
    <w:nsid w:val="59F0446"/>
    <w:multiLevelType w:val="hybridMultilevel"/>
    <w:lvl w:ilvl="0">
      <w:lvlJc w:val="left"/>
      <w:lvlText w:val="(%1)"/>
      <w:numFmt w:val="lowerRoman"/>
      <w:start w:val="2"/>
    </w:lvl>
    <w:lvl w:ilvl="1">
      <w:lvlJc w:val="left"/>
      <w:lvlText w:val="(%2)"/>
      <w:numFmt w:val="decimal"/>
      <w:start w:val="1"/>
    </w:lvl>
    <w:lvl w:ilvl="2">
      <w:lvlJc w:val="left"/>
      <w:lvlText w:val="(%3)"/>
      <w:numFmt w:val="decimal"/>
      <w:start w:val="2"/>
    </w:lvl>
    <w:lvl w:ilvl="3">
      <w:lvlJc w:val="left"/>
      <w:lvlText w:val="(%4)"/>
      <w:numFmt w:val="decimal"/>
      <w:start w:val="2"/>
    </w:lvl>
    <w:lvl w:ilvl="4">
      <w:lvlJc w:val="left"/>
      <w:lvlText w:val="%5"/>
      <w:numFmt w:val="lowerRoman"/>
      <w:start w:val="1"/>
    </w:lvl>
  </w:abstractNum>
  <w:abstractNum w:abstractNumId="334">
    <w:nsid w:val="30DF306"/>
    <w:multiLevelType w:val="hybridMultilevel"/>
    <w:lvl w:ilvl="0">
      <w:lvlJc w:val="left"/>
      <w:lvlText w:val="(%1)"/>
      <w:numFmt w:val="lowerLetter"/>
      <w:start w:val="1"/>
    </w:lvl>
    <w:lvl w:ilvl="1">
      <w:lvlJc w:val="left"/>
      <w:lvlText w:val="(%2)"/>
      <w:numFmt w:val="lowerLetter"/>
      <w:start w:val="9"/>
    </w:lvl>
  </w:abstractNum>
  <w:abstractNum w:abstractNumId="335">
    <w:nsid w:val="A65647"/>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336">
    <w:nsid w:val="3E5E582B"/>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337">
    <w:nsid w:val="257D4626"/>
    <w:multiLevelType w:val="hybridMultilevel"/>
    <w:lvl w:ilvl="0">
      <w:lvlJc w:val="left"/>
      <w:lvlText w:val="(%1)"/>
      <w:numFmt w:val="decimal"/>
      <w:start w:val="1"/>
    </w:lvl>
    <w:lvl w:ilvl="1">
      <w:lvlJc w:val="left"/>
      <w:lvlText w:val="(%2)"/>
      <w:numFmt w:val="decimal"/>
      <w:start w:val="2"/>
    </w:lvl>
  </w:abstractNum>
  <w:abstractNum w:abstractNumId="338">
    <w:nsid w:val="5AA8580E"/>
    <w:multiLevelType w:val="hybridMultilevel"/>
    <w:lvl w:ilvl="0">
      <w:lvlJc w:val="left"/>
      <w:lvlText w:val="%1."/>
      <w:numFmt w:val="decimal"/>
      <w:start w:val="1"/>
    </w:lvl>
  </w:abstractNum>
  <w:abstractNum w:abstractNumId="339">
    <w:nsid w:val="68FA8D0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40">
    <w:nsid w:val="40F2CBD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41">
    <w:nsid w:val="3BD615EB"/>
    <w:multiLevelType w:val="hybridMultilevel"/>
    <w:lvl w:ilvl="0">
      <w:lvlJc w:val="left"/>
      <w:lvlText w:val="%1."/>
      <w:numFmt w:val="lowerRoman"/>
      <w:start w:val="1"/>
    </w:lvl>
    <w:lvl w:ilvl="1">
      <w:lvlJc w:val="left"/>
      <w:lvlText w:val="%2."/>
      <w:numFmt w:val="decimal"/>
      <w:start w:val="1"/>
    </w:lvl>
  </w:abstractNum>
  <w:abstractNum w:abstractNumId="342">
    <w:nsid w:val="A045AB2"/>
    <w:multiLevelType w:val="hybridMultilevel"/>
    <w:lvl w:ilvl="0">
      <w:lvlJc w:val="left"/>
      <w:lvlText w:val="%1."/>
      <w:numFmt w:val="decimal"/>
      <w:start w:val="1"/>
    </w:lvl>
  </w:abstractNum>
  <w:abstractNum w:abstractNumId="343">
    <w:nsid w:val="1872261F"/>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344">
    <w:nsid w:val="3DE8306C"/>
    <w:multiLevelType w:val="hybridMultilevel"/>
    <w:lvl w:ilvl="0">
      <w:lvlJc w:val="left"/>
      <w:lvlText w:val="%1"/>
      <w:numFmt w:val="lowerRoman"/>
      <w:start w:val="1"/>
    </w:lvl>
    <w:lvl w:ilvl="1">
      <w:lvlJc w:val="left"/>
      <w:lvlText w:val="%2."/>
      <w:numFmt w:val="decimal"/>
      <w:start w:val="1"/>
    </w:lvl>
  </w:abstractNum>
  <w:abstractNum w:abstractNumId="345">
    <w:nsid w:val="7631573A"/>
    <w:multiLevelType w:val="hybridMultilevel"/>
    <w:lvl w:ilvl="0">
      <w:lvlJc w:val="left"/>
      <w:lvlText w:val="%1."/>
      <w:numFmt w:val="lowerRoman"/>
      <w:start w:val="1"/>
    </w:lvl>
    <w:lvl w:ilvl="1">
      <w:lvlJc w:val="left"/>
      <w:lvlText w:val="%2"/>
      <w:numFmt w:val="decimal"/>
      <w:start w:val="1"/>
    </w:lvl>
  </w:abstractNum>
  <w:abstractNum w:abstractNumId="346">
    <w:nsid w:val="58DF53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4"/>
    </w:lvl>
  </w:abstractNum>
  <w:abstractNum w:abstractNumId="347">
    <w:nsid w:val="ACDFAC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lvl w:ilvl="3">
      <w:lvlJc w:val="left"/>
      <w:lvlText w:val="%4"/>
      <w:numFmt w:val="lowerRoman"/>
      <w:start w:val="1"/>
    </w:lvl>
  </w:abstractNum>
  <w:abstractNum w:abstractNumId="348">
    <w:nsid w:val="1F578454"/>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lvl w:ilvl="3">
      <w:lvlJc w:val="left"/>
      <w:lvlText w:val="%4"/>
      <w:numFmt w:val="lowerRoman"/>
      <w:start w:val="1"/>
    </w:lvl>
  </w:abstractNum>
  <w:abstractNum w:abstractNumId="349">
    <w:nsid w:val="5B0DAD2A"/>
    <w:multiLevelType w:val="hybridMultilevel"/>
    <w:lvl w:ilvl="0">
      <w:lvlJc w:val="left"/>
      <w:lvlText w:val="%1."/>
      <w:numFmt w:val="lowerRoman"/>
      <w:start w:val="8"/>
    </w:lvl>
  </w:abstractNum>
  <w:abstractNum w:abstractNumId="350">
    <w:nsid w:val="4E3D26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51">
    <w:nsid w:val="BE2C8B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52">
    <w:nsid w:val="7B14914E"/>
    <w:multiLevelType w:val="hybridMultilevel"/>
    <w:lvl w:ilvl="0">
      <w:lvlJc w:val="left"/>
      <w:lvlText w:val="(%1)"/>
      <w:numFmt w:val="lowerLetter"/>
      <w:start w:val="5"/>
    </w:lvl>
    <w:lvl w:ilvl="1">
      <w:lvlJc w:val="left"/>
      <w:lvlText w:val="%2."/>
      <w:numFmt w:val="lowerRoman"/>
      <w:start w:val="3"/>
    </w:lvl>
    <w:lvl w:ilvl="2">
      <w:lvlJc w:val="left"/>
      <w:lvlText w:val="%3."/>
      <w:numFmt w:val="lowerRoman"/>
      <w:start w:val="3"/>
    </w:lvl>
  </w:abstractNum>
  <w:abstractNum w:abstractNumId="353">
    <w:nsid w:val="6F0939F8"/>
    <w:multiLevelType w:val="hybridMultilevel"/>
    <w:lvl w:ilvl="0">
      <w:lvlJc w:val="left"/>
      <w:lvlText w:val="%1."/>
      <w:numFmt w:val="lowerRoman"/>
      <w:start w:val="5"/>
    </w:lvl>
    <w:lvl w:ilvl="1">
      <w:lvlJc w:val="left"/>
      <w:lvlText w:val="%2."/>
      <w:numFmt w:val="lowerRoman"/>
      <w:start w:val="6"/>
    </w:lvl>
    <w:lvl w:ilvl="2">
      <w:lvlJc w:val="left"/>
      <w:lvlText w:val="(%3)"/>
      <w:numFmt w:val="lowerLetter"/>
      <w:start w:val="2"/>
    </w:lvl>
  </w:abstractNum>
  <w:abstractNum w:abstractNumId="354">
    <w:nsid w:val="154291F6"/>
    <w:multiLevelType w:val="hybridMultilevel"/>
    <w:lvl w:ilvl="0">
      <w:lvlJc w:val="left"/>
      <w:lvlText w:val="%1"/>
      <w:numFmt w:val="lowerLetter"/>
      <w:start w:val="1"/>
    </w:lvl>
    <w:lvl w:ilvl="1">
      <w:lvlJc w:val="left"/>
      <w:lvlText w:val="%2."/>
      <w:numFmt w:val="lowerLetter"/>
      <w:start w:val="1"/>
    </w:lvl>
  </w:abstractNum>
  <w:abstractNum w:abstractNumId="355">
    <w:nsid w:val="3CEBD7C7"/>
    <w:multiLevelType w:val="hybridMultilevel"/>
    <w:lvl w:ilvl="0">
      <w:lvlJc w:val="left"/>
      <w:lvlText w:val="(%1)"/>
      <w:numFmt w:val="lowerLetter"/>
      <w:start w:val="1"/>
    </w:lvl>
    <w:lvl w:ilvl="1">
      <w:lvlJc w:val="left"/>
      <w:lvlText w:val="%2."/>
      <w:numFmt w:val="lowerLetter"/>
      <w:start w:val="5"/>
    </w:lvl>
  </w:abstractNum>
  <w:abstractNum w:abstractNumId="356">
    <w:nsid w:val="60EE9C16"/>
    <w:multiLevelType w:val="hybridMultilevel"/>
    <w:lvl w:ilvl="0">
      <w:lvlJc w:val="left"/>
      <w:lvlText w:val="%1."/>
      <w:numFmt w:val="lowerRoman"/>
      <w:start w:val="1"/>
    </w:lvl>
    <w:lvl w:ilvl="1">
      <w:lvlJc w:val="left"/>
      <w:lvlText w:val="(%2)"/>
      <w:numFmt w:val="lowerRoman"/>
      <w:start w:val="1"/>
    </w:lvl>
  </w:abstractNum>
  <w:abstractNum w:abstractNumId="357">
    <w:nsid w:val="6385489E"/>
    <w:multiLevelType w:val="hybridMultilevel"/>
    <w:lvl w:ilvl="0">
      <w:lvlJc w:val="left"/>
      <w:lvlText w:val="%1."/>
      <w:numFmt w:val="lowerRoman"/>
      <w:start w:val="2"/>
    </w:lvl>
  </w:abstractNum>
  <w:abstractNum w:abstractNumId="358">
    <w:nsid w:val="E4B973"/>
    <w:multiLevelType w:val="hybridMultilevel"/>
    <w:lvl w:ilvl="0">
      <w:lvlJc w:val="left"/>
      <w:lvlText w:val="(%1)"/>
      <w:numFmt w:val="lowerRoman"/>
      <w:start w:val="1"/>
    </w:lvl>
  </w:abstractNum>
  <w:abstractNum w:abstractNumId="359">
    <w:nsid w:val="4A0FFA11"/>
    <w:multiLevelType w:val="hybridMultilevel"/>
    <w:lvl w:ilvl="0">
      <w:lvlJc w:val="left"/>
      <w:lvlText w:val="%1."/>
      <w:numFmt w:val="lowerRoman"/>
      <w:start w:val="1"/>
    </w:lvl>
    <w:lvl w:ilvl="1">
      <w:lvlJc w:val="left"/>
      <w:lvlText w:val="%2."/>
      <w:numFmt w:val="lowerRoman"/>
      <w:start w:val="2"/>
    </w:lvl>
  </w:abstractNum>
  <w:abstractNum w:abstractNumId="360">
    <w:nsid w:val="5E44620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361">
    <w:nsid w:val="5F3272DB"/>
    <w:multiLevelType w:val="hybridMultilevel"/>
    <w:lvl w:ilvl="0">
      <w:lvlJc w:val="left"/>
      <w:lvlText w:val="%1."/>
      <w:numFmt w:val="lowerRoman"/>
      <w:start w:val="5"/>
    </w:lvl>
    <w:lvl w:ilvl="1">
      <w:lvlJc w:val="left"/>
      <w:lvlText w:val="%2."/>
      <w:numFmt w:val="lowerRoman"/>
      <w:start w:val="6"/>
    </w:lvl>
    <w:lvl w:ilvl="2">
      <w:lvlJc w:val="left"/>
      <w:lvlText w:val="%3"/>
      <w:numFmt w:val="lowerRoman"/>
      <w:start w:val="1"/>
    </w:lvl>
    <w:lvl w:ilvl="3">
      <w:lvlJc w:val="left"/>
      <w:lvlText w:val="%4."/>
      <w:numFmt w:val="lowerRoman"/>
      <w:start w:val="7"/>
    </w:lvl>
  </w:abstractNum>
  <w:abstractNum w:abstractNumId="362">
    <w:nsid w:val="7616D704"/>
    <w:multiLevelType w:val="hybridMultilevel"/>
    <w:lvl w:ilvl="0">
      <w:lvlJc w:val="left"/>
      <w:lvlText w:val="%1."/>
      <w:numFmt w:val="lowerRoman"/>
      <w:start w:val="9"/>
    </w:lvl>
  </w:abstractNum>
  <w:abstractNum w:abstractNumId="363">
    <w:nsid w:val="C56F860"/>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lvl w:ilvl="3">
      <w:lvlJc w:val="left"/>
      <w:lvlText w:val="%4."/>
      <w:numFmt w:val="lowerRoman"/>
      <w:start w:val="3"/>
    </w:lvl>
  </w:abstractNum>
  <w:abstractNum w:abstractNumId="364">
    <w:nsid w:val="64D17722"/>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365">
    <w:nsid w:val="7924CA0A"/>
    <w:multiLevelType w:val="hybridMultilevel"/>
    <w:lvl w:ilvl="0">
      <w:lvlJc w:val="left"/>
      <w:lvlText w:val="%1."/>
      <w:numFmt w:val="lowerRoman"/>
      <w:start w:val="6"/>
    </w:lvl>
    <w:lvl w:ilvl="1">
      <w:lvlJc w:val="left"/>
      <w:lvlText w:val="%2."/>
      <w:numFmt w:val="lowerRoman"/>
      <w:start w:val="7"/>
    </w:lvl>
  </w:abstractNum>
  <w:abstractNum w:abstractNumId="366">
    <w:nsid w:val="CFD4EA7"/>
    <w:multiLevelType w:val="hybridMultilevel"/>
    <w:lvl w:ilvl="0">
      <w:lvlJc w:val="left"/>
      <w:lvlText w:val="%1."/>
      <w:numFmt w:val="lowerRoman"/>
      <w:start w:val="1"/>
    </w:lvl>
  </w:abstractNum>
  <w:abstractNum w:abstractNumId="367">
    <w:nsid w:val="232FCF4D"/>
    <w:multiLevelType w:val="hybridMultilevel"/>
    <w:lvl w:ilvl="0">
      <w:lvlJc w:val="left"/>
      <w:lvlText w:val="%1."/>
      <w:numFmt w:val="lowerRoman"/>
      <w:start w:val="5"/>
    </w:lvl>
    <w:lvl w:ilvl="1">
      <w:lvlJc w:val="left"/>
      <w:lvlText w:val="%2."/>
      <w:numFmt w:val="lowerRoman"/>
      <w:start w:val="1"/>
    </w:lvl>
  </w:abstractNum>
  <w:abstractNum w:abstractNumId="368">
    <w:nsid w:val="1EA21031"/>
    <w:multiLevelType w:val="hybridMultilevel"/>
    <w:lvl w:ilvl="0">
      <w:lvlJc w:val="left"/>
      <w:lvlText w:val="%1"/>
      <w:numFmt w:val="lowerRoman"/>
      <w:start w:val="1"/>
    </w:lvl>
    <w:lvl w:ilvl="1">
      <w:lvlJc w:val="left"/>
      <w:lvlText w:val="(%2)"/>
      <w:numFmt w:val="lowerLetter"/>
      <w:start w:val="1"/>
    </w:lvl>
  </w:abstractNum>
  <w:abstractNum w:abstractNumId="369">
    <w:nsid w:val="67A5A6B5"/>
    <w:multiLevelType w:val="hybridMultilevel"/>
    <w:lvl w:ilvl="0">
      <w:lvlJc w:val="left"/>
      <w:lvlText w:val="%1"/>
      <w:numFmt w:val="lowerRoman"/>
      <w:start w:val="1"/>
    </w:lvl>
    <w:lvl w:ilvl="1">
      <w:lvlJc w:val="left"/>
      <w:lvlText w:val="(%2)"/>
      <w:numFmt w:val="lowerLetter"/>
      <w:start w:val="9"/>
    </w:lvl>
  </w:abstractNum>
  <w:abstractNum w:abstractNumId="370">
    <w:nsid w:val="C2A5C5B"/>
    <w:multiLevelType w:val="hybridMultilevel"/>
    <w:lvl w:ilvl="0">
      <w:lvlJc w:val="left"/>
      <w:lvlText w:val="(%1)"/>
      <w:numFmt w:val="lowerRoman"/>
      <w:start w:val="2"/>
    </w:lvl>
    <w:lvl w:ilvl="1">
      <w:lvlJc w:val="left"/>
      <w:lvlText w:val="%2"/>
      <w:numFmt w:val="lowerLetter"/>
      <w:start w:val="1"/>
    </w:lvl>
  </w:abstractNum>
  <w:abstractNum w:abstractNumId="371">
    <w:nsid w:val="5F94DC03"/>
    <w:multiLevelType w:val="hybridMultilevel"/>
    <w:lvl w:ilvl="0">
      <w:lvlJc w:val="left"/>
      <w:lvlText w:val="%1."/>
      <w:numFmt w:val="lowerLetter"/>
      <w:start w:val="1"/>
    </w:lvl>
  </w:abstractNum>
  <w:abstractNum w:abstractNumId="372">
    <w:nsid w:val="237BBCA0"/>
    <w:multiLevelType w:val="hybridMultilevel"/>
    <w:lvl w:ilvl="0">
      <w:lvlJc w:val="left"/>
      <w:lvlText w:val="(%1)"/>
      <w:numFmt w:val="lowerRoman"/>
      <w:start w:val="1"/>
    </w:lvl>
    <w:lvl w:ilvl="1">
      <w:lvlJc w:val="left"/>
      <w:lvlText w:val="(%2)"/>
      <w:numFmt w:val="decimal"/>
      <w:start w:val="1"/>
    </w:lvl>
  </w:abstractNum>
  <w:abstractNum w:abstractNumId="373">
    <w:nsid w:val="162EB70D"/>
    <w:multiLevelType w:val="hybridMultilevel"/>
    <w:lvl w:ilvl="0">
      <w:lvlJc w:val="left"/>
      <w:lvlText w:val="(%1)"/>
      <w:numFmt w:val="decimal"/>
      <w:start w:val="4"/>
    </w:lvl>
  </w:abstractNum>
  <w:abstractNum w:abstractNumId="374">
    <w:nsid w:val="78070222"/>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4"/>
    </w:lvl>
    <w:lvl w:ilvl="3">
      <w:lvlJc w:val="left"/>
      <w:lvlText w:val="%4."/>
      <w:numFmt w:val="lowerRoman"/>
      <w:start w:val="6"/>
    </w:lvl>
  </w:abstractNum>
  <w:abstractNum w:abstractNumId="375">
    <w:nsid w:val="6163ED0D"/>
    <w:multiLevelType w:val="hybridMultilevel"/>
    <w:lvl w:ilvl="0">
      <w:lvlJc w:val="left"/>
      <w:lvlText w:val="%1"/>
      <w:numFmt w:val="lowerLetter"/>
      <w:start w:val="1"/>
    </w:lvl>
    <w:lvl w:ilvl="1">
      <w:lvlJc w:val="left"/>
      <w:lvlText w:val="(%2)"/>
      <w:numFmt w:val="lowerLetter"/>
      <w:start w:val="1"/>
    </w:lvl>
  </w:abstractNum>
  <w:abstractNum w:abstractNumId="376">
    <w:nsid w:val="C600E47"/>
    <w:multiLevelType w:val="hybridMultilevel"/>
    <w:lvl w:ilvl="0">
      <w:lvlJc w:val="left"/>
      <w:lvlText w:val="(%1)"/>
      <w:numFmt w:val="lowerLetter"/>
      <w:start w:val="35"/>
    </w:lvl>
    <w:lvl w:ilvl="1">
      <w:lvlJc w:val="left"/>
      <w:lvlText w:val="(%2)"/>
      <w:numFmt w:val="lowerLetter"/>
      <w:start w:val="3"/>
    </w:lvl>
  </w:abstractNum>
  <w:abstractNum w:abstractNumId="377">
    <w:nsid w:val="7D94F75D"/>
    <w:multiLevelType w:val="hybridMultilevel"/>
    <w:lvl w:ilvl="0">
      <w:lvlJc w:val="left"/>
      <w:lvlText w:val="(%1)"/>
      <w:numFmt w:val="lowerRoman"/>
      <w:start w:val="8"/>
    </w:lvl>
  </w:abstractNum>
  <w:abstractNum w:abstractNumId="378">
    <w:nsid w:val="6C31E7CD"/>
    <w:multiLevelType w:val="hybridMultilevel"/>
    <w:lvl w:ilvl="0">
      <w:lvlJc w:val="left"/>
      <w:lvlText w:val="(%1)"/>
      <w:numFmt w:val="lowerRoman"/>
      <w:start w:val="14"/>
    </w:lvl>
    <w:lvl w:ilvl="1">
      <w:lvlJc w:val="left"/>
      <w:lvlText w:val="%2"/>
      <w:numFmt w:val="lowerLetter"/>
      <w:start w:val="1"/>
    </w:lvl>
  </w:abstractNum>
  <w:abstractNum w:abstractNumId="379">
    <w:nsid w:val="2BB7929B"/>
    <w:multiLevelType w:val="hybridMultilevel"/>
    <w:lvl w:ilvl="0">
      <w:lvlJc w:val="left"/>
      <w:lvlText w:val="(%1)"/>
      <w:numFmt w:val="lowerRoman"/>
      <w:start w:val="18"/>
    </w:lvl>
    <w:lvl w:ilvl="1">
      <w:lvlJc w:val="left"/>
      <w:lvlText w:val="%2."/>
      <w:numFmt w:val="lowerLetter"/>
      <w:start w:val="1"/>
    </w:lvl>
  </w:abstractNum>
  <w:abstractNum w:abstractNumId="380">
    <w:nsid w:val="58A2A487"/>
    <w:multiLevelType w:val="hybridMultilevel"/>
    <w:lvl w:ilvl="0">
      <w:lvlJc w:val="left"/>
      <w:lvlText w:val="%1"/>
      <w:numFmt w:val="lowerLetter"/>
      <w:start w:val="1"/>
    </w:lvl>
    <w:lvl w:ilvl="1">
      <w:lvlJc w:val="left"/>
      <w:lvlText w:val="(%2)"/>
      <w:numFmt w:val="lowerLetter"/>
      <w:start w:val="1"/>
    </w:lvl>
  </w:abstractNum>
  <w:abstractNum w:abstractNumId="381">
    <w:nsid w:val="3A6F0E78"/>
    <w:multiLevelType w:val="hybridMultilevel"/>
    <w:lvl w:ilvl="0">
      <w:lvlJc w:val="left"/>
      <w:lvlText w:val="(%1)"/>
      <w:numFmt w:val="lowerLetter"/>
      <w:start w:val="2"/>
    </w:lvl>
    <w:lvl w:ilvl="1">
      <w:lvlJc w:val="left"/>
      <w:lvlText w:val="(%2)"/>
      <w:numFmt w:val="lowerLetter"/>
      <w:start w:val="3"/>
    </w:lvl>
  </w:abstractNum>
  <w:abstractNum w:abstractNumId="382">
    <w:nsid w:val="379A5B56"/>
    <w:multiLevelType w:val="hybridMultilevel"/>
    <w:lvl w:ilvl="0">
      <w:lvlJc w:val="left"/>
      <w:lvlText w:val="%1"/>
      <w:numFmt w:val="upperLetter"/>
      <w:start w:val="1"/>
    </w:lvl>
    <w:lvl w:ilvl="1">
      <w:lvlJc w:val="left"/>
      <w:lvlText w:val="%2."/>
      <w:numFmt w:val="lowerLetter"/>
      <w:start w:val="1"/>
    </w:lvl>
  </w:abstractNum>
  <w:abstractNum w:abstractNumId="383">
    <w:nsid w:val="53B735D5"/>
    <w:multiLevelType w:val="hybridMultilevel"/>
    <w:lvl w:ilvl="0">
      <w:lvlJc w:val="left"/>
      <w:lvlText w:val="(%1)"/>
      <w:numFmt w:val="upperLetter"/>
      <w:start w:val="2"/>
    </w:lvl>
    <w:lvl w:ilvl="1">
      <w:lvlJc w:val="left"/>
      <w:lvlText w:val="%2."/>
      <w:numFmt w:val="lowerLetter"/>
      <w:start w:val="3"/>
    </w:lvl>
  </w:abstractNum>
  <w:abstractNum w:abstractNumId="384">
    <w:nsid w:val="29784870"/>
    <w:multiLevelType w:val="hybridMultilevel"/>
    <w:lvl w:ilvl="0">
      <w:lvlJc w:val="left"/>
      <w:lvlText w:val="%1."/>
      <w:numFmt w:val="lowerLetter"/>
      <w:start w:val="4"/>
    </w:lvl>
    <w:lvl w:ilvl="1">
      <w:lvlJc w:val="left"/>
      <w:lvlText w:val="(%2)"/>
      <w:numFmt w:val="lowerRoman"/>
      <w:start w:val="2"/>
    </w:lvl>
  </w:abstractNum>
  <w:abstractNum w:abstractNumId="385">
    <w:nsid w:val="4CDCED4C"/>
    <w:multiLevelType w:val="hybridMultilevel"/>
    <w:lvl w:ilvl="0">
      <w:lvlJc w:val="left"/>
      <w:lvlText w:val="(%1)"/>
      <w:numFmt w:val="decimal"/>
      <w:start w:val="60"/>
    </w:lvl>
    <w:lvl w:ilvl="1">
      <w:lvlJc w:val="left"/>
      <w:lvlText w:val="%2."/>
      <w:numFmt w:val="lowerLetter"/>
      <w:start w:val="1"/>
    </w:lvl>
  </w:abstractNum>
  <w:abstractNum w:abstractNumId="386">
    <w:nsid w:val="10A30D9C"/>
    <w:multiLevelType w:val="hybridMultilevel"/>
    <w:lvl w:ilvl="0">
      <w:lvlJc w:val="left"/>
      <w:lvlText w:val="(%1)"/>
      <w:numFmt w:val="lowerRoman"/>
      <w:start w:val="10"/>
    </w:lvl>
    <w:lvl w:ilvl="1">
      <w:lvlJc w:val="left"/>
      <w:lvlText w:val="(%2)"/>
      <w:numFmt w:val="lowerRoman"/>
    </w:lvl>
    <w:lvl w:ilvl="2">
      <w:lvlJc w:val="left"/>
      <w:lvlText w:val="(%3)"/>
      <w:numFmt w:val="decimal"/>
      <w:start w:val="1"/>
    </w:lvl>
  </w:abstractNum>
  <w:abstractNum w:abstractNumId="387">
    <w:nsid w:val="A66E486"/>
    <w:multiLevelType w:val="hybridMultilevel"/>
    <w:lvl w:ilvl="0">
      <w:lvlJc w:val="left"/>
      <w:lvlText w:val="%1"/>
      <w:numFmt w:val="lowerLetter"/>
      <w:start w:val="1"/>
    </w:lvl>
    <w:lvl w:ilvl="1">
      <w:lvlJc w:val="left"/>
      <w:lvlText w:val="%2."/>
      <w:numFmt w:val="decimal"/>
      <w:start w:val="1"/>
    </w:lvl>
  </w:abstractNum>
  <w:abstractNum w:abstractNumId="388">
    <w:nsid w:val="306235EA"/>
    <w:multiLevelType w:val="hybridMultilevel"/>
    <w:lvl w:ilvl="0">
      <w:lvlJc w:val="left"/>
      <w:lvlText w:val="(%1)"/>
      <w:numFmt w:val="lowerLetter"/>
      <w:start w:val="1"/>
    </w:lvl>
    <w:lvl w:ilvl="1">
      <w:lvlJc w:val="left"/>
      <w:lvlText w:val="%2"/>
      <w:numFmt w:val="decimal"/>
      <w:start w:val="1"/>
    </w:lvl>
  </w:abstractNum>
  <w:abstractNum w:abstractNumId="389">
    <w:nsid w:val="1187C70F"/>
    <w:multiLevelType w:val="hybridMultilevel"/>
    <w:lvl w:ilvl="0">
      <w:lvlJc w:val="left"/>
      <w:lvlText w:val="%1."/>
      <w:numFmt w:val="lowerRoman"/>
      <w:start w:val="1"/>
    </w:lvl>
  </w:abstractNum>
  <w:abstractNum w:abstractNumId="390">
    <w:nsid w:val="5476DE98"/>
    <w:multiLevelType w:val="hybridMultilevel"/>
    <w:lvl w:ilvl="0">
      <w:lvlJc w:val="left"/>
      <w:lvlText w:val="%1."/>
      <w:numFmt w:val="lowerRoman"/>
      <w:start w:val="3"/>
    </w:lvl>
  </w:abstractNum>
  <w:abstractNum w:abstractNumId="391">
    <w:nsid w:val="EA697F2"/>
    <w:multiLevelType w:val="hybridMultilevel"/>
    <w:lvl w:ilvl="0">
      <w:lvlJc w:val="left"/>
      <w:lvlText w:val="(%1)"/>
      <w:numFmt w:val="lowerLetter"/>
      <w:start w:val="1"/>
    </w:lvl>
  </w:abstractNum>
  <w:abstractNum w:abstractNumId="392">
    <w:nsid w:val="70BA39EB"/>
    <w:multiLevelType w:val="hybridMultilevel"/>
    <w:lvl w:ilvl="0">
      <w:lvlJc w:val="left"/>
      <w:lvlText w:val="(%1)"/>
      <w:numFmt w:val="lowerLetter"/>
      <w:start w:val="1"/>
    </w:lvl>
  </w:abstractNum>
  <w:abstractNum w:abstractNumId="393">
    <w:nsid w:val="4A8DB59C"/>
    <w:multiLevelType w:val="hybridMultilevel"/>
    <w:lvl w:ilvl="0">
      <w:lvlJc w:val="left"/>
      <w:lvlText w:val="%1."/>
      <w:numFmt w:val="lowerLetter"/>
      <w:start w:val="1"/>
    </w:lvl>
  </w:abstractNum>
  <w:abstractNum w:abstractNumId="394">
    <w:nsid w:val="1AFD9053"/>
    <w:multiLevelType w:val="hybridMultilevel"/>
    <w:lvl w:ilvl="0">
      <w:lvlJc w:val="left"/>
      <w:lvlText w:val="(%1)"/>
      <w:numFmt w:val="lowerLetter"/>
      <w:start w:val="1"/>
    </w:lvl>
  </w:abstractNum>
  <w:abstractNum w:abstractNumId="395">
    <w:nsid w:val="558BB10D"/>
    <w:multiLevelType w:val="hybridMultilevel"/>
    <w:lvl w:ilvl="0">
      <w:lvlJc w:val="left"/>
      <w:lvlText w:val="%1."/>
      <w:numFmt w:val="lowerRoman"/>
      <w:start w:val="1"/>
    </w:lvl>
  </w:abstractNum>
  <w:abstractNum w:abstractNumId="396">
    <w:nsid w:val="43B27FA7"/>
    <w:multiLevelType w:val="hybridMultilevel"/>
    <w:lvl w:ilvl="0">
      <w:lvlJc w:val="left"/>
      <w:lvlText w:val="%1."/>
      <w:numFmt w:val="lowerRoman"/>
      <w:start w:val="1"/>
    </w:lvl>
  </w:abstractNum>
  <w:abstractNum w:abstractNumId="397">
    <w:nsid w:val="27FADEFA"/>
    <w:multiLevelType w:val="hybridMultilevel"/>
    <w:lvl w:ilvl="0">
      <w:lvlJc w:val="left"/>
      <w:lvlText w:val="%1"/>
      <w:numFmt w:val="lowerLetter"/>
      <w:start w:val="1"/>
    </w:lvl>
    <w:lvl w:ilvl="1">
      <w:lvlJc w:val="left"/>
      <w:lvlText w:val="(%2)"/>
      <w:numFmt w:val="lowerRoman"/>
      <w:start w:val="1"/>
    </w:lvl>
  </w:abstractNum>
  <w:abstractNum w:abstractNumId="398">
    <w:nsid w:val="78BB805A"/>
    <w:multiLevelType w:val="hybridMultilevel"/>
    <w:lvl w:ilvl="0">
      <w:lvlJc w:val="left"/>
      <w:lvlText w:val="(%1)"/>
      <w:numFmt w:val="lowerLetter"/>
      <w:start w:val="7"/>
    </w:lvl>
    <w:lvl w:ilvl="1">
      <w:lvlJc w:val="left"/>
      <w:lvlText w:val="(%2)"/>
      <w:numFmt w:val="lowerRoman"/>
      <w:start w:val="4"/>
    </w:lvl>
  </w:abstractNum>
  <w:abstractNum w:abstractNumId="399">
    <w:nsid w:val="62548FD8"/>
    <w:multiLevelType w:val="hybridMultilevel"/>
    <w:lvl w:ilvl="0">
      <w:lvlJc w:val="left"/>
      <w:lvlText w:val="(%1)"/>
      <w:numFmt w:val="lowerLetter"/>
      <w:start w:val="2"/>
    </w:lvl>
  </w:abstractNum>
  <w:abstractNum w:abstractNumId="400">
    <w:nsid w:val="FA085B0"/>
    <w:multiLevelType w:val="hybridMultilevel"/>
    <w:lvl w:ilvl="0">
      <w:lvlJc w:val="left"/>
      <w:lvlText w:val="%1"/>
      <w:numFmt w:val="lowerRoman"/>
      <w:start w:val="1"/>
    </w:lvl>
    <w:lvl w:ilvl="1">
      <w:lvlJc w:val="left"/>
      <w:lvlText w:val="(%2)"/>
      <w:numFmt w:val="lowerRoman"/>
      <w:start w:val="1"/>
    </w:lvl>
  </w:abstractNum>
  <w:abstractNum w:abstractNumId="401">
    <w:nsid w:val="4E5DCB5"/>
    <w:multiLevelType w:val="hybridMultilevel"/>
    <w:lvl w:ilvl="0">
      <w:lvlJc w:val="left"/>
      <w:lvlText w:val="(%1)"/>
      <w:numFmt w:val="lowerRoman"/>
      <w:start w:val="3"/>
    </w:lvl>
    <w:lvl w:ilvl="1">
      <w:lvlJc w:val="left"/>
      <w:lvlText w:val="%2"/>
      <w:numFmt w:val="lowerRoman"/>
      <w:start w:val="1"/>
    </w:lvl>
  </w:abstractNum>
  <w:abstractNum w:abstractNumId="402">
    <w:nsid w:val="41E96BDB"/>
    <w:multiLevelType w:val="hybridMultilevel"/>
    <w:lvl w:ilvl="0">
      <w:lvlJc w:val="left"/>
      <w:lvlText w:val="(%1)"/>
      <w:numFmt w:val="lowerRoman"/>
      <w:start w:val="4"/>
    </w:lvl>
  </w:abstractNum>
  <w:abstractNum w:abstractNumId="403">
    <w:nsid w:val="331C4250"/>
    <w:multiLevelType w:val="hybridMultilevel"/>
    <w:lvl w:ilvl="0">
      <w:lvlJc w:val="left"/>
      <w:lvlText w:val="%1"/>
      <w:numFmt w:val="lowerRoman"/>
      <w:start w:val="1"/>
    </w:lvl>
    <w:lvl w:ilvl="1">
      <w:lvlJc w:val="left"/>
      <w:lvlText w:val="%2."/>
      <w:numFmt w:val="lowerRoman"/>
      <w:start w:val="1"/>
    </w:lvl>
  </w:abstractNum>
  <w:abstractNum w:abstractNumId="404">
    <w:nsid w:val="1B1493C2"/>
    <w:multiLevelType w:val="hybridMultilevel"/>
    <w:lvl w:ilvl="0">
      <w:lvlJc w:val="left"/>
      <w:lvlText w:val="%1."/>
      <w:numFmt w:val="lowerRoman"/>
      <w:start w:val="4"/>
    </w:lvl>
    <w:lvl w:ilvl="1">
      <w:lvlJc w:val="left"/>
      <w:lvlText w:val="%2"/>
      <w:numFmt w:val="lowerRoman"/>
      <w:start w:val="1"/>
    </w:lvl>
  </w:abstractNum>
  <w:abstractNum w:abstractNumId="405">
    <w:nsid w:val="39F06DFD"/>
    <w:multiLevelType w:val="hybridMultilevel"/>
    <w:lvl w:ilvl="0">
      <w:lvlJc w:val="left"/>
      <w:lvlText w:val="(%1)"/>
      <w:numFmt w:val="lowerRoman"/>
      <w:start w:val="2"/>
    </w:lvl>
  </w:abstractNum>
  <w:abstractNum w:abstractNumId="406">
    <w:nsid w:val="14802F5D"/>
    <w:multiLevelType w:val="hybridMultilevel"/>
    <w:lvl w:ilvl="0">
      <w:lvlJc w:val="left"/>
      <w:lvlText w:val="(%1)"/>
      <w:numFmt w:val="lowerRoman"/>
      <w:start w:val="4"/>
    </w:lvl>
  </w:abstractNum>
  <w:abstractNum w:abstractNumId="407">
    <w:nsid w:val="2774A209"/>
    <w:multiLevelType w:val="hybridMultilevel"/>
    <w:lvl w:ilvl="0">
      <w:lvlJc w:val="left"/>
      <w:lvlText w:val="(%1)"/>
      <w:numFmt w:val="lowerLetter"/>
      <w:start w:val="2"/>
    </w:lvl>
  </w:abstractNum>
  <w:abstractNum w:abstractNumId="408">
    <w:nsid w:val="3785655A"/>
    <w:multiLevelType w:val="hybridMultilevel"/>
    <w:lvl w:ilvl="0">
      <w:lvlJc w:val="left"/>
      <w:lvlText w:val="(%1)"/>
      <w:numFmt w:val="upperLetter"/>
      <w:start w:val="2"/>
    </w:lvl>
  </w:abstractNum>
  <w:abstractNum w:abstractNumId="409">
    <w:nsid w:val="B2172A"/>
    <w:multiLevelType w:val="hybridMultilevel"/>
    <w:lvl w:ilvl="0">
      <w:lvlJc w:val="left"/>
      <w:lvlText w:val="%1."/>
      <w:numFmt w:val="lowerLetter"/>
      <w:start w:val="1"/>
    </w:lvl>
  </w:abstractNum>
  <w:abstractNum w:abstractNumId="410">
    <w:nsid w:val="532C34A5"/>
    <w:multiLevelType w:val="hybridMultilevel"/>
    <w:lvl w:ilvl="0">
      <w:lvlJc w:val="left"/>
      <w:lvlText w:val="(%1)"/>
      <w:numFmt w:val="lowerRoman"/>
      <w:start w:val="1"/>
    </w:lvl>
  </w:abstractNum>
  <w:abstractNum w:abstractNumId="411">
    <w:nsid w:val="102809E2"/>
    <w:multiLevelType w:val="hybridMultilevel"/>
    <w:lvl w:ilvl="0">
      <w:lvlJc w:val="left"/>
      <w:lvlText w:val="%1"/>
      <w:numFmt w:val="upperLetter"/>
      <w:start w:val="35"/>
    </w:lvl>
    <w:lvl w:ilvl="1">
      <w:lvlJc w:val="left"/>
      <w:lvlText w:val="%2."/>
      <w:numFmt w:val="lowerRoman"/>
      <w:start w:val="1"/>
    </w:lvl>
  </w:abstractNum>
  <w:abstractNum w:abstractNumId="412">
    <w:nsid w:val="3B2125A3"/>
    <w:multiLevelType w:val="hybridMultilevel"/>
    <w:lvl w:ilvl="0">
      <w:lvlJc w:val="left"/>
      <w:lvlText w:val="(%1)"/>
      <w:numFmt w:val="lowerRoman"/>
      <w:start w:val="2"/>
    </w:lvl>
    <w:lvl w:ilvl="1">
      <w:lvlJc w:val="left"/>
      <w:lvlText w:val="%2."/>
      <w:numFmt w:val="lowerRoman"/>
      <w:start w:val="1"/>
    </w:lvl>
  </w:abstractNum>
  <w:abstractNum w:abstractNumId="413">
    <w:nsid w:val="AC68FFB"/>
    <w:multiLevelType w:val="hybridMultilevel"/>
    <w:lvl w:ilvl="0">
      <w:lvlJc w:val="left"/>
      <w:lvlText w:val="%1."/>
      <w:numFmt w:val="lowerRoman"/>
      <w:start w:val="4"/>
    </w:lvl>
  </w:abstractNum>
  <w:abstractNum w:abstractNumId="414">
    <w:nsid w:val="63DF3FB7"/>
    <w:multiLevelType w:val="hybridMultilevel"/>
    <w:lvl w:ilvl="0">
      <w:lvlJc w:val="left"/>
      <w:lvlText w:val="(%1)"/>
      <w:numFmt w:val="lowerLetter"/>
      <w:start w:val="25"/>
    </w:lvl>
  </w:abstractNum>
  <w:abstractNum w:abstractNumId="415">
    <w:nsid w:val="64996E13"/>
    <w:multiLevelType w:val="hybridMultilevel"/>
    <w:lvl w:ilvl="0">
      <w:lvlJc w:val="left"/>
      <w:lvlText w:val="%1."/>
      <w:numFmt w:val="lowerLetter"/>
      <w:start w:val="9"/>
    </w:lvl>
    <w:lvl w:ilvl="1">
      <w:lvlJc w:val="left"/>
      <w:lvlText w:val="%2."/>
      <w:numFmt w:val="lowerLetter"/>
    </w:lvl>
    <w:lvl w:ilvl="2">
      <w:lvlJc w:val="left"/>
      <w:lvlText w:val="%3."/>
      <w:numFmt w:val="lowerLetter"/>
      <w:start w:val="3"/>
    </w:lvl>
    <w:lvl w:ilvl="3">
      <w:lvlJc w:val="left"/>
      <w:lvlText w:val="(%4)"/>
      <w:numFmt w:val="lowerLetter"/>
      <w:start w:val="2"/>
    </w:lvl>
  </w:abstractNum>
  <w:abstractNum w:abstractNumId="416">
    <w:nsid w:val="57A37D47"/>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4."/>
      <w:numFmt w:val="decimal"/>
      <w:start w:val="2"/>
    </w:lvl>
  </w:abstractNum>
  <w:abstractNum w:abstractNumId="417">
    <w:nsid w:val="74824D54"/>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418">
    <w:nsid w:val="6F00529A"/>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419">
    <w:nsid w:val="805B331"/>
    <w:multiLevelType w:val="hybridMultilevel"/>
    <w:lvl w:ilvl="0">
      <w:lvlJc w:val="left"/>
      <w:lvlText w:val="(%1)"/>
      <w:numFmt w:val="lowerLetter"/>
      <w:start w:val="3"/>
    </w:lvl>
  </w:abstractNum>
  <w:abstractNum w:abstractNumId="420">
    <w:nsid w:val="60A1463"/>
    <w:multiLevelType w:val="hybridMultilevel"/>
    <w:lvl w:ilvl="0">
      <w:lvlJc w:val="left"/>
      <w:lvlText w:val="(%1)"/>
      <w:numFmt w:val="lowerLetter"/>
      <w:start w:val="3"/>
    </w:lvl>
  </w:abstractNum>
  <w:abstractNum w:abstractNumId="421">
    <w:nsid w:val="43773132"/>
    <w:multiLevelType w:val="hybridMultilevel"/>
    <w:lvl w:ilvl="0">
      <w:lvlJc w:val="left"/>
      <w:lvlText w:val="%1."/>
      <w:numFmt w:val="lowerLetter"/>
      <w:start w:val="1"/>
    </w:lvl>
  </w:abstractNum>
  <w:abstractNum w:abstractNumId="422">
    <w:nsid w:val="16AC4B23"/>
    <w:multiLevelType w:val="hybridMultilevel"/>
    <w:lvl w:ilvl="0">
      <w:lvlJc w:val="left"/>
      <w:lvlText w:val="%1."/>
      <w:numFmt w:val="lowerLetter"/>
      <w:start w:val="1"/>
    </w:lvl>
  </w:abstractNum>
  <w:abstractNum w:abstractNumId="423">
    <w:nsid w:val="76C44E4E"/>
    <w:multiLevelType w:val="hybridMultilevel"/>
    <w:lvl w:ilvl="0">
      <w:lvlJc w:val="left"/>
      <w:lvlText w:val="%1."/>
      <w:numFmt w:val="lowerLetter"/>
      <w:start w:val="1"/>
    </w:lvl>
  </w:abstractNum>
  <w:abstractNum w:abstractNumId="424">
    <w:nsid w:val="E04E6CE"/>
    <w:multiLevelType w:val="hybridMultilevel"/>
    <w:lvl w:ilvl="0">
      <w:lvlJc w:val="left"/>
      <w:lvlText w:val="%1"/>
      <w:numFmt w:val="lowerLetter"/>
      <w:start w:val="1"/>
    </w:lvl>
    <w:lvl w:ilvl="1">
      <w:lvlJc w:val="left"/>
      <w:lvlText w:val="(%2)"/>
      <w:numFmt w:val="lowerRoman"/>
      <w:start w:val="1"/>
    </w:lvl>
  </w:abstractNum>
  <w:abstractNum w:abstractNumId="425">
    <w:nsid w:val="31A9DB76"/>
    <w:multiLevelType w:val="hybridMultilevel"/>
    <w:lvl w:ilvl="0">
      <w:lvlJc w:val="left"/>
      <w:lvlText w:val="(%1)"/>
      <w:numFmt w:val="lowerLetter"/>
      <w:start w:val="2"/>
    </w:lvl>
    <w:lvl w:ilvl="1">
      <w:lvlJc w:val="left"/>
      <w:lvlText w:val="%2"/>
      <w:numFmt w:val="lowerRoman"/>
      <w:start w:val="1"/>
    </w:lvl>
  </w:abstractNum>
  <w:abstractNum w:abstractNumId="426">
    <w:nsid w:val="4C4FFF5B"/>
    <w:multiLevelType w:val="hybridMultilevel"/>
    <w:lvl w:ilvl="0">
      <w:lvlJc w:val="left"/>
      <w:lvlText w:val="%1."/>
      <w:numFmt w:val="lowerRoman"/>
      <w:start w:val="1"/>
    </w:lvl>
    <w:lvl w:ilvl="1">
      <w:lvlJc w:val="left"/>
      <w:lvlText w:val="(%2)"/>
      <w:numFmt w:val="lowerRoman"/>
      <w:start w:val="1"/>
    </w:lvl>
  </w:abstractNum>
  <w:abstractNum w:abstractNumId="427">
    <w:nsid w:val="51B76675"/>
    <w:multiLevelType w:val="hybridMultilevel"/>
    <w:lvl w:ilvl="0">
      <w:lvlJc w:val="left"/>
      <w:lvlText w:val="%1."/>
      <w:numFmt w:val="lowerRoman"/>
      <w:start w:val="12"/>
    </w:lvl>
    <w:lvl w:ilvl="1">
      <w:lvlJc w:val="left"/>
      <w:lvlText w:val="(%2)"/>
      <w:numFmt w:val="lowerRoman"/>
      <w:start w:val="1"/>
    </w:lvl>
  </w:abstractNum>
  <w:abstractNum w:abstractNumId="428">
    <w:nsid w:val="59A4BA71"/>
    <w:multiLevelType w:val="hybridMultilevel"/>
    <w:lvl w:ilvl="0">
      <w:lvlJc w:val="left"/>
      <w:lvlText w:val="%1."/>
      <w:numFmt w:val="lowerRoman"/>
      <w:start w:val="12"/>
    </w:lvl>
  </w:abstractNum>
  <w:abstractNum w:abstractNumId="429">
    <w:nsid w:val="450B7FB6"/>
    <w:multiLevelType w:val="hybridMultilevel"/>
    <w:lvl w:ilvl="0">
      <w:lvlJc w:val="left"/>
      <w:lvlText w:val="(%1)"/>
      <w:numFmt w:val="lowerLetter"/>
      <w:start w:val="1"/>
    </w:lvl>
  </w:abstractNum>
  <w:abstractNum w:abstractNumId="430">
    <w:nsid w:val="340BF64D"/>
    <w:multiLevelType w:val="hybridMultilevel"/>
    <w:lvl w:ilvl="0">
      <w:lvlJc w:val="left"/>
      <w:lvlText w:val="(%1)"/>
      <w:numFmt w:val="upperLetter"/>
      <w:start w:val="35"/>
    </w:lvl>
  </w:abstractNum>
  <w:abstractNum w:abstractNumId="431">
    <w:nsid w:val="69454021"/>
    <w:multiLevelType w:val="hybridMultilevel"/>
    <w:lvl w:ilvl="0">
      <w:lvlJc w:val="left"/>
      <w:lvlText w:val="(%1)"/>
      <w:numFmt w:val="lowerLetter"/>
      <w:start w:val="1"/>
    </w:lvl>
  </w:abstractNum>
  <w:abstractNum w:abstractNumId="432">
    <w:nsid w:val="49F15C6B"/>
    <w:multiLevelType w:val="hybridMultilevel"/>
    <w:lvl w:ilvl="0">
      <w:lvlJc w:val="left"/>
      <w:lvlText w:val="(%1)"/>
      <w:numFmt w:val="lowerLetter"/>
      <w:start w:val="1"/>
    </w:lvl>
  </w:abstractNum>
  <w:abstractNum w:abstractNumId="433">
    <w:nsid w:val="75F56228"/>
    <w:multiLevelType w:val="hybridMultilevel"/>
    <w:lvl w:ilvl="0">
      <w:lvlJc w:val="left"/>
      <w:lvlText w:val="%1."/>
      <w:numFmt w:val="decimal"/>
      <w:start w:val="1"/>
    </w:lvl>
    <w:lvl w:ilvl="1">
      <w:lvlJc w:val="left"/>
      <w:lvlText w:val="%2)"/>
      <w:numFmt w:val="lowerLetter"/>
      <w:start w:val="1"/>
    </w:lvl>
  </w:abstractNum>
  <w:abstractNum w:abstractNumId="434">
    <w:nsid w:val="1C618271"/>
    <w:multiLevelType w:val="hybridMultilevel"/>
    <w:lvl w:ilvl="0">
      <w:lvlJc w:val="left"/>
      <w:lvlText w:val="%1."/>
      <w:numFmt w:val="decimal"/>
      <w:start w:val="1"/>
    </w:lvl>
    <w:lvl w:ilvl="1">
      <w:lvlJc w:val="left"/>
      <w:lvlText w:val="%2)"/>
      <w:numFmt w:val="lowerLetter"/>
      <w:start w:val="1"/>
    </w:lvl>
  </w:abstractNum>
  <w:abstractNum w:abstractNumId="435">
    <w:nsid w:val="6505F02E"/>
    <w:multiLevelType w:val="hybridMultilevel"/>
    <w:lvl w:ilvl="0">
      <w:lvlJc w:val="left"/>
      <w:lvlText w:val="(%1)"/>
      <w:numFmt w:val="decimal"/>
      <w:start w:val="1"/>
    </w:lvl>
  </w:abstractNum>
  <w:abstractNum w:abstractNumId="436">
    <w:nsid w:val="2FE5D0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jpeg"/><Relationship Id="rId172" Type="http://schemas.openxmlformats.org/officeDocument/2006/relationships/image" Target="media/image150.jpe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84" Type="http://schemas.openxmlformats.org/officeDocument/2006/relationships/hyperlink" Target="http://www.sec.gov/Archives/edgar/data/1820721/000119312520272092/d50569dex31.htm" TargetMode="External"/><Relationship Id="rId85" Type="http://schemas.openxmlformats.org/officeDocument/2006/relationships/hyperlink" Target="http://www.sec.gov/Archives/edgar/data/1820721/000119312520272092/d50569dex32.htm" TargetMode="External"/><Relationship Id="rId86" Type="http://schemas.openxmlformats.org/officeDocument/2006/relationships/hyperlink" Target="http://www.sec.gov/Archives/edgar/data/1820721/000119312520272092/d50569dex101.htm" TargetMode="External"/><Relationship Id="rId88" Type="http://schemas.openxmlformats.org/officeDocument/2006/relationships/hyperlink" Target="http://www.sec.gov/Archives/edgar/data/1820721/000119312520272092/d50569dex102.htm" TargetMode="External"/><Relationship Id="rId89" Type="http://schemas.openxmlformats.org/officeDocument/2006/relationships/hyperlink" Target="http://www.sec.gov/Archives/edgar/data/1820721/000119312520251336/d82970dex101.htm" TargetMode="External"/><Relationship Id="rId90" Type="http://schemas.openxmlformats.org/officeDocument/2006/relationships/hyperlink" Target="http://www.sec.gov/Archives/edgar/data/1820721/000119312520251336/d82970dex103.htm" TargetMode="External"/><Relationship Id="rId91" Type="http://schemas.openxmlformats.org/officeDocument/2006/relationships/hyperlink" Target="http://www.sec.gov/Archives/edgar/data/1820721/000119312520265268/d82970dex104.htm" TargetMode="External"/><Relationship Id="rId92" Type="http://schemas.openxmlformats.org/officeDocument/2006/relationships/hyperlink" Target="http://www.sec.gov/Archives/edgar/data/1820721/000119312520251336/d82970dex105.htm" TargetMode="External"/><Relationship Id="rId93" Type="http://schemas.openxmlformats.org/officeDocument/2006/relationships/hyperlink" Target="http://www.sec.gov/Archives/edgar/data/1820721/000119312520251336/d82970dex106.htm" TargetMode="External"/><Relationship Id="rId94" Type="http://schemas.openxmlformats.org/officeDocument/2006/relationships/hyperlink" Target="http://www.sec.gov/Archives/edgar/data/1820721/000119312520251336/d82970dex107.htm" TargetMode="External"/><Relationship Id="rId95" Type="http://schemas.openxmlformats.org/officeDocument/2006/relationships/hyperlink" Target="http://www.sec.gov/Archives/edgar/data/1820721/000119312520251336/d82970dex108.htm" TargetMode="External"/><Relationship Id="rId96" Type="http://schemas.openxmlformats.org/officeDocument/2006/relationships/hyperlink" Target="http://www.sec.gov/Archives/edgar/data/1820721/000119312520251336/d82970dex109.htm" TargetMode="External"/><Relationship Id="rId97" Type="http://schemas.openxmlformats.org/officeDocument/2006/relationships/hyperlink" Target="http://www.sec.gov/Archives/edgar/data/1820721/000119312520251336/d82970dex1010.htm" TargetMode="External"/><Relationship Id="rId98" Type="http://schemas.openxmlformats.org/officeDocument/2006/relationships/hyperlink" Target="http://www.sec.gov/Archives/edgar/data/1820721/000119312520266257/d82970dex1011.htm" TargetMode="External"/><Relationship Id="rId99" Type="http://schemas.openxmlformats.org/officeDocument/2006/relationships/hyperlink" Target="https://www.sec.gov/Archives/edgar/data/0001820721/000119312521064067/d32842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2021-03-10T05:28:33Z</dcterms:created>
  <dcterms:modified xsi:type="dcterms:W3CDTF">2021-03-10T05:28:33Z</dcterms:modified>
</cp:coreProperties>
</file>