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534670</wp:posOffset>
            </wp:positionV>
            <wp:extent cx="688657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86575" cy="571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Date of Earliest Event Reported: May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179070</wp:posOffset>
            </wp:positionV>
            <wp:extent cx="714375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ARRAY TECHNOLOGIES, INC.</w:t>
      </w:r>
    </w:p>
    <w:p>
      <w:pPr>
        <w:spacing w:after="0" w:line="4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348" w:lineRule="exact"/>
        <w:rPr>
          <w:sz w:val="24"/>
          <w:szCs w:val="24"/>
          <w:color w:val="auto"/>
        </w:rPr>
      </w:pPr>
    </w:p>
    <w:tbl>
      <w:tblPr>
        <w:tblLayout w:type="fixed"/>
        <w:tblInd w:w="1060" w:type="dxa"/>
        <w:tblCellMar>
          <w:top w:w="0" w:type="dxa"/>
          <w:left w:w="0" w:type="dxa"/>
          <w:bottom w:w="0" w:type="dxa"/>
          <w:right w:w="0" w:type="dxa"/>
        </w:tblCellMar>
      </w:tblPr>
      <w:tr>
        <w:trPr>
          <w:trHeight w:val="159"/>
        </w:trPr>
        <w:tc>
          <w:tcPr>
            <w:tcW w:w="2500" w:type="dxa"/>
            <w:vAlign w:val="bottom"/>
          </w:tcPr>
          <w:p>
            <w:pPr>
              <w:jc w:val="center"/>
              <w:ind w:right="1328"/>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3620" w:type="dxa"/>
            <w:vAlign w:val="bottom"/>
          </w:tcPr>
          <w:p>
            <w:pPr>
              <w:ind w:left="1400"/>
              <w:spacing w:after="0"/>
              <w:rPr>
                <w:sz w:val="20"/>
                <w:szCs w:val="20"/>
                <w:color w:val="auto"/>
              </w:rPr>
            </w:pPr>
            <w:r>
              <w:rPr>
                <w:rFonts w:ascii="Times New Roman" w:cs="Times New Roman" w:eastAsia="Times New Roman" w:hAnsi="Times New Roman"/>
                <w:sz w:val="12"/>
                <w:szCs w:val="12"/>
                <w:b w:val="1"/>
                <w:bCs w:val="1"/>
                <w:color w:val="auto"/>
              </w:rPr>
              <w:t>001-39613</w:t>
            </w:r>
          </w:p>
        </w:tc>
        <w:tc>
          <w:tcPr>
            <w:tcW w:w="2440" w:type="dxa"/>
            <w:vAlign w:val="bottom"/>
          </w:tcPr>
          <w:p>
            <w:pPr>
              <w:jc w:val="center"/>
              <w:ind w:left="1608"/>
              <w:spacing w:after="0"/>
              <w:rPr>
                <w:sz w:val="20"/>
                <w:szCs w:val="20"/>
                <w:color w:val="auto"/>
              </w:rPr>
            </w:pPr>
            <w:r>
              <w:rPr>
                <w:rFonts w:ascii="Times New Roman" w:cs="Times New Roman" w:eastAsia="Times New Roman" w:hAnsi="Times New Roman"/>
                <w:sz w:val="12"/>
                <w:szCs w:val="12"/>
                <w:b w:val="1"/>
                <w:bCs w:val="1"/>
                <w:color w:val="auto"/>
                <w:w w:val="99"/>
              </w:rPr>
              <w:t>83-2747826</w:t>
            </w:r>
          </w:p>
        </w:tc>
      </w:tr>
      <w:tr>
        <w:trPr>
          <w:trHeight w:val="146"/>
        </w:trPr>
        <w:tc>
          <w:tcPr>
            <w:tcW w:w="2500" w:type="dxa"/>
            <w:vAlign w:val="bottom"/>
          </w:tcPr>
          <w:p>
            <w:pPr>
              <w:jc w:val="center"/>
              <w:ind w:right="1328"/>
              <w:spacing w:after="0"/>
              <w:rPr>
                <w:sz w:val="20"/>
                <w:szCs w:val="20"/>
                <w:color w:val="auto"/>
              </w:rPr>
            </w:pPr>
            <w:r>
              <w:rPr>
                <w:rFonts w:ascii="Times New Roman" w:cs="Times New Roman" w:eastAsia="Times New Roman" w:hAnsi="Times New Roman"/>
                <w:sz w:val="10"/>
                <w:szCs w:val="10"/>
                <w:b w:val="1"/>
                <w:bCs w:val="1"/>
                <w:color w:val="auto"/>
                <w:w w:val="94"/>
              </w:rPr>
              <w:t>(State or Other Jurisdiction</w:t>
            </w:r>
          </w:p>
        </w:tc>
        <w:tc>
          <w:tcPr>
            <w:tcW w:w="3620" w:type="dxa"/>
            <w:vAlign w:val="bottom"/>
          </w:tcPr>
          <w:p>
            <w:pPr>
              <w:ind w:left="1400"/>
              <w:spacing w:after="0"/>
              <w:rPr>
                <w:sz w:val="20"/>
                <w:szCs w:val="20"/>
                <w:color w:val="auto"/>
              </w:rPr>
            </w:pPr>
            <w:r>
              <w:rPr>
                <w:rFonts w:ascii="Times New Roman" w:cs="Times New Roman" w:eastAsia="Times New Roman" w:hAnsi="Times New Roman"/>
                <w:sz w:val="10"/>
                <w:szCs w:val="10"/>
                <w:b w:val="1"/>
                <w:bCs w:val="1"/>
                <w:color w:val="auto"/>
              </w:rPr>
              <w:t>(Commission</w:t>
            </w:r>
          </w:p>
        </w:tc>
        <w:tc>
          <w:tcPr>
            <w:tcW w:w="2440" w:type="dxa"/>
            <w:vAlign w:val="bottom"/>
          </w:tcPr>
          <w:p>
            <w:pPr>
              <w:jc w:val="center"/>
              <w:ind w:left="1608"/>
              <w:spacing w:after="0"/>
              <w:rPr>
                <w:sz w:val="20"/>
                <w:szCs w:val="20"/>
                <w:color w:val="auto"/>
              </w:rPr>
            </w:pPr>
            <w:r>
              <w:rPr>
                <w:rFonts w:ascii="Times New Roman" w:cs="Times New Roman" w:eastAsia="Times New Roman" w:hAnsi="Times New Roman"/>
                <w:sz w:val="10"/>
                <w:szCs w:val="10"/>
                <w:b w:val="1"/>
                <w:bCs w:val="1"/>
                <w:color w:val="auto"/>
                <w:w w:val="95"/>
              </w:rPr>
              <w:t>(IRS Employer</w:t>
            </w:r>
          </w:p>
        </w:tc>
      </w:tr>
      <w:tr>
        <w:trPr>
          <w:trHeight w:val="125"/>
        </w:trPr>
        <w:tc>
          <w:tcPr>
            <w:tcW w:w="2500" w:type="dxa"/>
            <w:vAlign w:val="bottom"/>
          </w:tcPr>
          <w:p>
            <w:pPr>
              <w:jc w:val="center"/>
              <w:ind w:right="1328"/>
              <w:spacing w:after="0"/>
              <w:rPr>
                <w:sz w:val="20"/>
                <w:szCs w:val="20"/>
                <w:color w:val="auto"/>
              </w:rPr>
            </w:pPr>
            <w:r>
              <w:rPr>
                <w:rFonts w:ascii="Times New Roman" w:cs="Times New Roman" w:eastAsia="Times New Roman" w:hAnsi="Times New Roman"/>
                <w:sz w:val="10"/>
                <w:szCs w:val="10"/>
                <w:b w:val="1"/>
                <w:bCs w:val="1"/>
                <w:color w:val="auto"/>
                <w:w w:val="97"/>
              </w:rPr>
              <w:t>of Incorporation)</w:t>
            </w:r>
          </w:p>
        </w:tc>
        <w:tc>
          <w:tcPr>
            <w:tcW w:w="3620" w:type="dxa"/>
            <w:vAlign w:val="bottom"/>
          </w:tcPr>
          <w:p>
            <w:pPr>
              <w:ind w:left="13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2440" w:type="dxa"/>
            <w:vAlign w:val="bottom"/>
          </w:tcPr>
          <w:p>
            <w:pPr>
              <w:jc w:val="center"/>
              <w:ind w:left="1628"/>
              <w:spacing w:after="0"/>
              <w:rPr>
                <w:sz w:val="20"/>
                <w:szCs w:val="20"/>
                <w:color w:val="auto"/>
              </w:rPr>
            </w:pPr>
            <w:r>
              <w:rPr>
                <w:rFonts w:ascii="Times New Roman" w:cs="Times New Roman" w:eastAsia="Times New Roman" w:hAnsi="Times New Roman"/>
                <w:sz w:val="10"/>
                <w:szCs w:val="10"/>
                <w:b w:val="1"/>
                <w:bCs w:val="1"/>
                <w:color w:val="auto"/>
                <w:w w:val="96"/>
              </w:rPr>
              <w:t>Identification No.)</w:t>
            </w:r>
          </w:p>
        </w:tc>
      </w:tr>
    </w:tbl>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3901 Midway Place NE</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Albuquerque, New Mexico 87109</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(Zip Code)</w:t>
      </w:r>
    </w:p>
    <w:p>
      <w:pPr>
        <w:spacing w:after="0" w:line="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Registrant’s telephone number, including area code: (505) 881-7567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70485</wp:posOffset>
            </wp:positionV>
            <wp:extent cx="71437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pacing w:after="0" w:line="24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222" w:lineRule="exact"/>
        <w:rPr>
          <w:sz w:val="24"/>
          <w:szCs w:val="24"/>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51"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51"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51" w:lineRule="exact"/>
        <w:rPr>
          <w:rFonts w:ascii="MS PGothic" w:cs="MS PGothic" w:eastAsia="MS PGothic" w:hAnsi="MS PGothic"/>
          <w:sz w:val="12"/>
          <w:szCs w:val="12"/>
          <w:color w:val="auto"/>
        </w:rPr>
      </w:pPr>
    </w:p>
    <w:p>
      <w:pPr>
        <w:ind w:left="400" w:hanging="396"/>
        <w:spacing w:after="0"/>
        <w:tabs>
          <w:tab w:leader="none" w:pos="40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9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73" w:lineRule="exact"/>
        <w:rPr>
          <w:sz w:val="24"/>
          <w:szCs w:val="24"/>
          <w:color w:val="auto"/>
        </w:rPr>
      </w:pPr>
    </w:p>
    <w:tbl>
      <w:tblPr>
        <w:tblLayout w:type="fixed"/>
        <w:tblInd w:w="0" w:type="dxa"/>
        <w:tblCellMar>
          <w:top w:w="0" w:type="dxa"/>
          <w:left w:w="0" w:type="dxa"/>
          <w:bottom w:w="0" w:type="dxa"/>
          <w:right w:w="0" w:type="dxa"/>
        </w:tblCellMar>
      </w:tblPr>
      <w:tr>
        <w:trPr>
          <w:trHeight w:val="115"/>
        </w:trPr>
        <w:tc>
          <w:tcPr>
            <w:tcW w:w="4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35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Name of each exchange</w:t>
            </w:r>
          </w:p>
        </w:tc>
      </w:tr>
      <w:tr>
        <w:trPr>
          <w:trHeight w:val="161"/>
        </w:trPr>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100" w:type="dxa"/>
            <w:vAlign w:val="bottom"/>
          </w:tcPr>
          <w:p>
            <w:pPr>
              <w:spacing w:after="0"/>
              <w:rPr>
                <w:sz w:val="13"/>
                <w:szCs w:val="13"/>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Symbol(s)</w:t>
            </w:r>
          </w:p>
        </w:tc>
        <w:tc>
          <w:tcPr>
            <w:tcW w:w="100" w:type="dxa"/>
            <w:vAlign w:val="bottom"/>
          </w:tcPr>
          <w:p>
            <w:pPr>
              <w:spacing w:after="0"/>
              <w:rPr>
                <w:sz w:val="13"/>
                <w:szCs w:val="13"/>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on which registered</w:t>
            </w:r>
          </w:p>
        </w:tc>
      </w:tr>
      <w:tr>
        <w:trPr>
          <w:trHeight w:val="160"/>
        </w:trPr>
        <w:tc>
          <w:tcPr>
            <w:tcW w:w="43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9"/>
              </w:rPr>
              <w:t>Common Stock, $0.001 Par Value</w:t>
            </w: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ARRY</w:t>
            </w:r>
          </w:p>
        </w:tc>
        <w:tc>
          <w:tcPr>
            <w:tcW w:w="35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Nasdaq Global Market</w:t>
            </w:r>
          </w:p>
        </w:tc>
      </w:tr>
    </w:tbl>
    <w:p>
      <w:pPr>
        <w:spacing w:after="0" w:line="70" w:lineRule="exact"/>
        <w:rPr>
          <w:sz w:val="24"/>
          <w:szCs w:val="24"/>
          <w:color w:val="auto"/>
        </w:rPr>
      </w:pPr>
    </w:p>
    <w:p>
      <w:pPr>
        <w:ind w:right="180"/>
        <w:spacing w:after="0" w:line="295"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2"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3"/>
          <w:szCs w:val="13"/>
          <w:color w:val="auto"/>
        </w:rPr>
        <w:t>☐</w:t>
      </w:r>
    </w:p>
    <w:p>
      <w:pPr>
        <w:spacing w:after="0" w:line="137" w:lineRule="exact"/>
        <w:rPr>
          <w:sz w:val="24"/>
          <w:szCs w:val="24"/>
          <w:color w:val="auto"/>
        </w:rPr>
      </w:pPr>
    </w:p>
    <w:p>
      <w:pPr>
        <w:ind w:right="10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525145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126365</wp:posOffset>
            </wp:positionV>
            <wp:extent cx="71437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3750" cy="5715"/>
                    </a:xfrm>
                    <a:prstGeom prst="rect">
                      <a:avLst/>
                    </a:prstGeom>
                    <a:noFill/>
                  </pic:spPr>
                </pic:pic>
              </a:graphicData>
            </a:graphic>
          </wp:anchor>
        </w:drawing>
      </w:r>
    </w:p>
    <w:p>
      <w:pPr>
        <w:sectPr>
          <w:pgSz w:w="11900" w:h="16838" w:orient="portrait"/>
          <w:cols w:equalWidth="0" w:num="1">
            <w:col w:w="11300"/>
          </w:cols>
          <w:pgMar w:left="300" w:top="963" w:right="299" w:bottom="1440" w:gutter="0" w:footer="0" w:header="0"/>
        </w:sectPr>
      </w:pPr>
    </w:p>
    <w:bookmarkStart w:id="1" w:name="page2"/>
    <w:bookmarkEnd w:id="1"/>
    <w:p>
      <w:pPr>
        <w:ind w:left="8"/>
        <w:spacing w:after="0"/>
        <w:tabs>
          <w:tab w:leader="none" w:pos="668" w:val="left"/>
        </w:tabs>
        <w:rPr>
          <w:sz w:val="20"/>
          <w:szCs w:val="20"/>
          <w:color w:val="auto"/>
        </w:rPr>
      </w:pPr>
      <w:r>
        <w:rPr>
          <w:rFonts w:ascii="Times New Roman" w:cs="Times New Roman" w:eastAsia="Times New Roman" w:hAnsi="Times New Roman"/>
          <w:sz w:val="13"/>
          <w:szCs w:val="13"/>
          <w:b w:val="1"/>
          <w:bCs w:val="1"/>
          <w:color w:val="auto"/>
        </w:rPr>
        <w:t>Item 2.02</w:t>
        <w:tab/>
        <w:t>Results of Operations and Financial Condition.</w:t>
      </w:r>
    </w:p>
    <w:p>
      <w:pPr>
        <w:spacing w:after="0" w:line="186"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3"/>
          <w:szCs w:val="13"/>
          <w:color w:val="auto"/>
        </w:rPr>
        <w:t>On May 6, 2026, Array Technologies Inc. (the “Company”), announced its financial results as of and for the quarter ended March 31, 2026, by issuing a press release, a copy of which is furnished as Exhibit 99.1 to this Current Report on Form 8-K and incorporated by reference herein. In the press release, the Company also announced that it would be holding a conference call on May 6, 2026, at 5:00 p.m. Eastern Time to discuss its financial results and provide an investor presentation. A copy of the investor presentation will be posted to our website at www.arraytechinc.com and is attached as Exhibit 99.2 hereto.</w:t>
      </w:r>
    </w:p>
    <w:p>
      <w:pPr>
        <w:spacing w:after="0" w:line="125"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3"/>
          <w:szCs w:val="13"/>
          <w:color w:val="auto"/>
        </w:rPr>
        <w:t>The information included in Item 2.02 of this Current Report on Form 8-K and the exhibits attached hereto are being furnished and shall not be deemed “filed” for purposes of Section 18 of the Securities Exchange Act of 1934, as amended (the “Exchange Act”), or otherwise subject to the liabilities of that section, nor shall it be deemed incorporated by reference into any other filing under the Securities Act of 1933, as amended, or the Exchange Act, regardless of any general incorporation language in any such filing.</w:t>
      </w:r>
    </w:p>
    <w:p>
      <w:pPr>
        <w:spacing w:after="0" w:line="294" w:lineRule="exact"/>
        <w:rPr>
          <w:sz w:val="20"/>
          <w:szCs w:val="20"/>
          <w:color w:val="auto"/>
        </w:rPr>
      </w:pPr>
    </w:p>
    <w:p>
      <w:pPr>
        <w:ind w:left="8"/>
        <w:spacing w:after="0"/>
        <w:tabs>
          <w:tab w:leader="none" w:pos="668" w:val="left"/>
        </w:tabs>
        <w:rPr>
          <w:sz w:val="20"/>
          <w:szCs w:val="20"/>
          <w:color w:val="auto"/>
        </w:rPr>
      </w:pPr>
      <w:r>
        <w:rPr>
          <w:rFonts w:ascii="Times New Roman" w:cs="Times New Roman" w:eastAsia="Times New Roman" w:hAnsi="Times New Roman"/>
          <w:sz w:val="13"/>
          <w:szCs w:val="13"/>
          <w:b w:val="1"/>
          <w:bCs w:val="1"/>
          <w:color w:val="auto"/>
        </w:rPr>
        <w:t>Item 9.01</w:t>
        <w:tab/>
        <w:t>Financial Statements and Exhibits.</w:t>
      </w:r>
    </w:p>
    <w:p>
      <w:pPr>
        <w:spacing w:after="0" w:line="11" w:lineRule="exact"/>
        <w:rPr>
          <w:sz w:val="20"/>
          <w:szCs w:val="20"/>
          <w:color w:val="auto"/>
        </w:rPr>
      </w:pPr>
    </w:p>
    <w:p>
      <w:pPr>
        <w:ind w:left="188" w:hanging="188"/>
        <w:spacing w:after="0"/>
        <w:tabs>
          <w:tab w:leader="none" w:pos="188"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Exhibits</w:t>
      </w:r>
      <w:r>
        <w:rPr>
          <w:rFonts w:ascii="Times New Roman" w:cs="Times New Roman" w:eastAsia="Times New Roman" w:hAnsi="Times New Roman"/>
          <w:sz w:val="13"/>
          <w:szCs w:val="13"/>
          <w:color w:val="auto"/>
        </w:rPr>
        <w:t>.</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The following exhibits are filed as part of this report:</w:t>
      </w:r>
    </w:p>
    <w:p>
      <w:pPr>
        <w:spacing w:after="0" w:line="209" w:lineRule="exact"/>
        <w:rPr>
          <w:sz w:val="20"/>
          <w:szCs w:val="20"/>
          <w:color w:val="auto"/>
        </w:rPr>
      </w:pPr>
    </w:p>
    <w:tbl>
      <w:tblPr>
        <w:tblLayout w:type="fixed"/>
        <w:tblInd w:w="8" w:type="dxa"/>
        <w:tblCellMar>
          <w:top w:w="0" w:type="dxa"/>
          <w:left w:w="0" w:type="dxa"/>
          <w:bottom w:w="0" w:type="dxa"/>
          <w:right w:w="0" w:type="dxa"/>
        </w:tblCellMar>
      </w:tblPr>
      <w:tr>
        <w:trPr>
          <w:trHeight w:val="181"/>
        </w:trPr>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5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1460" w:type="dxa"/>
            <w:vAlign w:val="bottom"/>
          </w:tcPr>
          <w:p>
            <w:pPr>
              <w:spacing w:after="0"/>
              <w:rPr>
                <w:sz w:val="15"/>
                <w:szCs w:val="15"/>
                <w:color w:val="auto"/>
              </w:rPr>
            </w:pPr>
          </w:p>
        </w:tc>
      </w:tr>
      <w:tr>
        <w:trPr>
          <w:trHeight w:val="21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99.1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3"/>
                <w:szCs w:val="13"/>
                <w:color w:val="0000FF"/>
              </w:rPr>
              <w:t>Press Release of Array Technologies, Inc., dated May 6, 2026.</w:t>
            </w:r>
          </w:p>
        </w:tc>
        <w:tc>
          <w:tcPr>
            <w:tcW w:w="6700" w:type="dxa"/>
            <w:vAlign w:val="bottom"/>
            <w:gridSpan w:val="3"/>
          </w:tcPr>
          <w:p>
            <w:pPr>
              <w:spacing w:after="0"/>
              <w:rPr>
                <w:sz w:val="18"/>
                <w:szCs w:val="18"/>
                <w:color w:val="auto"/>
              </w:rPr>
            </w:pPr>
          </w:p>
        </w:tc>
      </w:tr>
      <w:tr>
        <w:trPr>
          <w:trHeight w:val="322"/>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3"/>
                <w:szCs w:val="13"/>
                <w:color w:val="0000FF"/>
              </w:rPr>
              <w:t>Investor Presentation of Array Technologies, Inc., dated May 6, 2026.</w:t>
            </w:r>
          </w:p>
        </w:tc>
        <w:tc>
          <w:tcPr>
            <w:tcW w:w="6300" w:type="dxa"/>
            <w:vAlign w:val="bottom"/>
            <w:gridSpan w:val="2"/>
          </w:tcPr>
          <w:p>
            <w:pPr>
              <w:spacing w:after="0"/>
              <w:rPr>
                <w:sz w:val="24"/>
                <w:szCs w:val="24"/>
                <w:color w:val="auto"/>
              </w:rPr>
            </w:pPr>
          </w:p>
        </w:tc>
      </w:tr>
      <w:tr>
        <w:trPr>
          <w:trHeight w:val="353"/>
        </w:trPr>
        <w:tc>
          <w:tcPr>
            <w:tcW w:w="100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0" w:type="dxa"/>
            <w:vAlign w:val="bottom"/>
            <w:gridSpan w:val="4"/>
          </w:tcPr>
          <w:p>
            <w:pPr>
              <w:spacing w:after="0"/>
              <w:rPr>
                <w:sz w:val="20"/>
                <w:szCs w:val="20"/>
                <w:color w:val="auto"/>
              </w:rPr>
            </w:pPr>
            <w:r>
              <w:rPr>
                <w:rFonts w:ascii="Times New Roman" w:cs="Times New Roman" w:eastAsia="Times New Roman" w:hAnsi="Times New Roman"/>
                <w:sz w:val="13"/>
                <w:szCs w:val="13"/>
                <w:color w:val="auto"/>
              </w:rPr>
              <w:t>Cover Page Interactive Data File (embedded within the Inline XBRL document).</w:t>
            </w:r>
          </w:p>
        </w:tc>
      </w:tr>
      <w:tr>
        <w:trPr>
          <w:trHeight w:val="905"/>
        </w:trPr>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8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7159625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8"/>
          </w:cols>
          <w:pgMar w:left="292" w:top="834"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3"/>
          <w:szCs w:val="13"/>
          <w:b w:val="1"/>
          <w:bCs w:val="1"/>
          <w:color w:val="auto"/>
        </w:rPr>
        <w:t>SIGNATURE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3"/>
          <w:szCs w:val="13"/>
          <w:b w:val="1"/>
          <w:bCs w:val="1"/>
          <w:color w:val="auto"/>
        </w:rPr>
        <w:t>Array Technologies, Inc.</w:t>
      </w:r>
    </w:p>
    <w:p>
      <w:pPr>
        <w:spacing w:after="0" w:line="249" w:lineRule="exact"/>
        <w:rPr>
          <w:sz w:val="20"/>
          <w:szCs w:val="20"/>
          <w:color w:val="auto"/>
        </w:rPr>
      </w:pPr>
    </w:p>
    <w:p>
      <w:pPr>
        <w:ind w:left="20"/>
        <w:spacing w:after="0"/>
        <w:tabs>
          <w:tab w:leader="none" w:pos="4760" w:val="left"/>
          <w:tab w:leader="none" w:pos="5460" w:val="left"/>
        </w:tabs>
        <w:rPr>
          <w:sz w:val="20"/>
          <w:szCs w:val="20"/>
          <w:color w:val="auto"/>
        </w:rPr>
      </w:pPr>
      <w:r>
        <w:rPr>
          <w:rFonts w:ascii="Times New Roman" w:cs="Times New Roman" w:eastAsia="Times New Roman" w:hAnsi="Times New Roman"/>
          <w:sz w:val="13"/>
          <w:szCs w:val="13"/>
          <w:color w:val="auto"/>
        </w:rPr>
        <w:t>Date: May 6,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3"/>
          <w:szCs w:val="13"/>
          <w:color w:val="auto"/>
        </w:rPr>
        <w:t>/s/ H. Keith Jennings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22860</wp:posOffset>
            </wp:positionV>
            <wp:extent cx="278320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783205" cy="5715"/>
                    </a:xfrm>
                    <a:prstGeom prst="rect">
                      <a:avLst/>
                    </a:prstGeom>
                    <a:noFill/>
                  </pic:spPr>
                </pic:pic>
              </a:graphicData>
            </a:graphic>
          </wp:anchor>
        </w:drawing>
      </w:r>
    </w:p>
    <w:p>
      <w:pPr>
        <w:spacing w:after="0" w:line="3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3"/>
          <w:szCs w:val="13"/>
          <w:color w:val="auto"/>
        </w:rPr>
        <w:t>Name: H. Keith Jennings</w:t>
      </w:r>
    </w:p>
    <w:p>
      <w:pPr>
        <w:spacing w:after="0" w:line="49"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3"/>
          <w:szCs w:val="13"/>
          <w:color w:val="auto"/>
        </w:rPr>
        <w:t>Title: Chief Financial Officer</w:t>
      </w:r>
    </w:p>
    <w:p>
      <w:pPr>
        <w:sectPr>
          <w:pgSz w:w="11900" w:h="16838" w:orient="portrait"/>
          <w:cols w:equalWidth="0" w:num="1">
            <w:col w:w="10159"/>
          </w:cols>
          <w:pgMar w:left="300" w:top="708"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72"/>
        </w:trPr>
        <w:tc>
          <w:tcPr>
            <w:tcW w:w="9300" w:type="dxa"/>
            <w:vAlign w:val="bottom"/>
          </w:tcPr>
          <w:p>
            <w:pPr>
              <w:spacing w:after="0"/>
              <w:rPr>
                <w:sz w:val="20"/>
                <w:szCs w:val="20"/>
                <w:color w:val="auto"/>
              </w:rPr>
            </w:pPr>
            <w:r>
              <w:rPr>
                <w:rFonts w:ascii="Times New Roman" w:cs="Times New Roman" w:eastAsia="Times New Roman" w:hAnsi="Times New Roman"/>
                <w:sz w:val="13"/>
                <w:szCs w:val="13"/>
                <w:color w:val="auto"/>
              </w:rPr>
              <w:t>May 6, 2026</w:t>
            </w:r>
          </w:p>
        </w:tc>
        <w:tc>
          <w:tcPr>
            <w:tcW w:w="2000" w:type="dxa"/>
            <w:vAlign w:val="bottom"/>
          </w:tcPr>
          <w:p>
            <w:pPr>
              <w:spacing w:after="0"/>
              <w:rPr>
                <w:sz w:val="14"/>
                <w:szCs w:val="14"/>
                <w:color w:val="auto"/>
              </w:rPr>
            </w:pPr>
          </w:p>
        </w:tc>
      </w:tr>
      <w:tr>
        <w:trPr>
          <w:trHeight w:val="315"/>
        </w:trPr>
        <w:tc>
          <w:tcPr>
            <w:tcW w:w="9300" w:type="dxa"/>
            <w:vAlign w:val="bottom"/>
          </w:tcPr>
          <w:p>
            <w:pPr>
              <w:ind w:left="3540"/>
              <w:spacing w:after="0"/>
              <w:rPr>
                <w:sz w:val="20"/>
                <w:szCs w:val="20"/>
                <w:color w:val="auto"/>
              </w:rPr>
            </w:pPr>
            <w:r>
              <w:rPr>
                <w:rFonts w:ascii="Times New Roman" w:cs="Times New Roman" w:eastAsia="Times New Roman" w:hAnsi="Times New Roman"/>
                <w:sz w:val="13"/>
                <w:szCs w:val="13"/>
                <w:b w:val="1"/>
                <w:bCs w:val="1"/>
                <w:color w:val="auto"/>
              </w:rPr>
              <w:t>ARRAY Technologies Reports Financial Results for the First Quarter 2026</w:t>
            </w:r>
          </w:p>
        </w:tc>
        <w:tc>
          <w:tcPr>
            <w:tcW w:w="2000" w:type="dxa"/>
            <w:vAlign w:val="bottom"/>
          </w:tcPr>
          <w:p>
            <w:pPr>
              <w:spacing w:after="0"/>
              <w:rPr>
                <w:sz w:val="24"/>
                <w:szCs w:val="24"/>
                <w:color w:val="auto"/>
              </w:rPr>
            </w:pPr>
          </w:p>
        </w:tc>
      </w:tr>
      <w:tr>
        <w:trPr>
          <w:trHeight w:val="371"/>
        </w:trPr>
        <w:tc>
          <w:tcPr>
            <w:tcW w:w="9300" w:type="dxa"/>
            <w:vAlign w:val="bottom"/>
          </w:tcPr>
          <w:p>
            <w:pPr>
              <w:ind w:left="2720"/>
              <w:spacing w:after="0"/>
              <w:rPr>
                <w:sz w:val="20"/>
                <w:szCs w:val="20"/>
                <w:color w:val="auto"/>
              </w:rPr>
            </w:pPr>
            <w:r>
              <w:rPr>
                <w:rFonts w:ascii="Times New Roman" w:cs="Times New Roman" w:eastAsia="Times New Roman" w:hAnsi="Times New Roman"/>
                <w:sz w:val="13"/>
                <w:szCs w:val="13"/>
                <w:b w:val="1"/>
                <w:bCs w:val="1"/>
                <w:color w:val="auto"/>
              </w:rPr>
              <w:t>Achieves Record Orderbook of $2.4 Billion and Introduces DuraTrack D2S</w:t>
            </w:r>
            <w:r>
              <w:rPr>
                <w:rFonts w:ascii="Times New Roman" w:cs="Times New Roman" w:eastAsia="Times New Roman" w:hAnsi="Times New Roman"/>
                <w:sz w:val="17"/>
                <w:szCs w:val="17"/>
                <w:b w:val="1"/>
                <w:bCs w:val="1"/>
                <w:color w:val="auto"/>
                <w:vertAlign w:val="superscript"/>
              </w:rPr>
              <w:t>TM</w:t>
            </w:r>
            <w:r>
              <w:rPr>
                <w:rFonts w:ascii="Times New Roman" w:cs="Times New Roman" w:eastAsia="Times New Roman" w:hAnsi="Times New Roman"/>
                <w:sz w:val="13"/>
                <w:szCs w:val="13"/>
                <w:b w:val="1"/>
                <w:bCs w:val="1"/>
                <w:color w:val="auto"/>
              </w:rPr>
              <w:t xml:space="preserve"> for International Markets</w:t>
            </w:r>
          </w:p>
        </w:tc>
        <w:tc>
          <w:tcPr>
            <w:tcW w:w="2000" w:type="dxa"/>
            <w:vAlign w:val="bottom"/>
          </w:tcPr>
          <w:p>
            <w:pPr>
              <w:spacing w:after="0"/>
              <w:rPr>
                <w:sz w:val="24"/>
                <w:szCs w:val="24"/>
                <w:color w:val="auto"/>
              </w:rPr>
            </w:pPr>
          </w:p>
        </w:tc>
      </w:tr>
      <w:tr>
        <w:trPr>
          <w:trHeight w:val="268"/>
        </w:trPr>
        <w:tc>
          <w:tcPr>
            <w:tcW w:w="9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2026 First Quarter Business Highlights</w:t>
            </w:r>
          </w:p>
        </w:tc>
        <w:tc>
          <w:tcPr>
            <w:tcW w:w="2000" w:type="dxa"/>
            <w:vAlign w:val="bottom"/>
          </w:tcPr>
          <w:p>
            <w:pPr>
              <w:spacing w:after="0"/>
              <w:rPr>
                <w:sz w:val="23"/>
                <w:szCs w:val="23"/>
                <w:color w:val="auto"/>
              </w:rPr>
            </w:pPr>
          </w:p>
        </w:tc>
      </w:tr>
      <w:tr>
        <w:trPr>
          <w:trHeight w:val="206"/>
        </w:trPr>
        <w:tc>
          <w:tcPr>
            <w:tcW w:w="9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Record total executed contracts and awarded orders at March 31, 2026 of $2.4 billion</w:t>
            </w:r>
          </w:p>
        </w:tc>
        <w:tc>
          <w:tcPr>
            <w:tcW w:w="2000" w:type="dxa"/>
            <w:vAlign w:val="bottom"/>
          </w:tcPr>
          <w:p>
            <w:pPr>
              <w:spacing w:after="0"/>
              <w:rPr>
                <w:sz w:val="17"/>
                <w:szCs w:val="17"/>
                <w:color w:val="auto"/>
              </w:rPr>
            </w:pPr>
          </w:p>
        </w:tc>
      </w:tr>
      <w:tr>
        <w:trPr>
          <w:trHeight w:val="171"/>
        </w:trPr>
        <w:tc>
          <w:tcPr>
            <w:tcW w:w="9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Achieved 2x book-to-bill with ~50% increase in APA orderbook. Trailing twelve-month book-to-bill of 1.3x.</w:t>
            </w:r>
          </w:p>
        </w:tc>
        <w:tc>
          <w:tcPr>
            <w:tcW w:w="2000" w:type="dxa"/>
            <w:vAlign w:val="bottom"/>
          </w:tcPr>
          <w:p>
            <w:pPr>
              <w:spacing w:after="0"/>
              <w:rPr>
                <w:sz w:val="14"/>
                <w:szCs w:val="14"/>
                <w:color w:val="auto"/>
              </w:rPr>
            </w:pPr>
          </w:p>
        </w:tc>
      </w:tr>
      <w:tr>
        <w:trPr>
          <w:trHeight w:val="158"/>
        </w:trPr>
        <w:tc>
          <w:tcPr>
            <w:tcW w:w="9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Contracted projects in Turkey, Peru, and Colombia, highlighting our international diversification</w:t>
            </w:r>
          </w:p>
        </w:tc>
        <w:tc>
          <w:tcPr>
            <w:tcW w:w="2000" w:type="dxa"/>
            <w:vAlign w:val="bottom"/>
          </w:tcPr>
          <w:p>
            <w:pPr>
              <w:spacing w:after="0"/>
              <w:rPr>
                <w:sz w:val="13"/>
                <w:szCs w:val="13"/>
                <w:color w:val="auto"/>
              </w:rPr>
            </w:pPr>
          </w:p>
        </w:tc>
      </w:tr>
      <w:tr>
        <w:trPr>
          <w:trHeight w:val="184"/>
        </w:trPr>
        <w:tc>
          <w:tcPr>
            <w:tcW w:w="9300" w:type="dxa"/>
            <w:vAlign w:val="bottom"/>
          </w:tcPr>
          <w:p>
            <w:pPr>
              <w:ind w:left="10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3"/>
                <w:szCs w:val="13"/>
                <w:color w:val="auto"/>
              </w:rPr>
              <w:t>Introducing DuraTrack D2S, a new dual-row tracker solution for international markets with key features and capabilities of flagship DuraTrack® product</w:t>
            </w:r>
          </w:p>
        </w:tc>
        <w:tc>
          <w:tcPr>
            <w:tcW w:w="2000" w:type="dxa"/>
            <w:vAlign w:val="bottom"/>
          </w:tcPr>
          <w:p>
            <w:pPr>
              <w:spacing w:after="0"/>
              <w:rPr>
                <w:sz w:val="15"/>
                <w:szCs w:val="15"/>
                <w:color w:val="auto"/>
              </w:rPr>
            </w:pPr>
          </w:p>
        </w:tc>
      </w:tr>
      <w:tr>
        <w:trPr>
          <w:trHeight w:val="172"/>
        </w:trPr>
        <w:tc>
          <w:tcPr>
            <w:tcW w:w="93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   Reaffirming Full Year 2026 financial guidance</w:t>
            </w:r>
          </w:p>
        </w:tc>
        <w:tc>
          <w:tcPr>
            <w:tcW w:w="2000" w:type="dxa"/>
            <w:vAlign w:val="bottom"/>
          </w:tcPr>
          <w:p>
            <w:pPr>
              <w:spacing w:after="0"/>
              <w:rPr>
                <w:sz w:val="14"/>
                <w:szCs w:val="14"/>
                <w:color w:val="auto"/>
              </w:rPr>
            </w:pPr>
          </w:p>
        </w:tc>
      </w:tr>
      <w:tr>
        <w:trPr>
          <w:trHeight w:val="324"/>
        </w:trPr>
        <w:tc>
          <w:tcPr>
            <w:tcW w:w="93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2026 First Quarter Financial Highlights</w:t>
            </w:r>
          </w:p>
        </w:tc>
        <w:tc>
          <w:tcPr>
            <w:tcW w:w="2000" w:type="dxa"/>
            <w:vAlign w:val="bottom"/>
          </w:tcPr>
          <w:p>
            <w:pPr>
              <w:spacing w:after="0"/>
              <w:rPr>
                <w:sz w:val="24"/>
                <w:szCs w:val="24"/>
                <w:color w:val="auto"/>
              </w:rPr>
            </w:pPr>
          </w:p>
        </w:tc>
      </w:tr>
      <w:tr>
        <w:trPr>
          <w:trHeight w:val="200"/>
        </w:trPr>
        <w:tc>
          <w:tcPr>
            <w:tcW w:w="9300" w:type="dxa"/>
            <w:vAlign w:val="bottom"/>
            <w:tcBorders>
              <w:bottom w:val="single" w:sz="8" w:color="DBDBDB"/>
            </w:tcBorders>
          </w:tcPr>
          <w:p>
            <w:pPr>
              <w:spacing w:after="0"/>
              <w:rPr>
                <w:sz w:val="20"/>
                <w:szCs w:val="20"/>
                <w:color w:val="auto"/>
              </w:rPr>
            </w:pPr>
            <w:r>
              <w:rPr>
                <w:rFonts w:ascii="Times New Roman" w:cs="Times New Roman" w:eastAsia="Times New Roman" w:hAnsi="Times New Roman"/>
                <w:sz w:val="13"/>
                <w:szCs w:val="13"/>
                <w:color w:val="auto"/>
              </w:rPr>
              <w:t>(in millions, except per share)</w:t>
            </w:r>
          </w:p>
        </w:tc>
        <w:tc>
          <w:tcPr>
            <w:tcW w:w="2000" w:type="dxa"/>
            <w:vAlign w:val="bottom"/>
            <w:tcBorders>
              <w:bottom w:val="single" w:sz="8" w:color="auto"/>
            </w:tcBorders>
          </w:tcPr>
          <w:p>
            <w:pPr>
              <w:jc w:val="right"/>
              <w:ind w:right="694"/>
              <w:spacing w:after="0"/>
              <w:rPr>
                <w:sz w:val="20"/>
                <w:szCs w:val="20"/>
                <w:color w:val="auto"/>
              </w:rPr>
            </w:pPr>
            <w:r>
              <w:rPr>
                <w:rFonts w:ascii="Times New Roman" w:cs="Times New Roman" w:eastAsia="Times New Roman" w:hAnsi="Times New Roman"/>
                <w:sz w:val="13"/>
                <w:szCs w:val="13"/>
                <w:b w:val="1"/>
                <w:bCs w:val="1"/>
                <w:color w:val="auto"/>
              </w:rPr>
              <w:t>1Q 2026</w:t>
            </w:r>
          </w:p>
        </w:tc>
      </w:tr>
      <w:tr>
        <w:trPr>
          <w:trHeight w:val="181"/>
        </w:trPr>
        <w:tc>
          <w:tcPr>
            <w:tcW w:w="93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Revenue</w:t>
            </w:r>
          </w:p>
        </w:tc>
        <w:tc>
          <w:tcPr>
            <w:tcW w:w="2000" w:type="dxa"/>
            <w:vAlign w:val="bottom"/>
            <w:shd w:val="clear" w:color="auto" w:fill="DBDBDB"/>
          </w:tcPr>
          <w:p>
            <w:pPr>
              <w:jc w:val="right"/>
              <w:ind w:right="14"/>
              <w:spacing w:after="0"/>
              <w:rPr>
                <w:sz w:val="20"/>
                <w:szCs w:val="20"/>
                <w:color w:val="auto"/>
              </w:rPr>
            </w:pPr>
            <w:r>
              <w:rPr>
                <w:rFonts w:ascii="Times New Roman" w:cs="Times New Roman" w:eastAsia="Times New Roman" w:hAnsi="Times New Roman"/>
                <w:sz w:val="13"/>
                <w:szCs w:val="13"/>
                <w:color w:val="auto"/>
              </w:rPr>
              <w:t>$223.4</w:t>
            </w:r>
          </w:p>
        </w:tc>
      </w:tr>
      <w:tr>
        <w:trPr>
          <w:trHeight w:val="182"/>
        </w:trPr>
        <w:tc>
          <w:tcPr>
            <w:tcW w:w="9300" w:type="dxa"/>
            <w:vAlign w:val="bottom"/>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20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28.2%</w:t>
            </w:r>
          </w:p>
        </w:tc>
      </w:tr>
      <w:tr>
        <w:trPr>
          <w:trHeight w:val="196"/>
        </w:trPr>
        <w:tc>
          <w:tcPr>
            <w:tcW w:w="93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Adjusted gross margin</w:t>
            </w:r>
            <w:r>
              <w:rPr>
                <w:rFonts w:ascii="Times New Roman" w:cs="Times New Roman" w:eastAsia="Times New Roman" w:hAnsi="Times New Roman"/>
                <w:sz w:val="17"/>
                <w:szCs w:val="17"/>
                <w:color w:val="auto"/>
                <w:vertAlign w:val="superscript"/>
              </w:rPr>
              <w:t>(1)</w:t>
            </w:r>
          </w:p>
        </w:tc>
        <w:tc>
          <w:tcPr>
            <w:tcW w:w="2000" w:type="dxa"/>
            <w:vAlign w:val="bottom"/>
            <w:shd w:val="clear" w:color="auto" w:fill="DBDBDB"/>
          </w:tcPr>
          <w:p>
            <w:pPr>
              <w:jc w:val="right"/>
              <w:ind w:right="14"/>
              <w:spacing w:after="0"/>
              <w:rPr>
                <w:sz w:val="20"/>
                <w:szCs w:val="20"/>
                <w:color w:val="auto"/>
              </w:rPr>
            </w:pPr>
            <w:r>
              <w:rPr>
                <w:rFonts w:ascii="Times New Roman" w:cs="Times New Roman" w:eastAsia="Times New Roman" w:hAnsi="Times New Roman"/>
                <w:sz w:val="13"/>
                <w:szCs w:val="13"/>
                <w:color w:val="auto"/>
              </w:rPr>
              <w:t>30.7%</w:t>
            </w:r>
          </w:p>
        </w:tc>
      </w:tr>
      <w:tr>
        <w:trPr>
          <w:trHeight w:val="182"/>
        </w:trPr>
        <w:tc>
          <w:tcPr>
            <w:tcW w:w="9300" w:type="dxa"/>
            <w:vAlign w:val="bottom"/>
          </w:tcPr>
          <w:p>
            <w:pPr>
              <w:spacing w:after="0"/>
              <w:rPr>
                <w:sz w:val="20"/>
                <w:szCs w:val="20"/>
                <w:color w:val="auto"/>
              </w:rPr>
            </w:pPr>
            <w:r>
              <w:rPr>
                <w:rFonts w:ascii="Times New Roman" w:cs="Times New Roman" w:eastAsia="Times New Roman" w:hAnsi="Times New Roman"/>
                <w:sz w:val="13"/>
                <w:szCs w:val="13"/>
                <w:color w:val="auto"/>
              </w:rPr>
              <w:t>Net loss to common shareholders</w:t>
            </w:r>
          </w:p>
        </w:tc>
        <w:tc>
          <w:tcPr>
            <w:tcW w:w="20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($13.5)</w:t>
            </w:r>
          </w:p>
        </w:tc>
      </w:tr>
      <w:tr>
        <w:trPr>
          <w:trHeight w:val="196"/>
        </w:trPr>
        <w:tc>
          <w:tcPr>
            <w:tcW w:w="93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7"/>
                <w:szCs w:val="17"/>
                <w:color w:val="auto"/>
                <w:vertAlign w:val="superscript"/>
              </w:rPr>
              <w:t>(1)</w:t>
            </w:r>
          </w:p>
        </w:tc>
        <w:tc>
          <w:tcPr>
            <w:tcW w:w="2000" w:type="dxa"/>
            <w:vAlign w:val="bottom"/>
            <w:shd w:val="clear" w:color="auto" w:fill="DBDBDB"/>
          </w:tcPr>
          <w:p>
            <w:pPr>
              <w:jc w:val="right"/>
              <w:ind w:right="14"/>
              <w:spacing w:after="0"/>
              <w:rPr>
                <w:sz w:val="20"/>
                <w:szCs w:val="20"/>
                <w:color w:val="auto"/>
              </w:rPr>
            </w:pPr>
            <w:r>
              <w:rPr>
                <w:rFonts w:ascii="Times New Roman" w:cs="Times New Roman" w:eastAsia="Times New Roman" w:hAnsi="Times New Roman"/>
                <w:sz w:val="13"/>
                <w:szCs w:val="13"/>
                <w:color w:val="auto"/>
              </w:rPr>
              <w:t>$28.8</w:t>
            </w:r>
          </w:p>
        </w:tc>
      </w:tr>
      <w:tr>
        <w:trPr>
          <w:trHeight w:val="182"/>
        </w:trPr>
        <w:tc>
          <w:tcPr>
            <w:tcW w:w="930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basic and diluted common share</w:t>
            </w:r>
          </w:p>
        </w:tc>
        <w:tc>
          <w:tcPr>
            <w:tcW w:w="20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($0.09)</w:t>
            </w:r>
          </w:p>
        </w:tc>
      </w:tr>
      <w:tr>
        <w:trPr>
          <w:trHeight w:val="196"/>
        </w:trPr>
        <w:tc>
          <w:tcPr>
            <w:tcW w:w="9300" w:type="dxa"/>
            <w:vAlign w:val="bottom"/>
            <w:shd w:val="clear" w:color="auto" w:fill="DBDBDB"/>
          </w:tcPr>
          <w:p>
            <w:pPr>
              <w:spacing w:after="0"/>
              <w:rPr>
                <w:sz w:val="20"/>
                <w:szCs w:val="20"/>
                <w:color w:val="auto"/>
              </w:rPr>
            </w:pPr>
            <w:r>
              <w:rPr>
                <w:rFonts w:ascii="Times New Roman" w:cs="Times New Roman" w:eastAsia="Times New Roman" w:hAnsi="Times New Roman"/>
                <w:sz w:val="13"/>
                <w:szCs w:val="13"/>
                <w:color w:val="auto"/>
              </w:rPr>
              <w:t>Adjusted net income per diluted common share</w:t>
            </w:r>
            <w:r>
              <w:rPr>
                <w:rFonts w:ascii="Times New Roman" w:cs="Times New Roman" w:eastAsia="Times New Roman" w:hAnsi="Times New Roman"/>
                <w:sz w:val="17"/>
                <w:szCs w:val="17"/>
                <w:color w:val="auto"/>
                <w:vertAlign w:val="superscript"/>
              </w:rPr>
              <w:t>(1)</w:t>
            </w:r>
          </w:p>
        </w:tc>
        <w:tc>
          <w:tcPr>
            <w:tcW w:w="2000" w:type="dxa"/>
            <w:vAlign w:val="bottom"/>
            <w:shd w:val="clear" w:color="auto" w:fill="DBDBDB"/>
          </w:tcPr>
          <w:p>
            <w:pPr>
              <w:jc w:val="right"/>
              <w:ind w:right="14"/>
              <w:spacing w:after="0"/>
              <w:rPr>
                <w:sz w:val="20"/>
                <w:szCs w:val="20"/>
                <w:color w:val="auto"/>
              </w:rPr>
            </w:pPr>
            <w:r>
              <w:rPr>
                <w:rFonts w:ascii="Times New Roman" w:cs="Times New Roman" w:eastAsia="Times New Roman" w:hAnsi="Times New Roman"/>
                <w:sz w:val="13"/>
                <w:szCs w:val="13"/>
                <w:color w:val="auto"/>
              </w:rPr>
              <w:t>$0.06</w:t>
            </w:r>
          </w:p>
        </w:tc>
      </w:tr>
    </w:tbl>
    <w:p>
      <w:pPr>
        <w:spacing w:after="0" w:line="21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3"/>
          <w:szCs w:val="13"/>
          <w:color w:val="auto"/>
        </w:rPr>
        <w:t>ALBUQUERQUE, NM — (GLOBE NEWSWIRE) — ARRAY Technologies, Inc. (NASDAQ: ARRY) (“ARRAY” or the “Company”), a leading global provider of solar tracking technology and fixed-tilt products, foundation solutions, software systems and services, today announced financial results for its first quarter ended March 31, 2026.</w:t>
      </w:r>
    </w:p>
    <w:p>
      <w:pPr>
        <w:spacing w:after="0" w:line="11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3"/>
          <w:szCs w:val="13"/>
          <w:color w:val="auto"/>
        </w:rPr>
        <w:t>“ARRAY began 2026 with strong performance, delivering revenue and Adjusted EBITDA</w:t>
      </w:r>
      <w:r>
        <w:rPr>
          <w:rFonts w:ascii="Times New Roman" w:cs="Times New Roman" w:eastAsia="Times New Roman" w:hAnsi="Times New Roman"/>
          <w:sz w:val="15"/>
          <w:szCs w:val="15"/>
          <w:color w:val="auto"/>
          <w:vertAlign w:val="superscript"/>
        </w:rPr>
        <w:t>(1)</w:t>
      </w:r>
      <w:r>
        <w:rPr>
          <w:rFonts w:ascii="Times New Roman" w:cs="Times New Roman" w:eastAsia="Times New Roman" w:hAnsi="Times New Roman"/>
          <w:sz w:val="13"/>
          <w:szCs w:val="13"/>
          <w:color w:val="auto"/>
        </w:rPr>
        <w:t xml:space="preserve"> above the expectations we set on our last earnings call. We delivered another 2x book-to-bill quarter, closing the period at a new record orderbook of $2.4 billion. Orderbook growth continues to be enabled by our traction with our new product offerings like OmniTrack</w:t>
      </w:r>
      <w:r>
        <w:rPr>
          <w:rFonts w:ascii="Times New Roman" w:cs="Times New Roman" w:eastAsia="Times New Roman" w:hAnsi="Times New Roman"/>
          <w:sz w:val="17"/>
          <w:szCs w:val="17"/>
          <w:color w:val="auto"/>
          <w:vertAlign w:val="superscript"/>
        </w:rPr>
        <w:t>TM</w:t>
      </w:r>
      <w:r>
        <w:rPr>
          <w:rFonts w:ascii="Times New Roman" w:cs="Times New Roman" w:eastAsia="Times New Roman" w:hAnsi="Times New Roman"/>
          <w:sz w:val="13"/>
          <w:szCs w:val="13"/>
          <w:color w:val="auto"/>
        </w:rPr>
        <w:t>and investment in our software and services businesses. We remain focused on high-quality domestic opportunities while pursuing disciplined international expansion, and our momentum this quarter reflected strength both domestically and abroad,” said Chief Executive Officer, Kevin G. Hostetler.</w:t>
      </w:r>
    </w:p>
    <w:p>
      <w:pPr>
        <w:spacing w:after="0" w:line="15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3"/>
          <w:szCs w:val="13"/>
          <w:color w:val="auto"/>
        </w:rPr>
        <w:t>Mr. Hostetler continued, “The integration of APA continues to progress very well, and we opened a new APA headquarters to centralize our team, accelerate collaboration, and support a research and training center alongside a 5-acre solar innovation site. This new space will also house the APA Foundations Center of Excellence, enabling foundation offerings integrated with ARRAY tracking technology. Finally, I’m excited to introduce DuraTrack D2S, our next-generation dual-row tracker for key international markets, which combines patented passive wind stow technology, terrain adaptability, and optimized control through SmarTrack® into a single flexible platform. As we move through 2026, we will continue updating stakeholders on our progress against our strategic priorities - investing for the future to support margin resilience and scale, while driving commercial excellence and advancing our global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1300"/>
          </w:cols>
          <w:pgMar w:left="300" w:top="998" w:right="299" w:bottom="1440" w:gutter="0" w:footer="0" w:header="0"/>
        </w:sectPr>
      </w:pPr>
    </w:p>
    <w:bookmarkStart w:id="4" w:name="page5"/>
    <w:bookmarkEnd w:id="4"/>
    <w:p>
      <w:pPr>
        <w:ind w:left="8"/>
        <w:spacing w:after="0"/>
        <w:rPr>
          <w:sz w:val="20"/>
          <w:szCs w:val="20"/>
          <w:color w:val="auto"/>
        </w:rPr>
      </w:pPr>
      <w:r>
        <w:rPr>
          <w:rFonts w:ascii="Times New Roman" w:cs="Times New Roman" w:eastAsia="Times New Roman" w:hAnsi="Times New Roman"/>
          <w:sz w:val="13"/>
          <w:szCs w:val="13"/>
          <w:b w:val="1"/>
          <w:bCs w:val="1"/>
          <w:color w:val="auto"/>
        </w:rPr>
        <w:t>Reaffirming Full Year 2026 Guidance</w:t>
      </w:r>
    </w:p>
    <w:p>
      <w:pPr>
        <w:spacing w:after="0" w:line="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For the year ending December 31, 2026, the Company expects:</w:t>
      </w:r>
    </w:p>
    <w:p>
      <w:pPr>
        <w:spacing w:after="0" w:line="22" w:lineRule="exact"/>
        <w:rPr>
          <w:sz w:val="20"/>
          <w:szCs w:val="20"/>
          <w:color w:val="auto"/>
        </w:rPr>
      </w:pPr>
    </w:p>
    <w:p>
      <w:pPr>
        <w:ind w:left="428" w:hanging="212"/>
        <w:spacing w:after="0"/>
        <w:tabs>
          <w:tab w:leader="none" w:pos="428"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to be in the range of $1.4 billion to $1.5 billion</w:t>
      </w:r>
    </w:p>
    <w:p>
      <w:pPr>
        <w:spacing w:after="0" w:line="21" w:lineRule="exact"/>
        <w:rPr>
          <w:rFonts w:ascii="Times New Roman" w:cs="Times New Roman" w:eastAsia="Times New Roman" w:hAnsi="Times New Roman"/>
          <w:sz w:val="13"/>
          <w:szCs w:val="13"/>
          <w:color w:val="auto"/>
        </w:rPr>
      </w:pPr>
    </w:p>
    <w:p>
      <w:pPr>
        <w:ind w:left="428" w:hanging="212"/>
        <w:spacing w:after="0" w:line="199" w:lineRule="auto"/>
        <w:tabs>
          <w:tab w:leader="none" w:pos="428"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xml:space="preserve"> to be in the range of $200 million to $230 million</w:t>
      </w:r>
    </w:p>
    <w:p>
      <w:pPr>
        <w:ind w:left="428" w:hanging="212"/>
        <w:spacing w:after="0"/>
        <w:tabs>
          <w:tab w:leader="none" w:pos="428"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net income per common share</w:t>
      </w:r>
      <w:r>
        <w:rPr>
          <w:rFonts w:ascii="Times New Roman" w:cs="Times New Roman" w:eastAsia="Times New Roman" w:hAnsi="Times New Roman"/>
          <w:sz w:val="17"/>
          <w:szCs w:val="17"/>
          <w:color w:val="auto"/>
          <w:vertAlign w:val="superscript"/>
        </w:rPr>
        <w:t>(2)</w:t>
      </w:r>
      <w:r>
        <w:rPr>
          <w:rFonts w:ascii="Times New Roman" w:cs="Times New Roman" w:eastAsia="Times New Roman" w:hAnsi="Times New Roman"/>
          <w:sz w:val="13"/>
          <w:szCs w:val="13"/>
          <w:color w:val="auto"/>
        </w:rPr>
        <w:t xml:space="preserve"> to be in the range of $0.65 to $0.75</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For the quarter ending June 30, 2026, the Company expects revenue to be in the range of $300 million to $320 million.</w:t>
      </w:r>
    </w:p>
    <w:p>
      <w:pPr>
        <w:spacing w:after="0" w:line="153" w:lineRule="exact"/>
        <w:rPr>
          <w:sz w:val="20"/>
          <w:szCs w:val="20"/>
          <w:color w:val="auto"/>
        </w:rPr>
      </w:pPr>
    </w:p>
    <w:p>
      <w:pPr>
        <w:ind w:left="108" w:hanging="108"/>
        <w:spacing w:after="0"/>
        <w:tabs>
          <w:tab w:leader="none" w:pos="108" w:val="left"/>
        </w:tabs>
        <w:numPr>
          <w:ilvl w:val="0"/>
          <w:numId w:val="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A reconciliation of the most comparable GAAP measure to its Non-GAAP measure is included below.</w:t>
      </w:r>
    </w:p>
    <w:p>
      <w:pPr>
        <w:spacing w:after="0" w:line="57" w:lineRule="exact"/>
        <w:rPr>
          <w:rFonts w:ascii="Times New Roman" w:cs="Times New Roman" w:eastAsia="Times New Roman" w:hAnsi="Times New Roman"/>
          <w:sz w:val="13"/>
          <w:szCs w:val="13"/>
          <w:color w:val="auto"/>
          <w:vertAlign w:val="superscript"/>
        </w:rPr>
      </w:pPr>
    </w:p>
    <w:p>
      <w:pPr>
        <w:jc w:val="both"/>
        <w:ind w:left="8" w:hanging="8"/>
        <w:spacing w:after="0" w:line="254" w:lineRule="auto"/>
        <w:tabs>
          <w:tab w:leader="none" w:pos="118" w:val="left"/>
        </w:tabs>
        <w:numPr>
          <w:ilvl w:val="0"/>
          <w:numId w:val="4"/>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A reconciliation of projected Adjusted gross profit, Adjusted gross margin, Adjusted EBITDA and Adjusted net income per common share, which are forward-looking measures that are not prepared in accordance with GAAP, to the most directly comparable GAAP financial measures, is not provided because we are unable to provide such reconciliation without unreasonable effort. The inability to provide a quantitative reconciliation is due to the uncertainty and inherent difficulty predicting the occurrence, the financial impact and the periods in which the components of the applicable GAAP measures and non-GAAP adjustments may be recognized. The GAAP measures may include the impact of such items as non-cash share-based compensation, revaluation of the fair-value of our contingent consideration, and the tax effect of such items, in addition to other items we have historically excluded from Adjusted EBITDA and Adjusted net income per common share. We expect to continue to exclude these items in future disclosures of these non-GAAP measures and may also exclude other similar items that may arise in the future (collectively, “non-GAAP adjustments”). The decisions and events that typically lead to the recognition of non-GAAP adjustments are inherently unpredictable as to if or when they may occur. As such, for our 2026 guidance, we have not included estimates for these items and are unable to address the probable significance of the unavailable information, which could be material to future results.</w:t>
      </w:r>
    </w:p>
    <w:p>
      <w:pPr>
        <w:spacing w:after="0" w:line="2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Supplemental Presentation and Conference Call Information</w:t>
      </w:r>
    </w:p>
    <w:p>
      <w:pPr>
        <w:spacing w:after="0" w:line="69"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3"/>
          <w:szCs w:val="13"/>
          <w:color w:val="auto"/>
        </w:rPr>
        <w:t>ARRAY has posted a supplemental presentation to its website, which will be discussed during the conference call hosted by management today (May 6, 2026) at 5:00 p.m. (ET). The conference call can be accessed live over the phone by dialing (877)-869-3847 (domestic) or (201)-689-8261 (international), or via webcast of the live conference call by logging onto the Investor Relations section of the Company’s website at http://ir.arraytechinc.com. A telephonic replay will be available approximately three hours after the call by dialing (877)-660-6853 (domestic), or (201)-612-7415 (international), with the passcode 13759742. The replay will be available until 11:59 p.m. (ET) on May 20, 2026. The online replay will be available for 14 days on the same website, immediately following the call.</w:t>
      </w:r>
    </w:p>
    <w:p>
      <w:pPr>
        <w:spacing w:after="0" w:line="11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About ARRAY Technologies, Inc.</w:t>
      </w:r>
    </w:p>
    <w:p>
      <w:pPr>
        <w:spacing w:after="0" w:line="7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ARRAY Technologies (NASDAQ: ARRY) is a leading global provider of solar tracking technology and fixed-tilt systems to utility-scale and distributed generation customers</w:t>
      </w:r>
      <w:r>
        <w:rPr>
          <w:rFonts w:ascii="Times New Roman" w:cs="Times New Roman" w:eastAsia="Times New Roman" w:hAnsi="Times New Roman"/>
          <w:sz w:val="14"/>
          <w:szCs w:val="14"/>
          <w:color w:val="auto"/>
        </w:rPr>
        <w:t>, who construct, develop, and</w:t>
      </w:r>
    </w:p>
    <w:p>
      <w:pPr>
        <w:spacing w:after="0" w:line="26" w:lineRule="exact"/>
        <w:rPr>
          <w:sz w:val="20"/>
          <w:szCs w:val="20"/>
          <w:color w:val="auto"/>
        </w:rPr>
      </w:pPr>
    </w:p>
    <w:p>
      <w:pPr>
        <w:jc w:val="both"/>
        <w:ind w:left="8"/>
        <w:spacing w:after="0" w:line="241" w:lineRule="auto"/>
        <w:rPr>
          <w:sz w:val="20"/>
          <w:szCs w:val="20"/>
          <w:color w:val="auto"/>
        </w:rPr>
      </w:pPr>
      <w:r>
        <w:rPr>
          <w:rFonts w:ascii="Times New Roman" w:cs="Times New Roman" w:eastAsia="Times New Roman" w:hAnsi="Times New Roman"/>
          <w:sz w:val="14"/>
          <w:szCs w:val="14"/>
          <w:color w:val="auto"/>
        </w:rPr>
        <w:t xml:space="preserve">operate </w:t>
      </w:r>
      <w:r>
        <w:rPr>
          <w:rFonts w:ascii="Times New Roman" w:cs="Times New Roman" w:eastAsia="Times New Roman" w:hAnsi="Times New Roman"/>
          <w:sz w:val="13"/>
          <w:szCs w:val="13"/>
          <w:color w:val="auto"/>
        </w:rPr>
        <w:t>solar PV sites. With solutions engineered to withstand the harshest weather conditions, ARRAY’s high-quality solar trackers, fixed-tilt systems, software platforms, foundation solutions, and</w:t>
      </w:r>
      <w:r>
        <w:rPr>
          <w:rFonts w:ascii="Times New Roman" w:cs="Times New Roman" w:eastAsia="Times New Roman" w:hAnsi="Times New Roman"/>
          <w:sz w:val="14"/>
          <w:szCs w:val="14"/>
          <w:color w:val="auto"/>
        </w:rPr>
        <w:t xml:space="preserve"> field </w:t>
      </w:r>
      <w:r>
        <w:rPr>
          <w:rFonts w:ascii="Times New Roman" w:cs="Times New Roman" w:eastAsia="Times New Roman" w:hAnsi="Times New Roman"/>
          <w:sz w:val="13"/>
          <w:szCs w:val="13"/>
          <w:color w:val="auto"/>
        </w:rPr>
        <w:t>services</w:t>
      </w:r>
      <w:r>
        <w:rPr>
          <w:rFonts w:ascii="Times New Roman" w:cs="Times New Roman" w:eastAsia="Times New Roman" w:hAnsi="Times New Roman"/>
          <w:sz w:val="14"/>
          <w:szCs w:val="14"/>
          <w:color w:val="auto"/>
        </w:rPr>
        <w:t xml:space="preserve"> combine to </w:t>
      </w:r>
      <w:r>
        <w:rPr>
          <w:rFonts w:ascii="Times New Roman" w:cs="Times New Roman" w:eastAsia="Times New Roman" w:hAnsi="Times New Roman"/>
          <w:sz w:val="13"/>
          <w:szCs w:val="13"/>
          <w:color w:val="auto"/>
        </w:rPr>
        <w:t>optimize energy production</w:t>
      </w:r>
      <w:r>
        <w:rPr>
          <w:rFonts w:ascii="Times New Roman" w:cs="Times New Roman" w:eastAsia="Times New Roman" w:hAnsi="Times New Roman"/>
          <w:sz w:val="14"/>
          <w:szCs w:val="14"/>
          <w:color w:val="auto"/>
        </w:rPr>
        <w:t xml:space="preserve"> and deliver </w:t>
      </w:r>
      <w:r>
        <w:rPr>
          <w:rFonts w:ascii="Times New Roman" w:cs="Times New Roman" w:eastAsia="Times New Roman" w:hAnsi="Times New Roman"/>
          <w:sz w:val="13"/>
          <w:szCs w:val="13"/>
          <w:color w:val="auto"/>
        </w:rPr>
        <w:t>value to our customers for the entire lifecycle of a project. Founded and headquartered in the United States, ARRAY is rooted in manufacturing and driven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3"/>
          <w:szCs w:val="13"/>
          <w:color w:val="auto"/>
        </w:rPr>
        <w:t>technology - relying on its domestic manufacturing, diversified global supply chain, and customer-centric approach to design, deliver, commission, train, and support solar energy deployment around the world. For more news and information on ARRAY, please visit arraytechinc.com.</w:t>
      </w:r>
    </w:p>
    <w:p>
      <w:pPr>
        <w:spacing w:after="0" w:line="1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Investor Relations Contact:</w:t>
      </w:r>
    </w:p>
    <w:p>
      <w:pPr>
        <w:spacing w:after="0" w:line="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Investor Relations</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505-437-0010</w:t>
      </w:r>
    </w:p>
    <w:p>
      <w:pPr>
        <w:spacing w:after="0" w:line="1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u w:val="single" w:color="auto"/>
          <w:color w:val="0000FF"/>
        </w:rPr>
        <w:t>investors@arraytechinc.com</w:t>
      </w:r>
    </w:p>
    <w:p>
      <w:pPr>
        <w:spacing w:after="0" w:line="17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Media Contact:</w:t>
      </w:r>
    </w:p>
    <w:p>
      <w:pPr>
        <w:spacing w:after="0" w:line="8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Steven Kirsch</w:t>
      </w:r>
    </w:p>
    <w:p>
      <w:pPr>
        <w:spacing w:after="0" w:line="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color w:val="auto"/>
        </w:rPr>
        <w:t>505-738-6923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308"/>
          </w:cols>
          <w:pgMar w:left="292" w:top="996"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color w:val="auto"/>
        </w:rPr>
        <w:t>steven.kirsch@arraytechinc.com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3"/>
          <w:szCs w:val="13"/>
          <w:color w:val="auto"/>
        </w:rPr>
        <w:t>This press release contains forward-looking statements that are based on our management’s beliefs and assumptions and on information currently available to our management. Forward-looking statements include information concerning our possible or assumed future results of operations, business strategies, technology or product developments, financing and investment plans, dividend policy, competitive position, industry and regulatory environment, including potential regulatory reform related to energy credits, uncertainty relating to the implementation of tariffs and changes in trade policy, including the reduction or elimination of certain government incentives, ability to provide 100% domestic content trackers, expectations regarding the macroeconomic environment and geopolitical developments, including the effects of tariffs and changes in trade policy, potential growth opportunities and the effects of competition. Forward-looking statements include statements that are not historical facts and can be identified by terms such as “anticipate,” “believe,” “could,” “estimate,” “expect,” “intend,” “may,” “plan,” “potential,” “predict,” “project,” “seek,” “should,” “will,” “would,” “designed to” “positioned” or similar expressions and the negatives of those terms.</w:t>
      </w:r>
    </w:p>
    <w:p>
      <w:pPr>
        <w:spacing w:after="0" w:line="29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3"/>
          <w:szCs w:val="13"/>
          <w:color w:val="auto"/>
        </w:rPr>
        <w:t>ARRAY’s actual results and the timing of events could materially differ from those anticipated in such forward-looking statements as a result of certain risks, uncertainties and other factors, including without limitation: changes in growth or the rate of growth in demand for solar energy projects; factors outside of our control affecting the variability and demand for solar energy, including but not limited to, the retail price of electricity, availability of in-demand components like high-voltage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One Big Beautiful Bill Act,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changes in the global trade environment, including the continuation or imposition of import tariffs or other import restrictions; geopolitical, macroeconomic and other market conditions unrelated to our operating performance including but not limited to a pandemic, the Russia-Ukraine war, attacks on shipping in the Red Sea, conflict in the Middle East (including, but not limited to, the war in Iran), changing trade policies,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rights;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and the use of artificial intelligence by cyber threat actors;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300"/>
          </w:cols>
          <w:pgMar w:left="300" w:top="998" w:right="299" w:bottom="1440" w:gutter="0" w:footer="0" w:header="0"/>
        </w:sectPr>
      </w:pPr>
    </w:p>
    <w:bookmarkStart w:id="6" w:name="page7"/>
    <w:bookmarkEnd w:id="6"/>
    <w:p>
      <w:pPr>
        <w:jc w:val="both"/>
        <w:ind w:left="8"/>
        <w:spacing w:after="0" w:line="256" w:lineRule="auto"/>
        <w:rPr>
          <w:sz w:val="20"/>
          <w:szCs w:val="20"/>
          <w:color w:val="auto"/>
        </w:rPr>
      </w:pPr>
      <w:r>
        <w:rPr>
          <w:rFonts w:ascii="Times New Roman" w:cs="Times New Roman" w:eastAsia="Times New Roman" w:hAnsi="Times New Roman"/>
          <w:sz w:val="13"/>
          <w:szCs w:val="13"/>
          <w:color w:val="auto"/>
        </w:rPr>
        <w:t>regulations, that are applied adversely to us or our customers; our ability to successfully integrate APA Solar, LLC into our existing operations and realize the anticipated benefits or synergies of the acquisition; and other factors listed and described in more detail in the section captioned “Risk Factors” in our Annual Report on Form 10-K, our Quarterly Reports on Form 10-Q, and our other documents on file with the U.S. Securities and Exchange Commission, each of which can be found on our website, www.arraytechinc.com.</w:t>
      </w:r>
    </w:p>
    <w:p>
      <w:pPr>
        <w:spacing w:after="0" w:line="125"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3"/>
          <w:szCs w:val="13"/>
          <w:color w:val="auto"/>
        </w:rPr>
        <w:t>Given these uncertainties, you should not place undue reliance on forward-looking statements. Also, forward-looking statements represent our management’s beliefs and assumptions only as of the date of this report. You should read this press release with the understanding that our actual future results may be materially different from what we expect.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3"/>
          <w:szCs w:val="13"/>
          <w:b w:val="1"/>
          <w:bCs w:val="1"/>
          <w:color w:val="auto"/>
        </w:rPr>
        <w:t xml:space="preserve">Non-GAAP </w:t>
      </w:r>
      <w:r>
        <w:rPr>
          <w:rFonts w:ascii="Times New Roman" w:cs="Times New Roman" w:eastAsia="Times New Roman" w:hAnsi="Times New Roman"/>
          <w:sz w:val="14"/>
          <w:szCs w:val="14"/>
          <w:b w:val="1"/>
          <w:bCs w:val="1"/>
          <w:color w:val="auto"/>
        </w:rPr>
        <w:t>Financial</w:t>
      </w:r>
      <w:r>
        <w:rPr>
          <w:rFonts w:ascii="Times New Roman" w:cs="Times New Roman" w:eastAsia="Times New Roman" w:hAnsi="Times New Roman"/>
          <w:sz w:val="13"/>
          <w:szCs w:val="13"/>
          <w:b w:val="1"/>
          <w:bCs w:val="1"/>
          <w:color w:val="auto"/>
        </w:rPr>
        <w:t xml:space="preserve"> Information</w:t>
      </w:r>
    </w:p>
    <w:p>
      <w:pPr>
        <w:spacing w:after="0" w:line="79" w:lineRule="exact"/>
        <w:rPr>
          <w:sz w:val="20"/>
          <w:szCs w:val="20"/>
          <w:color w:val="auto"/>
        </w:rPr>
      </w:pPr>
    </w:p>
    <w:p>
      <w:pPr>
        <w:jc w:val="both"/>
        <w:ind w:left="8" w:right="20"/>
        <w:spacing w:after="0" w:line="281" w:lineRule="auto"/>
        <w:rPr>
          <w:sz w:val="20"/>
          <w:szCs w:val="20"/>
          <w:color w:val="auto"/>
        </w:rPr>
      </w:pPr>
      <w:r>
        <w:rPr>
          <w:rFonts w:ascii="Times New Roman" w:cs="Times New Roman" w:eastAsia="Times New Roman" w:hAnsi="Times New Roman"/>
          <w:sz w:val="13"/>
          <w:szCs w:val="13"/>
          <w:color w:val="auto"/>
        </w:rPr>
        <w:t>This press release includes certain financial measures that are not presented in accordance with U.S. generally accepted accounting principles (“GAAP”), including Adjusted gross profit, Adjusted gross margin, Adjusted EBITDA, Adjusted net (loss) income, Adjusted net (loss) income per common share, Adjusted general and administrative expense and Free cash flow.</w:t>
      </w:r>
    </w:p>
    <w:p>
      <w:pPr>
        <w:spacing w:after="0" w:line="118" w:lineRule="exact"/>
        <w:rPr>
          <w:sz w:val="20"/>
          <w:szCs w:val="20"/>
          <w:color w:val="auto"/>
        </w:rPr>
      </w:pPr>
    </w:p>
    <w:p>
      <w:pPr>
        <w:jc w:val="both"/>
        <w:ind w:left="8" w:right="20"/>
        <w:spacing w:after="0" w:line="242" w:lineRule="auto"/>
        <w:rPr>
          <w:sz w:val="20"/>
          <w:szCs w:val="20"/>
          <w:color w:val="auto"/>
        </w:rPr>
      </w:pPr>
      <w:r>
        <w:rPr>
          <w:rFonts w:ascii="Times New Roman" w:cs="Times New Roman" w:eastAsia="Times New Roman" w:hAnsi="Times New Roman"/>
          <w:sz w:val="13"/>
          <w:szCs w:val="13"/>
          <w:color w:val="auto"/>
        </w:rPr>
        <w:t>We define Adjusted gross profit as gross profit plus (i) amortization of developed technology and backlog and (ii) acquisition-related expenses. We define Adjusted gross margin as Adjusted gross profit as a percentage of revenue. We define Adjusted EBITDA as net (loss) income to common stockholders plus (i) other (income) expense, net, (ii) foreign currency (gain) loss, net, (iii) preferred dividends and accretion,</w:t>
      </w:r>
    </w:p>
    <w:p>
      <w:pPr>
        <w:spacing w:after="0" w:line="1" w:lineRule="exact"/>
        <w:rPr>
          <w:sz w:val="20"/>
          <w:szCs w:val="20"/>
          <w:color w:val="auto"/>
        </w:rPr>
      </w:pPr>
    </w:p>
    <w:p>
      <w:pPr>
        <w:jc w:val="both"/>
        <w:ind w:left="8" w:hanging="8"/>
        <w:spacing w:after="0" w:line="242" w:lineRule="auto"/>
        <w:tabs>
          <w:tab w:leader="none" w:pos="233"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interest expense, (v) income tax expense, (vi) depreciation expense, (vii) amortization of intangibles, (viii) amortization of developed technology and backlog, (ix) equity-based compensation, (x) change in fair value of contingent consideration, (xi) certain legal expenses, and (xii) acquisition-related expenses. We define Adjusted EBITDA margin as Adjusted EBITDA as a percentage of revenue. We define Adjusted net income as net (loss) income to common stockholders plus (i) amortization of intangibles, (ii) amortization of developed technology and backlog, (iii) amortization of debt discount and issuance costs, (iv) Series A preferred stock accretion, (v) equity-based compensation, (vi) change in fair value of contingent consideration, (vii) certain legal expenses, (viii) acquisition-related expenses, and (ix) income tax expense adjustments. We define Adjusted general and administrative expense as general and administrative expense less (i) equity-based compensation, (ii) certain legal expenses, and (iii) acquisition-related expenses. We define Free cash flow as Net cash used in operating activities less purchase of property, plant and equipment.</w:t>
      </w:r>
    </w:p>
    <w:p>
      <w:pPr>
        <w:spacing w:after="0" w:line="135"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3"/>
          <w:szCs w:val="13"/>
          <w:color w:val="auto"/>
        </w:rPr>
        <w:t>A detailed reconciliation between GAAP results and results excluding special items (“non-GAAP”) is included within this press release. We calculate net (loss) income per common share as net (loss) income to common stockholders divided by the basic and diluted weighted average number of shares outstanding for the applicable period and we define Adjusted net income per common share as Adjusted net income (as detailed above) divided by the basic and diluted weighted average number of shares outstanding for the applicable period.</w:t>
      </w:r>
    </w:p>
    <w:p>
      <w:pPr>
        <w:spacing w:after="0" w:line="130"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3"/>
          <w:szCs w:val="13"/>
          <w:color w:val="auto"/>
        </w:rPr>
        <w:t>We believe that these non-GAAP financial measures are provided to enhance the reader’s understanding of our past financial performance and our prospects for the future. Our management team uses these non-GAAP financial measures in assessing the Company’s performance, as well as in planning and forecasting future periods. The non-GAAP financial information is presented for supplemental informational purposes only and should not be considered a substitute for financial information presented in accordance with GAAP and may be different from similarly titled non-GAAP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308"/>
          </w:cols>
          <w:pgMar w:left="292" w:top="989" w:right="299" w:bottom="1440" w:gutter="0" w:footer="0" w:header="0"/>
        </w:sectPr>
      </w:pPr>
    </w:p>
    <w:bookmarkStart w:id="7" w:name="page8"/>
    <w:bookmarkEnd w:id="7"/>
    <w:p>
      <w:pPr>
        <w:jc w:val="both"/>
        <w:spacing w:after="0" w:line="249" w:lineRule="auto"/>
        <w:rPr>
          <w:sz w:val="20"/>
          <w:szCs w:val="20"/>
          <w:color w:val="auto"/>
        </w:rPr>
      </w:pPr>
      <w:r>
        <w:rPr>
          <w:rFonts w:ascii="Times New Roman" w:cs="Times New Roman" w:eastAsia="Times New Roman" w:hAnsi="Times New Roman"/>
          <w:sz w:val="13"/>
          <w:szCs w:val="13"/>
          <w:color w:val="auto"/>
        </w:rPr>
        <w:t>Among other limitations, Adjusted gross profit, Adjusted gross margin, Adjusted EBITDA, Adjusted net income, Adjusted net income per common share, Adjusted general and administrative expense and Free cash flow do not reflect our cash expenditures, or future requirements, for capital expenditures or contractual commitments; do not reflect the impact of certain cash charges resulting from matters we consider not to be indicative of our ongoing operations; do not reflect income tax expense or benefit; and other companies in our industry may calculate Adjusted gross profit, Adjusted gross margin, Adjusted EBITDA, Adjusted net income, Adjusted net income per common share, Adjusted general and administrative expense and Free cash flow differently than we do, which limits their usefulness as comparative measures. Because of these limitations, Adjusted gross profit, Adjusted gross margin, Adjusted EBITDA, Adjusted net income, Adjusted net income per common share, Adjusted general and administrative expense and Free cash flow should not be considered in isolation or as substitutes for performance measures calculated in accordance with GAAP.</w:t>
      </w:r>
    </w:p>
    <w:p>
      <w:pPr>
        <w:spacing w:after="0" w:line="14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3"/>
          <w:szCs w:val="13"/>
          <w:color w:val="auto"/>
        </w:rPr>
        <w:t>We compensate for these limitations by relying primarily on our GAAP results and using Adjusted gross profit, Adjusted gross margin, Adjusted EBITDA, Adjusted net income, Adjusted net income per common share, Adjusted general and administrative expense and Free cash flow on a supplemental basis.</w:t>
      </w:r>
    </w:p>
    <w:p>
      <w:pPr>
        <w:spacing w:after="0" w:line="11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You should review the reconciliation of gross profit to Adjusted gross profit and Adjusted gross margin, net (loss) income to Adjusted EBITDA, Adjusted net income and Adjusted net income per common share, General and administrative expense to Adjusted general and administrative expense and Net cash used in operating activities to Free cash flow below and not rely on any single financial measure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300"/>
          </w:cols>
          <w:pgMar w:left="300" w:top="989" w:right="299" w:bottom="1440" w:gutter="0" w:footer="0" w:header="0"/>
        </w:sectPr>
      </w:pPr>
    </w:p>
    <w:bookmarkStart w:id="8" w:name="page9"/>
    <w:bookmarkEnd w:id="8"/>
    <w:p>
      <w:pPr>
        <w:ind w:left="4880"/>
        <w:spacing w:after="0"/>
        <w:rPr>
          <w:sz w:val="20"/>
          <w:szCs w:val="20"/>
          <w:color w:val="auto"/>
        </w:rPr>
      </w:pPr>
      <w:r>
        <w:rPr>
          <w:rFonts w:ascii="Arial" w:cs="Arial" w:eastAsia="Arial" w:hAnsi="Arial"/>
          <w:sz w:val="13"/>
          <w:szCs w:val="13"/>
          <w:b w:val="1"/>
          <w:bCs w:val="1"/>
          <w:color w:val="auto"/>
        </w:rPr>
        <w:t>Array Technologies, Inc.</w:t>
      </w:r>
    </w:p>
    <w:p>
      <w:pPr>
        <w:spacing w:after="0" w:line="2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 xml:space="preserve">Condensed Consolidated Balance Sheets </w:t>
      </w:r>
      <w:r>
        <w:rPr>
          <w:rFonts w:ascii="Arial" w:cs="Arial" w:eastAsia="Arial" w:hAnsi="Arial"/>
          <w:sz w:val="13"/>
          <w:szCs w:val="13"/>
          <w:b w:val="1"/>
          <w:bCs w:val="1"/>
          <w:i w:val="1"/>
          <w:i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thousands, except per share and share amounts)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80" w:type="dxa"/>
            <w:vAlign w:val="bottom"/>
            <w:gridSpan w:val="2"/>
          </w:tcPr>
          <w:p>
            <w:pPr>
              <w:ind w:left="300"/>
              <w:spacing w:after="0"/>
              <w:rPr>
                <w:sz w:val="20"/>
                <w:szCs w:val="20"/>
                <w:color w:val="auto"/>
              </w:rPr>
            </w:pPr>
            <w:r>
              <w:rPr>
                <w:rFonts w:ascii="Arial" w:cs="Arial" w:eastAsia="Arial" w:hAnsi="Arial"/>
                <w:sz w:val="13"/>
                <w:szCs w:val="13"/>
                <w:b w:val="1"/>
                <w:bCs w:val="1"/>
                <w:color w:val="auto"/>
              </w:rPr>
              <w:t>March 31, 2026</w:t>
            </w:r>
          </w:p>
        </w:tc>
        <w:tc>
          <w:tcPr>
            <w:tcW w:w="320" w:type="dxa"/>
            <w:vAlign w:val="bottom"/>
          </w:tcPr>
          <w:p>
            <w:pPr>
              <w:spacing w:after="0"/>
              <w:rPr>
                <w:sz w:val="15"/>
                <w:szCs w:val="15"/>
                <w:color w:val="auto"/>
              </w:rPr>
            </w:pPr>
          </w:p>
        </w:tc>
        <w:tc>
          <w:tcPr>
            <w:tcW w:w="1980" w:type="dxa"/>
            <w:vAlign w:val="bottom"/>
          </w:tcPr>
          <w:p>
            <w:pPr>
              <w:jc w:val="right"/>
              <w:ind w:right="494"/>
              <w:spacing w:after="0"/>
              <w:rPr>
                <w:sz w:val="20"/>
                <w:szCs w:val="20"/>
                <w:color w:val="auto"/>
              </w:rPr>
            </w:pPr>
            <w:r>
              <w:rPr>
                <w:rFonts w:ascii="Arial" w:cs="Arial" w:eastAsia="Arial" w:hAnsi="Arial"/>
                <w:sz w:val="13"/>
                <w:szCs w:val="13"/>
                <w:b w:val="1"/>
                <w:bCs w:val="1"/>
                <w:color w:val="auto"/>
              </w:rPr>
              <w:t>December 31, 2025</w:t>
            </w:r>
          </w:p>
        </w:tc>
      </w:tr>
      <w:tr>
        <w:trPr>
          <w:trHeight w:val="154"/>
        </w:trPr>
        <w:tc>
          <w:tcPr>
            <w:tcW w:w="4900" w:type="dxa"/>
            <w:vAlign w:val="bottom"/>
            <w:tcBorders>
              <w:top w:val="single" w:sz="8" w:color="CCEEFF"/>
            </w:tcBorders>
            <w:shd w:val="clear" w:color="auto" w:fill="CCEEFF"/>
          </w:tcPr>
          <w:p>
            <w:pPr>
              <w:spacing w:after="0"/>
              <w:rPr>
                <w:sz w:val="13"/>
                <w:szCs w:val="13"/>
                <w:color w:val="auto"/>
              </w:rPr>
            </w:pPr>
          </w:p>
        </w:tc>
        <w:tc>
          <w:tcPr>
            <w:tcW w:w="1740" w:type="dxa"/>
            <w:vAlign w:val="bottom"/>
            <w:tcBorders>
              <w:top w:val="single" w:sz="8" w:color="CCEEFF"/>
            </w:tcBorders>
            <w:shd w:val="clear" w:color="auto" w:fill="CCEEFF"/>
          </w:tcPr>
          <w:p>
            <w:pPr>
              <w:jc w:val="center"/>
              <w:ind w:right="194"/>
              <w:spacing w:after="0"/>
              <w:rPr>
                <w:sz w:val="20"/>
                <w:szCs w:val="20"/>
                <w:color w:val="auto"/>
              </w:rPr>
            </w:pPr>
            <w:r>
              <w:rPr>
                <w:rFonts w:ascii="Arial" w:cs="Arial" w:eastAsia="Arial" w:hAnsi="Arial"/>
                <w:sz w:val="13"/>
                <w:szCs w:val="13"/>
                <w:b w:val="1"/>
                <w:bCs w:val="1"/>
                <w:color w:val="auto"/>
                <w:w w:val="99"/>
              </w:rPr>
              <w:t>ASSETS</w:t>
            </w:r>
          </w:p>
        </w:tc>
        <w:tc>
          <w:tcPr>
            <w:tcW w:w="380" w:type="dxa"/>
            <w:vAlign w:val="bottom"/>
            <w:tcBorders>
              <w:top w:val="single" w:sz="8" w:color="auto"/>
            </w:tcBorders>
            <w:shd w:val="clear" w:color="auto" w:fill="CCEEFF"/>
          </w:tcPr>
          <w:p>
            <w:pPr>
              <w:spacing w:after="0"/>
              <w:rPr>
                <w:sz w:val="13"/>
                <w:szCs w:val="13"/>
                <w:color w:val="auto"/>
              </w:rPr>
            </w:pPr>
          </w:p>
        </w:tc>
        <w:tc>
          <w:tcPr>
            <w:tcW w:w="19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1980" w:type="dxa"/>
            <w:vAlign w:val="bottom"/>
            <w:tcBorders>
              <w:top w:val="single" w:sz="8" w:color="auto"/>
            </w:tcBorders>
            <w:shd w:val="clear" w:color="auto" w:fill="CCEEFF"/>
          </w:tcPr>
          <w:p>
            <w:pPr>
              <w:spacing w:after="0"/>
              <w:rPr>
                <w:sz w:val="13"/>
                <w:szCs w:val="13"/>
                <w:color w:val="auto"/>
              </w:rPr>
            </w:pPr>
          </w:p>
        </w:tc>
      </w:tr>
      <w:tr>
        <w:trPr>
          <w:trHeight w:val="171"/>
        </w:trPr>
        <w:tc>
          <w:tcPr>
            <w:tcW w:w="4900" w:type="dxa"/>
            <w:vAlign w:val="bottom"/>
          </w:tcPr>
          <w:p>
            <w:pPr>
              <w:spacing w:after="0"/>
              <w:rPr>
                <w:sz w:val="20"/>
                <w:szCs w:val="20"/>
                <w:color w:val="auto"/>
              </w:rPr>
            </w:pPr>
            <w:r>
              <w:rPr>
                <w:rFonts w:ascii="Arial" w:cs="Arial" w:eastAsia="Arial" w:hAnsi="Arial"/>
                <w:sz w:val="13"/>
                <w:szCs w:val="13"/>
                <w:color w:val="auto"/>
              </w:rPr>
              <w:t>Current assets</w:t>
            </w: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2120" w:type="dxa"/>
            <w:vAlign w:val="bottom"/>
            <w:gridSpan w:val="2"/>
            <w:shd w:val="clear" w:color="auto" w:fill="CCEEFF"/>
          </w:tcPr>
          <w:p>
            <w:pPr>
              <w:jc w:val="right"/>
              <w:ind w:right="234"/>
              <w:spacing w:after="0"/>
              <w:rPr>
                <w:sz w:val="20"/>
                <w:szCs w:val="20"/>
                <w:color w:val="auto"/>
              </w:rPr>
            </w:pPr>
            <w:r>
              <w:rPr>
                <w:rFonts w:ascii="Arial" w:cs="Arial" w:eastAsia="Arial" w:hAnsi="Arial"/>
                <w:sz w:val="13"/>
                <w:szCs w:val="13"/>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200,702</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54"/>
              <w:spacing w:after="0"/>
              <w:rPr>
                <w:sz w:val="20"/>
                <w:szCs w:val="20"/>
                <w:color w:val="auto"/>
              </w:rPr>
            </w:pPr>
            <w:r>
              <w:rPr>
                <w:rFonts w:ascii="Arial" w:cs="Arial" w:eastAsia="Arial" w:hAnsi="Arial"/>
                <w:sz w:val="13"/>
                <w:szCs w:val="13"/>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244,388</w:t>
            </w:r>
          </w:p>
        </w:tc>
      </w:tr>
      <w:tr>
        <w:trPr>
          <w:trHeight w:val="171"/>
        </w:trPr>
        <w:tc>
          <w:tcPr>
            <w:tcW w:w="4900" w:type="dxa"/>
            <w:vAlign w:val="bottom"/>
          </w:tcPr>
          <w:p>
            <w:pPr>
              <w:ind w:left="140"/>
              <w:spacing w:after="0"/>
              <w:rPr>
                <w:sz w:val="20"/>
                <w:szCs w:val="20"/>
                <w:color w:val="auto"/>
              </w:rPr>
            </w:pPr>
            <w:r>
              <w:rPr>
                <w:rFonts w:ascii="Arial" w:cs="Arial" w:eastAsia="Arial" w:hAnsi="Arial"/>
                <w:sz w:val="13"/>
                <w:szCs w:val="13"/>
                <w:color w:val="auto"/>
              </w:rPr>
              <w:t>Restricted cash</w:t>
            </w: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1,291</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1,596</w:t>
            </w:r>
          </w:p>
        </w:tc>
      </w:tr>
      <w:tr>
        <w:trPr>
          <w:trHeight w:val="171"/>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Accounts receivable, net of allowance of $6,800 and $6,245, respectively</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292,327</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271,578</w:t>
            </w:r>
          </w:p>
        </w:tc>
      </w:tr>
      <w:tr>
        <w:trPr>
          <w:trHeight w:val="171"/>
        </w:trPr>
        <w:tc>
          <w:tcPr>
            <w:tcW w:w="4900" w:type="dxa"/>
            <w:vAlign w:val="bottom"/>
          </w:tcPr>
          <w:p>
            <w:pPr>
              <w:ind w:left="140"/>
              <w:spacing w:after="0"/>
              <w:rPr>
                <w:sz w:val="20"/>
                <w:szCs w:val="20"/>
                <w:color w:val="auto"/>
              </w:rPr>
            </w:pPr>
            <w:r>
              <w:rPr>
                <w:rFonts w:ascii="Arial" w:cs="Arial" w:eastAsia="Arial" w:hAnsi="Arial"/>
                <w:sz w:val="13"/>
                <w:szCs w:val="13"/>
                <w:color w:val="auto"/>
              </w:rPr>
              <w:t>Inventories, net</w:t>
            </w: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167,973</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150,374</w:t>
            </w:r>
          </w:p>
        </w:tc>
      </w:tr>
      <w:tr>
        <w:trPr>
          <w:trHeight w:val="171"/>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Prepaid expenses and other</w:t>
            </w:r>
          </w:p>
        </w:tc>
        <w:tc>
          <w:tcPr>
            <w:tcW w:w="17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217,126</w:t>
            </w: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201,108</w:t>
            </w:r>
          </w:p>
        </w:tc>
      </w:tr>
      <w:tr>
        <w:trPr>
          <w:trHeight w:val="160"/>
        </w:trPr>
        <w:tc>
          <w:tcPr>
            <w:tcW w:w="4900" w:type="dxa"/>
            <w:vAlign w:val="bottom"/>
          </w:tcPr>
          <w:p>
            <w:pPr>
              <w:ind w:left="320"/>
              <w:spacing w:after="0"/>
              <w:rPr>
                <w:sz w:val="20"/>
                <w:szCs w:val="20"/>
                <w:color w:val="auto"/>
              </w:rPr>
            </w:pPr>
            <w:r>
              <w:rPr>
                <w:rFonts w:ascii="Arial" w:cs="Arial" w:eastAsia="Arial" w:hAnsi="Arial"/>
                <w:sz w:val="13"/>
                <w:szCs w:val="13"/>
                <w:color w:val="auto"/>
              </w:rPr>
              <w:t>Total current assets</w:t>
            </w:r>
          </w:p>
        </w:tc>
        <w:tc>
          <w:tcPr>
            <w:tcW w:w="17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879,419</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869,044</w:t>
            </w:r>
          </w:p>
        </w:tc>
      </w:tr>
      <w:tr>
        <w:trPr>
          <w:trHeight w:val="180"/>
        </w:trPr>
        <w:tc>
          <w:tcPr>
            <w:tcW w:w="49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171"/>
        </w:trPr>
        <w:tc>
          <w:tcPr>
            <w:tcW w:w="4900" w:type="dxa"/>
            <w:vAlign w:val="bottom"/>
          </w:tcPr>
          <w:p>
            <w:pPr>
              <w:spacing w:after="0"/>
              <w:rPr>
                <w:sz w:val="20"/>
                <w:szCs w:val="20"/>
                <w:color w:val="auto"/>
              </w:rPr>
            </w:pPr>
            <w:r>
              <w:rPr>
                <w:rFonts w:ascii="Arial" w:cs="Arial" w:eastAsia="Arial" w:hAnsi="Arial"/>
                <w:sz w:val="13"/>
                <w:szCs w:val="13"/>
                <w:color w:val="auto"/>
              </w:rPr>
              <w:t>Property, plant and equipment, net</w:t>
            </w: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62,136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58,225</w:t>
            </w:r>
          </w:p>
        </w:tc>
      </w:tr>
      <w:tr>
        <w:trPr>
          <w:trHeight w:val="171"/>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Lease assets</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94,531</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97,088</w:t>
            </w:r>
          </w:p>
        </w:tc>
      </w:tr>
      <w:tr>
        <w:trPr>
          <w:trHeight w:val="171"/>
        </w:trPr>
        <w:tc>
          <w:tcPr>
            <w:tcW w:w="4900" w:type="dxa"/>
            <w:vAlign w:val="bottom"/>
          </w:tcPr>
          <w:p>
            <w:pPr>
              <w:spacing w:after="0"/>
              <w:rPr>
                <w:sz w:val="20"/>
                <w:szCs w:val="20"/>
                <w:color w:val="auto"/>
              </w:rPr>
            </w:pPr>
            <w:r>
              <w:rPr>
                <w:rFonts w:ascii="Arial" w:cs="Arial" w:eastAsia="Arial" w:hAnsi="Arial"/>
                <w:sz w:val="13"/>
                <w:szCs w:val="13"/>
                <w:color w:val="auto"/>
              </w:rPr>
              <w:t>Goodwill</w:t>
            </w: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135,173</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135,173</w:t>
            </w:r>
          </w:p>
        </w:tc>
      </w:tr>
      <w:tr>
        <w:trPr>
          <w:trHeight w:val="171"/>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Other intangible assets, net</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224,921</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238,579</w:t>
            </w:r>
          </w:p>
        </w:tc>
      </w:tr>
      <w:tr>
        <w:trPr>
          <w:trHeight w:val="171"/>
        </w:trPr>
        <w:tc>
          <w:tcPr>
            <w:tcW w:w="4900" w:type="dxa"/>
            <w:vAlign w:val="bottom"/>
          </w:tcPr>
          <w:p>
            <w:pPr>
              <w:spacing w:after="0"/>
              <w:rPr>
                <w:sz w:val="20"/>
                <w:szCs w:val="20"/>
                <w:color w:val="auto"/>
              </w:rPr>
            </w:pPr>
            <w:r>
              <w:rPr>
                <w:rFonts w:ascii="Arial" w:cs="Arial" w:eastAsia="Arial" w:hAnsi="Arial"/>
                <w:sz w:val="13"/>
                <w:szCs w:val="13"/>
                <w:color w:val="auto"/>
              </w:rPr>
              <w:t>Deferred income tax assets</w:t>
            </w: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24,735</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23,965</w:t>
            </w:r>
          </w:p>
        </w:tc>
      </w:tr>
      <w:tr>
        <w:trPr>
          <w:trHeight w:val="171"/>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Other assets</w:t>
            </w:r>
          </w:p>
        </w:tc>
        <w:tc>
          <w:tcPr>
            <w:tcW w:w="174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54,112</w:t>
            </w: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29,718</w:t>
            </w:r>
          </w:p>
        </w:tc>
      </w:tr>
      <w:tr>
        <w:trPr>
          <w:trHeight w:val="176"/>
        </w:trPr>
        <w:tc>
          <w:tcPr>
            <w:tcW w:w="4900" w:type="dxa"/>
            <w:vAlign w:val="bottom"/>
            <w:tcBorders>
              <w:bottom w:val="single" w:sz="8" w:color="CCEEFF"/>
            </w:tcBorders>
          </w:tcPr>
          <w:p>
            <w:pPr>
              <w:ind w:left="320"/>
              <w:spacing w:after="0"/>
              <w:rPr>
                <w:sz w:val="20"/>
                <w:szCs w:val="20"/>
                <w:color w:val="auto"/>
              </w:rPr>
            </w:pPr>
            <w:r>
              <w:rPr>
                <w:rFonts w:ascii="Arial" w:cs="Arial" w:eastAsia="Arial" w:hAnsi="Arial"/>
                <w:sz w:val="13"/>
                <w:szCs w:val="13"/>
                <w:color w:val="auto"/>
              </w:rPr>
              <w:t>Total assets</w:t>
            </w:r>
          </w:p>
        </w:tc>
        <w:tc>
          <w:tcPr>
            <w:tcW w:w="174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jc w:val="right"/>
              <w:ind w:right="234"/>
              <w:spacing w:after="0"/>
              <w:rPr>
                <w:sz w:val="20"/>
                <w:szCs w:val="20"/>
                <w:color w:val="auto"/>
              </w:rPr>
            </w:pPr>
            <w:r>
              <w:rPr>
                <w:rFonts w:ascii="Arial" w:cs="Arial" w:eastAsia="Arial" w:hAnsi="Arial"/>
                <w:sz w:val="13"/>
                <w:szCs w:val="13"/>
                <w:color w:val="auto"/>
                <w:w w:val="82"/>
              </w:rPr>
              <w:t>$</w:t>
            </w: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1,475,027</w:t>
            </w: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1,451,792</w:t>
            </w:r>
          </w:p>
        </w:tc>
      </w:tr>
      <w:tr>
        <w:trPr>
          <w:trHeight w:val="162"/>
        </w:trPr>
        <w:tc>
          <w:tcPr>
            <w:tcW w:w="490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r>
      <w:tr>
        <w:trPr>
          <w:trHeight w:val="171"/>
        </w:trPr>
        <w:tc>
          <w:tcPr>
            <w:tcW w:w="9000" w:type="dxa"/>
            <w:vAlign w:val="bottom"/>
            <w:gridSpan w:val="5"/>
          </w:tcPr>
          <w:p>
            <w:pPr>
              <w:jc w:val="center"/>
              <w:ind w:left="2214"/>
              <w:spacing w:after="0"/>
              <w:rPr>
                <w:sz w:val="20"/>
                <w:szCs w:val="20"/>
                <w:color w:val="auto"/>
              </w:rPr>
            </w:pPr>
            <w:r>
              <w:rPr>
                <w:rFonts w:ascii="Arial" w:cs="Arial" w:eastAsia="Arial" w:hAnsi="Arial"/>
                <w:sz w:val="13"/>
                <w:szCs w:val="13"/>
                <w:b w:val="1"/>
                <w:bCs w:val="1"/>
                <w:color w:val="auto"/>
              </w:rPr>
              <w:t>LIABILITIES, REDEEMABLE PERPETUAL PREFERRED STOCK AND STOCKHOLDERS' EQUITY</w:t>
            </w:r>
          </w:p>
        </w:tc>
        <w:tc>
          <w:tcPr>
            <w:tcW w:w="320" w:type="dxa"/>
            <w:vAlign w:val="bottom"/>
          </w:tcPr>
          <w:p>
            <w:pPr>
              <w:spacing w:after="0"/>
              <w:rPr>
                <w:sz w:val="14"/>
                <w:szCs w:val="14"/>
                <w:color w:val="auto"/>
              </w:rPr>
            </w:pPr>
          </w:p>
        </w:tc>
        <w:tc>
          <w:tcPr>
            <w:tcW w:w="1980" w:type="dxa"/>
            <w:vAlign w:val="bottom"/>
          </w:tcPr>
          <w:p>
            <w:pPr>
              <w:spacing w:after="0"/>
              <w:rPr>
                <w:sz w:val="14"/>
                <w:szCs w:val="14"/>
                <w:color w:val="auto"/>
              </w:rPr>
            </w:pPr>
          </w:p>
        </w:tc>
      </w:tr>
      <w:tr>
        <w:trPr>
          <w:trHeight w:val="171"/>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Current liabilities</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r>
      <w:tr>
        <w:trPr>
          <w:trHeight w:val="171"/>
        </w:trPr>
        <w:tc>
          <w:tcPr>
            <w:tcW w:w="490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2120" w:type="dxa"/>
            <w:vAlign w:val="bottom"/>
            <w:gridSpan w:val="2"/>
          </w:tcPr>
          <w:p>
            <w:pPr>
              <w:jc w:val="right"/>
              <w:ind w:right="234"/>
              <w:spacing w:after="0"/>
              <w:rPr>
                <w:sz w:val="20"/>
                <w:szCs w:val="20"/>
                <w:color w:val="auto"/>
              </w:rPr>
            </w:pPr>
            <w:r>
              <w:rPr>
                <w:rFonts w:ascii="Arial" w:cs="Arial" w:eastAsia="Arial" w:hAnsi="Arial"/>
                <w:sz w:val="13"/>
                <w:szCs w:val="13"/>
                <w:color w:val="auto"/>
              </w:rPr>
              <w:t>$</w:t>
            </w:r>
          </w:p>
        </w:tc>
        <w:tc>
          <w:tcPr>
            <w:tcW w:w="1920" w:type="dxa"/>
            <w:vAlign w:val="bottom"/>
          </w:tcPr>
          <w:p>
            <w:pPr>
              <w:jc w:val="right"/>
              <w:spacing w:after="0"/>
              <w:rPr>
                <w:sz w:val="20"/>
                <w:szCs w:val="20"/>
                <w:color w:val="auto"/>
              </w:rPr>
            </w:pPr>
            <w:r>
              <w:rPr>
                <w:rFonts w:ascii="Arial" w:cs="Arial" w:eastAsia="Arial" w:hAnsi="Arial"/>
                <w:sz w:val="13"/>
                <w:szCs w:val="13"/>
                <w:color w:val="auto"/>
              </w:rPr>
              <w:t>142,172</w:t>
            </w:r>
          </w:p>
        </w:tc>
        <w:tc>
          <w:tcPr>
            <w:tcW w:w="60" w:type="dxa"/>
            <w:vAlign w:val="bottom"/>
          </w:tcPr>
          <w:p>
            <w:pPr>
              <w:spacing w:after="0"/>
              <w:rPr>
                <w:sz w:val="14"/>
                <w:szCs w:val="14"/>
                <w:color w:val="auto"/>
              </w:rPr>
            </w:pPr>
          </w:p>
        </w:tc>
        <w:tc>
          <w:tcPr>
            <w:tcW w:w="320" w:type="dxa"/>
            <w:vAlign w:val="bottom"/>
          </w:tcPr>
          <w:p>
            <w:pPr>
              <w:jc w:val="right"/>
              <w:ind w:right="154"/>
              <w:spacing w:after="0"/>
              <w:rPr>
                <w:sz w:val="20"/>
                <w:szCs w:val="20"/>
                <w:color w:val="auto"/>
              </w:rPr>
            </w:pPr>
            <w:r>
              <w:rPr>
                <w:rFonts w:ascii="Arial" w:cs="Arial" w:eastAsia="Arial" w:hAnsi="Arial"/>
                <w:sz w:val="13"/>
                <w:szCs w:val="13"/>
                <w:color w:val="auto"/>
              </w:rPr>
              <w:t>$</w:t>
            </w:r>
          </w:p>
        </w:tc>
        <w:tc>
          <w:tcPr>
            <w:tcW w:w="1980" w:type="dxa"/>
            <w:vAlign w:val="bottom"/>
          </w:tcPr>
          <w:p>
            <w:pPr>
              <w:jc w:val="right"/>
              <w:spacing w:after="0"/>
              <w:rPr>
                <w:sz w:val="20"/>
                <w:szCs w:val="20"/>
                <w:color w:val="auto"/>
              </w:rPr>
            </w:pPr>
            <w:r>
              <w:rPr>
                <w:rFonts w:ascii="Arial" w:cs="Arial" w:eastAsia="Arial" w:hAnsi="Arial"/>
                <w:sz w:val="13"/>
                <w:szCs w:val="13"/>
                <w:color w:val="auto"/>
              </w:rPr>
              <w:t>143,994</w:t>
            </w:r>
          </w:p>
        </w:tc>
      </w:tr>
      <w:tr>
        <w:trPr>
          <w:trHeight w:val="171"/>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62,777</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54,289</w:t>
            </w:r>
          </w:p>
        </w:tc>
      </w:tr>
      <w:tr>
        <w:trPr>
          <w:trHeight w:val="171"/>
        </w:trPr>
        <w:tc>
          <w:tcPr>
            <w:tcW w:w="4900" w:type="dxa"/>
            <w:vAlign w:val="bottom"/>
          </w:tcPr>
          <w:p>
            <w:pPr>
              <w:ind w:left="140"/>
              <w:spacing w:after="0"/>
              <w:rPr>
                <w:sz w:val="20"/>
                <w:szCs w:val="20"/>
                <w:color w:val="auto"/>
              </w:rPr>
            </w:pPr>
            <w:r>
              <w:rPr>
                <w:rFonts w:ascii="Arial" w:cs="Arial" w:eastAsia="Arial" w:hAnsi="Arial"/>
                <w:sz w:val="13"/>
                <w:szCs w:val="13"/>
                <w:color w:val="auto"/>
              </w:rPr>
              <w:t>Income tax payable</w:t>
            </w: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5,685</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4,687</w:t>
            </w:r>
          </w:p>
        </w:tc>
      </w:tr>
      <w:tr>
        <w:trPr>
          <w:trHeight w:val="171"/>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Deferred revenue</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138,527</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128,433</w:t>
            </w:r>
          </w:p>
        </w:tc>
      </w:tr>
      <w:tr>
        <w:trPr>
          <w:trHeight w:val="171"/>
        </w:trPr>
        <w:tc>
          <w:tcPr>
            <w:tcW w:w="4900" w:type="dxa"/>
            <w:vAlign w:val="bottom"/>
          </w:tcPr>
          <w:p>
            <w:pPr>
              <w:ind w:left="140"/>
              <w:spacing w:after="0"/>
              <w:rPr>
                <w:sz w:val="20"/>
                <w:szCs w:val="20"/>
                <w:color w:val="auto"/>
              </w:rPr>
            </w:pPr>
            <w:r>
              <w:rPr>
                <w:rFonts w:ascii="Arial" w:cs="Arial" w:eastAsia="Arial" w:hAnsi="Arial"/>
                <w:sz w:val="13"/>
                <w:szCs w:val="13"/>
                <w:color w:val="auto"/>
              </w:rPr>
              <w:t>Current portion of contingent consideration</w:t>
            </w: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10,248</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14,551</w:t>
            </w:r>
          </w:p>
        </w:tc>
      </w:tr>
      <w:tr>
        <w:trPr>
          <w:trHeight w:val="171"/>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warranty liability</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12,018</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10,844</w:t>
            </w:r>
          </w:p>
        </w:tc>
      </w:tr>
      <w:tr>
        <w:trPr>
          <w:trHeight w:val="171"/>
        </w:trPr>
        <w:tc>
          <w:tcPr>
            <w:tcW w:w="4900" w:type="dxa"/>
            <w:vAlign w:val="bottom"/>
          </w:tcPr>
          <w:p>
            <w:pPr>
              <w:ind w:left="140"/>
              <w:spacing w:after="0"/>
              <w:rPr>
                <w:sz w:val="20"/>
                <w:szCs w:val="20"/>
                <w:color w:val="auto"/>
              </w:rPr>
            </w:pPr>
            <w:r>
              <w:rPr>
                <w:rFonts w:ascii="Arial" w:cs="Arial" w:eastAsia="Arial" w:hAnsi="Arial"/>
                <w:sz w:val="13"/>
                <w:szCs w:val="13"/>
                <w:color w:val="auto"/>
              </w:rPr>
              <w:t>Current portion of lease liabilities</w:t>
            </w: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7,587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7,662</w:t>
            </w:r>
          </w:p>
        </w:tc>
      </w:tr>
      <w:tr>
        <w:trPr>
          <w:trHeight w:val="171"/>
        </w:trPr>
        <w:tc>
          <w:tcPr>
            <w:tcW w:w="4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Current portion of debt</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9,464</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10,315</w:t>
            </w:r>
          </w:p>
        </w:tc>
      </w:tr>
      <w:tr>
        <w:trPr>
          <w:trHeight w:val="171"/>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current liabilities</w:t>
            </w:r>
          </w:p>
        </w:tc>
        <w:tc>
          <w:tcPr>
            <w:tcW w:w="17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1,925</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2,237</w:t>
            </w:r>
          </w:p>
        </w:tc>
      </w:tr>
      <w:tr>
        <w:trPr>
          <w:trHeight w:val="160"/>
        </w:trPr>
        <w:tc>
          <w:tcPr>
            <w:tcW w:w="49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Total current liabilities</w:t>
            </w:r>
          </w:p>
        </w:tc>
        <w:tc>
          <w:tcPr>
            <w:tcW w:w="1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390,403</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377,012</w:t>
            </w:r>
          </w:p>
        </w:tc>
      </w:tr>
      <w:tr>
        <w:trPr>
          <w:trHeight w:val="180"/>
        </w:trPr>
        <w:tc>
          <w:tcPr>
            <w:tcW w:w="49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80" w:type="dxa"/>
            <w:vAlign w:val="bottom"/>
          </w:tcPr>
          <w:p>
            <w:pPr>
              <w:spacing w:after="0"/>
              <w:rPr>
                <w:sz w:val="15"/>
                <w:szCs w:val="15"/>
                <w:color w:val="auto"/>
              </w:rPr>
            </w:pPr>
          </w:p>
        </w:tc>
      </w:tr>
      <w:tr>
        <w:trPr>
          <w:trHeight w:val="171"/>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Deferred income tax liabilities</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21,307</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22,133</w:t>
            </w:r>
          </w:p>
        </w:tc>
      </w:tr>
      <w:tr>
        <w:trPr>
          <w:trHeight w:val="171"/>
        </w:trPr>
        <w:tc>
          <w:tcPr>
            <w:tcW w:w="4900" w:type="dxa"/>
            <w:vAlign w:val="bottom"/>
          </w:tcPr>
          <w:p>
            <w:pPr>
              <w:spacing w:after="0"/>
              <w:rPr>
                <w:sz w:val="20"/>
                <w:szCs w:val="20"/>
                <w:color w:val="auto"/>
              </w:rPr>
            </w:pPr>
            <w:r>
              <w:rPr>
                <w:rFonts w:ascii="Arial" w:cs="Arial" w:eastAsia="Arial" w:hAnsi="Arial"/>
                <w:sz w:val="13"/>
                <w:szCs w:val="13"/>
                <w:color w:val="auto"/>
              </w:rPr>
              <w:t>Contingent consideration, net of current portion</w:t>
            </w: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11,882</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12,739</w:t>
            </w:r>
          </w:p>
        </w:tc>
      </w:tr>
      <w:tr>
        <w:trPr>
          <w:trHeight w:val="171"/>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Warranty liability, net of current portion</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5,209</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5,466</w:t>
            </w:r>
          </w:p>
        </w:tc>
      </w:tr>
      <w:tr>
        <w:trPr>
          <w:trHeight w:val="171"/>
        </w:trPr>
        <w:tc>
          <w:tcPr>
            <w:tcW w:w="4900" w:type="dxa"/>
            <w:vAlign w:val="bottom"/>
          </w:tcPr>
          <w:p>
            <w:pPr>
              <w:spacing w:after="0"/>
              <w:rPr>
                <w:sz w:val="20"/>
                <w:szCs w:val="20"/>
                <w:color w:val="auto"/>
              </w:rPr>
            </w:pPr>
            <w:r>
              <w:rPr>
                <w:rFonts w:ascii="Arial" w:cs="Arial" w:eastAsia="Arial" w:hAnsi="Arial"/>
                <w:sz w:val="13"/>
                <w:szCs w:val="13"/>
                <w:color w:val="auto"/>
              </w:rPr>
              <w:t>Lease liabilities, net of current portion</w:t>
            </w:r>
          </w:p>
        </w:tc>
        <w:tc>
          <w:tcPr>
            <w:tcW w:w="17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tcPr>
          <w:p>
            <w:pPr>
              <w:jc w:val="right"/>
              <w:spacing w:after="0"/>
              <w:rPr>
                <w:sz w:val="20"/>
                <w:szCs w:val="20"/>
                <w:color w:val="auto"/>
              </w:rPr>
            </w:pPr>
            <w:r>
              <w:rPr>
                <w:rFonts w:ascii="Arial" w:cs="Arial" w:eastAsia="Arial" w:hAnsi="Arial"/>
                <w:sz w:val="13"/>
                <w:szCs w:val="13"/>
                <w:color w:val="auto"/>
              </w:rPr>
              <w:t>89,197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89,552</w:t>
            </w:r>
          </w:p>
        </w:tc>
      </w:tr>
      <w:tr>
        <w:trPr>
          <w:trHeight w:val="171"/>
        </w:trPr>
        <w:tc>
          <w:tcPr>
            <w:tcW w:w="4900" w:type="dxa"/>
            <w:vAlign w:val="bottom"/>
            <w:shd w:val="clear" w:color="auto" w:fill="CCEEFF"/>
          </w:tcPr>
          <w:p>
            <w:pPr>
              <w:spacing w:after="0"/>
              <w:rPr>
                <w:sz w:val="20"/>
                <w:szCs w:val="20"/>
                <w:color w:val="auto"/>
              </w:rPr>
            </w:pPr>
            <w:r>
              <w:rPr>
                <w:rFonts w:ascii="Arial" w:cs="Arial" w:eastAsia="Arial" w:hAnsi="Arial"/>
                <w:sz w:val="13"/>
                <w:szCs w:val="13"/>
                <w:color w:val="auto"/>
              </w:rPr>
              <w:t>Long-term debt, net of current portion</w:t>
            </w:r>
          </w:p>
        </w:tc>
        <w:tc>
          <w:tcPr>
            <w:tcW w:w="17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656,958</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658,664</w:t>
            </w:r>
          </w:p>
        </w:tc>
      </w:tr>
      <w:tr>
        <w:trPr>
          <w:trHeight w:val="171"/>
        </w:trPr>
        <w:tc>
          <w:tcPr>
            <w:tcW w:w="49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Other long-term liabilities</w:t>
            </w:r>
          </w:p>
        </w:tc>
        <w:tc>
          <w:tcPr>
            <w:tcW w:w="17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32,187</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25,838</w:t>
            </w:r>
          </w:p>
        </w:tc>
      </w:tr>
      <w:tr>
        <w:trPr>
          <w:trHeight w:val="160"/>
        </w:trPr>
        <w:tc>
          <w:tcPr>
            <w:tcW w:w="490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Total liabilities</w:t>
            </w:r>
          </w:p>
        </w:tc>
        <w:tc>
          <w:tcPr>
            <w:tcW w:w="17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1,207,143</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1,191,404</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7178040" cy="108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10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1300"/>
          </w:cols>
          <w:pgMar w:left="300" w:top="124" w:right="299" w:bottom="1440" w:gutter="0" w:footer="0" w:header="0"/>
        </w:sectPr>
      </w:pPr>
    </w:p>
    <w:bookmarkStart w:id="9" w:name="page10"/>
    <w:bookmarkEnd w:id="9"/>
    <w:p>
      <w:pPr>
        <w:ind w:left="4880"/>
        <w:spacing w:after="0"/>
        <w:rPr>
          <w:sz w:val="20"/>
          <w:szCs w:val="20"/>
          <w:color w:val="auto"/>
        </w:rPr>
      </w:pPr>
      <w:r>
        <w:rPr>
          <w:rFonts w:ascii="Arial" w:cs="Arial" w:eastAsia="Arial" w:hAnsi="Arial"/>
          <w:sz w:val="13"/>
          <w:szCs w:val="13"/>
          <w:b w:val="1"/>
          <w:bCs w:val="1"/>
          <w:color w:val="auto"/>
        </w:rPr>
        <w:t>Array Technologies, Inc.</w:t>
      </w:r>
    </w:p>
    <w:p>
      <w:pPr>
        <w:spacing w:after="0" w:line="26" w:lineRule="exact"/>
        <w:rPr>
          <w:sz w:val="20"/>
          <w:szCs w:val="20"/>
          <w:color w:val="auto"/>
        </w:rPr>
      </w:pPr>
    </w:p>
    <w:p>
      <w:pPr>
        <w:ind w:left="3960"/>
        <w:spacing w:after="0"/>
        <w:rPr>
          <w:sz w:val="20"/>
          <w:szCs w:val="20"/>
          <w:color w:val="auto"/>
        </w:rPr>
      </w:pPr>
      <w:r>
        <w:rPr>
          <w:rFonts w:ascii="Arial" w:cs="Arial" w:eastAsia="Arial" w:hAnsi="Arial"/>
          <w:sz w:val="13"/>
          <w:szCs w:val="13"/>
          <w:b w:val="1"/>
          <w:bCs w:val="1"/>
          <w:color w:val="auto"/>
        </w:rPr>
        <w:t xml:space="preserve">Condensed Consolidated Balance Sheets </w:t>
      </w:r>
      <w:r>
        <w:rPr>
          <w:rFonts w:ascii="Arial" w:cs="Arial" w:eastAsia="Arial" w:hAnsi="Arial"/>
          <w:sz w:val="13"/>
          <w:szCs w:val="13"/>
          <w:b w:val="1"/>
          <w:bCs w:val="1"/>
          <w:i w:val="1"/>
          <w:i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thousands, except per share and share amounts)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64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March 31, 2026</w:t>
            </w:r>
          </w:p>
        </w:tc>
        <w:tc>
          <w:tcPr>
            <w:tcW w:w="660" w:type="dxa"/>
            <w:vAlign w:val="bottom"/>
            <w:tcBorders>
              <w:bottom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tcPr>
          <w:p>
            <w:pPr>
              <w:jc w:val="right"/>
              <w:ind w:right="494"/>
              <w:spacing w:after="0"/>
              <w:rPr>
                <w:sz w:val="20"/>
                <w:szCs w:val="20"/>
                <w:color w:val="auto"/>
              </w:rPr>
            </w:pPr>
            <w:r>
              <w:rPr>
                <w:rFonts w:ascii="Arial" w:cs="Arial" w:eastAsia="Arial" w:hAnsi="Arial"/>
                <w:sz w:val="13"/>
                <w:szCs w:val="13"/>
                <w:b w:val="1"/>
                <w:bCs w:val="1"/>
                <w:color w:val="auto"/>
              </w:rPr>
              <w:t>December 31, 2025</w:t>
            </w:r>
          </w:p>
        </w:tc>
        <w:tc>
          <w:tcPr>
            <w:tcW w:w="0" w:type="dxa"/>
            <w:vAlign w:val="bottom"/>
          </w:tcPr>
          <w:p>
            <w:pPr>
              <w:spacing w:after="0"/>
              <w:rPr>
                <w:sz w:val="1"/>
                <w:szCs w:val="1"/>
                <w:color w:val="auto"/>
              </w:rPr>
            </w:pPr>
          </w:p>
        </w:tc>
      </w:tr>
      <w:tr>
        <w:trPr>
          <w:trHeight w:val="113"/>
        </w:trPr>
        <w:tc>
          <w:tcPr>
            <w:tcW w:w="6640" w:type="dxa"/>
            <w:vAlign w:val="bottom"/>
            <w:shd w:val="clear" w:color="auto" w:fill="CCEEFF"/>
          </w:tcPr>
          <w:p>
            <w:pPr>
              <w:spacing w:after="0" w:line="113" w:lineRule="exact"/>
              <w:rPr>
                <w:sz w:val="20"/>
                <w:szCs w:val="20"/>
                <w:color w:val="auto"/>
              </w:rPr>
            </w:pPr>
            <w:r>
              <w:rPr>
                <w:rFonts w:ascii="Arial" w:cs="Arial" w:eastAsia="Arial" w:hAnsi="Arial"/>
                <w:sz w:val="13"/>
                <w:szCs w:val="13"/>
                <w:color w:val="auto"/>
              </w:rPr>
              <w:t>Series A Redeemable Perpetual Preferred Stock of $0.001 par value; 500,000 authorized; 498,498 and 490,829</w:t>
            </w:r>
          </w:p>
        </w:tc>
        <w:tc>
          <w:tcPr>
            <w:tcW w:w="16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9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6640" w:type="dxa"/>
            <w:vAlign w:val="bottom"/>
            <w:shd w:val="clear" w:color="auto" w:fill="CCEEFF"/>
          </w:tcPr>
          <w:p>
            <w:pPr>
              <w:spacing w:after="0" w:line="131" w:lineRule="exact"/>
              <w:rPr>
                <w:sz w:val="20"/>
                <w:szCs w:val="20"/>
                <w:color w:val="auto"/>
              </w:rPr>
            </w:pPr>
            <w:r>
              <w:rPr>
                <w:rFonts w:ascii="Arial" w:cs="Arial" w:eastAsia="Arial" w:hAnsi="Arial"/>
                <w:sz w:val="13"/>
                <w:szCs w:val="13"/>
                <w:color w:val="auto"/>
              </w:rPr>
              <w:t>shares issued as of March 31, 2026 and December 31, 2025, respectively; liquidation preference of $498.5</w:t>
            </w:r>
          </w:p>
        </w:tc>
        <w:tc>
          <w:tcPr>
            <w:tcW w:w="16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482,265</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466,728</w:t>
            </w:r>
          </w:p>
        </w:tc>
        <w:tc>
          <w:tcPr>
            <w:tcW w:w="0" w:type="dxa"/>
            <w:vAlign w:val="bottom"/>
          </w:tcPr>
          <w:p>
            <w:pPr>
              <w:spacing w:after="0"/>
              <w:rPr>
                <w:sz w:val="1"/>
                <w:szCs w:val="1"/>
                <w:color w:val="auto"/>
              </w:rPr>
            </w:pPr>
          </w:p>
        </w:tc>
      </w:tr>
      <w:tr>
        <w:trPr>
          <w:trHeight w:val="171"/>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million and $493.1 million at each date, respectively</w:t>
            </w:r>
          </w:p>
        </w:tc>
        <w:tc>
          <w:tcPr>
            <w:tcW w:w="164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9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66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640" w:type="dxa"/>
            <w:vAlign w:val="bottom"/>
            <w:shd w:val="clear" w:color="auto" w:fill="CCEEFF"/>
          </w:tcPr>
          <w:p>
            <w:pPr>
              <w:spacing w:after="0"/>
              <w:rPr>
                <w:sz w:val="20"/>
                <w:szCs w:val="20"/>
                <w:color w:val="auto"/>
              </w:rPr>
            </w:pPr>
            <w:r>
              <w:rPr>
                <w:rFonts w:ascii="Arial" w:cs="Arial" w:eastAsia="Arial" w:hAnsi="Arial"/>
                <w:sz w:val="13"/>
                <w:szCs w:val="13"/>
                <w:color w:val="auto"/>
              </w:rPr>
              <w:t>Stockholders’ equity</w:t>
            </w:r>
          </w:p>
        </w:tc>
        <w:tc>
          <w:tcPr>
            <w:tcW w:w="164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ind w:left="140"/>
              <w:spacing w:after="0"/>
              <w:rPr>
                <w:sz w:val="20"/>
                <w:szCs w:val="20"/>
                <w:color w:val="auto"/>
              </w:rPr>
            </w:pPr>
            <w:r>
              <w:rPr>
                <w:rFonts w:ascii="Arial" w:cs="Arial" w:eastAsia="Arial" w:hAnsi="Arial"/>
                <w:sz w:val="13"/>
                <w:szCs w:val="13"/>
                <w:color w:val="auto"/>
              </w:rPr>
              <w:t>Preferred stock of $0.001 par value - 4,500,000 shares authorized; none issued at respective dates</w:t>
            </w:r>
          </w:p>
        </w:tc>
        <w:tc>
          <w:tcPr>
            <w:tcW w:w="164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0"/>
        </w:trPr>
        <w:tc>
          <w:tcPr>
            <w:tcW w:w="6640" w:type="dxa"/>
            <w:vAlign w:val="bottom"/>
            <w:shd w:val="clear" w:color="auto" w:fill="CCEEFF"/>
          </w:tcPr>
          <w:p>
            <w:pPr>
              <w:ind w:left="140"/>
              <w:spacing w:after="0" w:line="130" w:lineRule="exact"/>
              <w:rPr>
                <w:sz w:val="20"/>
                <w:szCs w:val="20"/>
                <w:color w:val="auto"/>
              </w:rPr>
            </w:pPr>
            <w:r>
              <w:rPr>
                <w:rFonts w:ascii="Arial" w:cs="Arial" w:eastAsia="Arial" w:hAnsi="Arial"/>
                <w:sz w:val="13"/>
                <w:szCs w:val="13"/>
                <w:color w:val="auto"/>
              </w:rPr>
              <w:t>Common stock of $0.001 par value - 1,000,000,000 shares authorized; 153,734,045 and 152,779,614 shares</w:t>
            </w:r>
          </w:p>
        </w:tc>
        <w:tc>
          <w:tcPr>
            <w:tcW w:w="164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155</w:t>
            </w:r>
          </w:p>
        </w:tc>
        <w:tc>
          <w:tcPr>
            <w:tcW w:w="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152</w:t>
            </w:r>
          </w:p>
        </w:tc>
        <w:tc>
          <w:tcPr>
            <w:tcW w:w="0" w:type="dxa"/>
            <w:vAlign w:val="bottom"/>
          </w:tcPr>
          <w:p>
            <w:pPr>
              <w:spacing w:after="0"/>
              <w:rPr>
                <w:sz w:val="1"/>
                <w:szCs w:val="1"/>
                <w:color w:val="auto"/>
              </w:rPr>
            </w:pPr>
          </w:p>
        </w:tc>
      </w:tr>
      <w:tr>
        <w:trPr>
          <w:trHeight w:val="167"/>
        </w:trPr>
        <w:tc>
          <w:tcPr>
            <w:tcW w:w="6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issued at respective dates</w:t>
            </w:r>
          </w:p>
        </w:tc>
        <w:tc>
          <w:tcPr>
            <w:tcW w:w="1640" w:type="dxa"/>
            <w:vAlign w:val="bottom"/>
            <w:shd w:val="clear" w:color="auto" w:fill="CCEEFF"/>
          </w:tcPr>
          <w:p>
            <w:pPr>
              <w:spacing w:after="0"/>
              <w:rPr>
                <w:sz w:val="14"/>
                <w:szCs w:val="14"/>
                <w:color w:val="auto"/>
              </w:rPr>
            </w:pPr>
          </w:p>
        </w:tc>
        <w:tc>
          <w:tcPr>
            <w:tcW w:w="660" w:type="dxa"/>
            <w:vAlign w:val="bottom"/>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40" w:type="dxa"/>
            <w:vAlign w:val="bottom"/>
          </w:tcPr>
          <w:p>
            <w:pPr>
              <w:ind w:left="140"/>
              <w:spacing w:after="0"/>
              <w:rPr>
                <w:sz w:val="20"/>
                <w:szCs w:val="20"/>
                <w:color w:val="auto"/>
              </w:rPr>
            </w:pPr>
            <w:r>
              <w:rPr>
                <w:rFonts w:ascii="Arial" w:cs="Arial" w:eastAsia="Arial" w:hAnsi="Arial"/>
                <w:sz w:val="13"/>
                <w:szCs w:val="13"/>
                <w:color w:val="auto"/>
              </w:rPr>
              <w:t>Additional paid-in capital</w:t>
            </w:r>
          </w:p>
        </w:tc>
        <w:tc>
          <w:tcPr>
            <w:tcW w:w="16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214,485</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80" w:type="dxa"/>
            <w:vAlign w:val="bottom"/>
          </w:tcPr>
          <w:p>
            <w:pPr>
              <w:jc w:val="right"/>
              <w:spacing w:after="0"/>
              <w:rPr>
                <w:sz w:val="20"/>
                <w:szCs w:val="20"/>
                <w:color w:val="auto"/>
              </w:rPr>
            </w:pPr>
            <w:r>
              <w:rPr>
                <w:rFonts w:ascii="Arial" w:cs="Arial" w:eastAsia="Arial" w:hAnsi="Arial"/>
                <w:sz w:val="13"/>
                <w:szCs w:val="13"/>
                <w:color w:val="auto"/>
              </w:rPr>
              <w:t>226,848</w:t>
            </w:r>
          </w:p>
        </w:tc>
        <w:tc>
          <w:tcPr>
            <w:tcW w:w="0" w:type="dxa"/>
            <w:vAlign w:val="bottom"/>
          </w:tcPr>
          <w:p>
            <w:pPr>
              <w:spacing w:after="0"/>
              <w:rPr>
                <w:sz w:val="1"/>
                <w:szCs w:val="1"/>
                <w:color w:val="auto"/>
              </w:rPr>
            </w:pPr>
          </w:p>
        </w:tc>
      </w:tr>
      <w:tr>
        <w:trPr>
          <w:trHeight w:val="171"/>
        </w:trPr>
        <w:tc>
          <w:tcPr>
            <w:tcW w:w="6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164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(420,862)</w:t>
            </w: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(422,859)</w:t>
            </w:r>
          </w:p>
        </w:tc>
        <w:tc>
          <w:tcPr>
            <w:tcW w:w="0" w:type="dxa"/>
            <w:vAlign w:val="bottom"/>
          </w:tcPr>
          <w:p>
            <w:pPr>
              <w:spacing w:after="0"/>
              <w:rPr>
                <w:sz w:val="1"/>
                <w:szCs w:val="1"/>
                <w:color w:val="auto"/>
              </w:rPr>
            </w:pPr>
          </w:p>
        </w:tc>
      </w:tr>
      <w:tr>
        <w:trPr>
          <w:trHeight w:val="171"/>
        </w:trPr>
        <w:tc>
          <w:tcPr>
            <w:tcW w:w="664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Accumulated other comprehensive loss</w:t>
            </w:r>
          </w:p>
        </w:tc>
        <w:tc>
          <w:tcPr>
            <w:tcW w:w="16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(8,159)</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(10,481)</w:t>
            </w:r>
          </w:p>
        </w:tc>
        <w:tc>
          <w:tcPr>
            <w:tcW w:w="0" w:type="dxa"/>
            <w:vAlign w:val="bottom"/>
          </w:tcPr>
          <w:p>
            <w:pPr>
              <w:spacing w:after="0"/>
              <w:rPr>
                <w:sz w:val="1"/>
                <w:szCs w:val="1"/>
                <w:color w:val="auto"/>
              </w:rPr>
            </w:pPr>
          </w:p>
        </w:tc>
      </w:tr>
      <w:tr>
        <w:trPr>
          <w:trHeight w:val="160"/>
        </w:trPr>
        <w:tc>
          <w:tcPr>
            <w:tcW w:w="6640" w:type="dxa"/>
            <w:vAlign w:val="bottom"/>
            <w:shd w:val="clear" w:color="auto" w:fill="CCEEFF"/>
          </w:tcPr>
          <w:p>
            <w:pPr>
              <w:ind w:left="320"/>
              <w:spacing w:after="0"/>
              <w:rPr>
                <w:sz w:val="20"/>
                <w:szCs w:val="20"/>
                <w:color w:val="auto"/>
              </w:rPr>
            </w:pPr>
            <w:r>
              <w:rPr>
                <w:rFonts w:ascii="Arial" w:cs="Arial" w:eastAsia="Arial" w:hAnsi="Arial"/>
                <w:sz w:val="13"/>
                <w:szCs w:val="13"/>
                <w:color w:val="auto"/>
              </w:rPr>
              <w:t>Total stockholders’ equity</w:t>
            </w:r>
          </w:p>
        </w:tc>
        <w:tc>
          <w:tcPr>
            <w:tcW w:w="164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(214,381)</w:t>
            </w:r>
          </w:p>
        </w:tc>
        <w:tc>
          <w:tcPr>
            <w:tcW w:w="6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(206,340)</w:t>
            </w:r>
          </w:p>
        </w:tc>
        <w:tc>
          <w:tcPr>
            <w:tcW w:w="0" w:type="dxa"/>
            <w:vAlign w:val="bottom"/>
          </w:tcPr>
          <w:p>
            <w:pPr>
              <w:spacing w:after="0"/>
              <w:rPr>
                <w:sz w:val="1"/>
                <w:szCs w:val="1"/>
                <w:color w:val="auto"/>
              </w:rPr>
            </w:pPr>
          </w:p>
        </w:tc>
      </w:tr>
      <w:tr>
        <w:trPr>
          <w:trHeight w:val="160"/>
        </w:trPr>
        <w:tc>
          <w:tcPr>
            <w:tcW w:w="6640" w:type="dxa"/>
            <w:vAlign w:val="bottom"/>
          </w:tcPr>
          <w:p>
            <w:pPr>
              <w:ind w:left="320"/>
              <w:spacing w:after="0"/>
              <w:rPr>
                <w:sz w:val="20"/>
                <w:szCs w:val="20"/>
                <w:color w:val="auto"/>
              </w:rPr>
            </w:pPr>
            <w:r>
              <w:rPr>
                <w:rFonts w:ascii="Arial" w:cs="Arial" w:eastAsia="Arial" w:hAnsi="Arial"/>
                <w:sz w:val="13"/>
                <w:szCs w:val="13"/>
                <w:color w:val="auto"/>
              </w:rPr>
              <w:t>Total liabilities, redeemable perpetual preferred stock and stockholders’ equity</w:t>
            </w:r>
          </w:p>
        </w:tc>
        <w:tc>
          <w:tcPr>
            <w:tcW w:w="1640" w:type="dxa"/>
            <w:vAlign w:val="bottom"/>
            <w:tcBorders>
              <w:bottom w:val="single" w:sz="8" w:color="auto"/>
            </w:tcBorders>
          </w:tcPr>
          <w:p>
            <w:pPr>
              <w:jc w:val="right"/>
              <w:ind w:right="1494"/>
              <w:spacing w:after="0"/>
              <w:rPr>
                <w:sz w:val="20"/>
                <w:szCs w:val="20"/>
                <w:color w:val="auto"/>
              </w:rPr>
            </w:pPr>
            <w:r>
              <w:rPr>
                <w:rFonts w:ascii="Arial" w:cs="Arial" w:eastAsia="Arial" w:hAnsi="Arial"/>
                <w:sz w:val="13"/>
                <w:szCs w:val="13"/>
                <w:color w:val="auto"/>
                <w:w w:val="82"/>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1,475,027</w:t>
            </w:r>
          </w:p>
        </w:tc>
        <w:tc>
          <w:tcPr>
            <w:tcW w:w="60" w:type="dxa"/>
            <w:vAlign w:val="bottom"/>
          </w:tcPr>
          <w:p>
            <w:pPr>
              <w:spacing w:after="0"/>
              <w:rPr>
                <w:sz w:val="13"/>
                <w:szCs w:val="13"/>
                <w:color w:val="auto"/>
              </w:rPr>
            </w:pPr>
          </w:p>
        </w:tc>
        <w:tc>
          <w:tcPr>
            <w:tcW w:w="320" w:type="dxa"/>
            <w:vAlign w:val="bottom"/>
            <w:tcBorders>
              <w:bottom w:val="single" w:sz="8" w:color="auto"/>
            </w:tcBorders>
          </w:tcPr>
          <w:p>
            <w:pPr>
              <w:jc w:val="right"/>
              <w:ind w:right="154"/>
              <w:spacing w:after="0"/>
              <w:rPr>
                <w:sz w:val="20"/>
                <w:szCs w:val="20"/>
                <w:color w:val="auto"/>
              </w:rPr>
            </w:pPr>
            <w:r>
              <w:rPr>
                <w:rFonts w:ascii="Arial" w:cs="Arial" w:eastAsia="Arial" w:hAnsi="Arial"/>
                <w:sz w:val="13"/>
                <w:szCs w:val="13"/>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1,451,792</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1300"/>
          </w:cols>
          <w:pgMar w:left="300" w:top="124" w:right="299" w:bottom="1440" w:gutter="0" w:footer="0" w:header="0"/>
        </w:sectPr>
      </w:pPr>
    </w:p>
    <w:bookmarkStart w:id="10" w:name="page11"/>
    <w:bookmarkEnd w:id="10"/>
    <w:p>
      <w:pPr>
        <w:ind w:left="4880"/>
        <w:spacing w:after="0"/>
        <w:rPr>
          <w:sz w:val="20"/>
          <w:szCs w:val="20"/>
          <w:color w:val="auto"/>
        </w:rPr>
      </w:pPr>
      <w:r>
        <w:rPr>
          <w:rFonts w:ascii="Arial" w:cs="Arial" w:eastAsia="Arial" w:hAnsi="Arial"/>
          <w:sz w:val="13"/>
          <w:szCs w:val="13"/>
          <w:b w:val="1"/>
          <w:bCs w:val="1"/>
          <w:color w:val="auto"/>
        </w:rPr>
        <w:t>Array Technologies, Inc.</w:t>
      </w:r>
    </w:p>
    <w:p>
      <w:pPr>
        <w:spacing w:after="0" w:line="25" w:lineRule="exact"/>
        <w:rPr>
          <w:sz w:val="20"/>
          <w:szCs w:val="20"/>
          <w:color w:val="auto"/>
        </w:rPr>
      </w:pPr>
    </w:p>
    <w:p>
      <w:pPr>
        <w:ind w:left="3660"/>
        <w:spacing w:after="0"/>
        <w:rPr>
          <w:sz w:val="20"/>
          <w:szCs w:val="20"/>
          <w:color w:val="auto"/>
        </w:rPr>
      </w:pPr>
      <w:r>
        <w:rPr>
          <w:rFonts w:ascii="Arial" w:cs="Arial" w:eastAsia="Arial" w:hAnsi="Arial"/>
          <w:sz w:val="13"/>
          <w:szCs w:val="13"/>
          <w:b w:val="1"/>
          <w:bCs w:val="1"/>
          <w:color w:val="auto"/>
        </w:rPr>
        <w:t xml:space="preserve">Condensed Consolidated Statements of Operations </w:t>
      </w:r>
      <w:r>
        <w:rPr>
          <w:rFonts w:ascii="Arial" w:cs="Arial" w:eastAsia="Arial" w:hAnsi="Arial"/>
          <w:sz w:val="13"/>
          <w:szCs w:val="13"/>
          <w:b w:val="1"/>
          <w:bCs w:val="1"/>
          <w:i w:val="1"/>
          <w:i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thousands, except per share amounts)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1340" w:type="dxa"/>
            <w:vAlign w:val="bottom"/>
            <w:tcBorders>
              <w:bottom w:val="single" w:sz="8" w:color="auto"/>
            </w:tcBorders>
          </w:tcPr>
          <w:p>
            <w:pPr>
              <w:spacing w:after="0"/>
              <w:rPr>
                <w:sz w:val="15"/>
                <w:szCs w:val="15"/>
                <w:color w:val="auto"/>
              </w:rPr>
            </w:pPr>
          </w:p>
        </w:tc>
      </w:tr>
      <w:tr>
        <w:trPr>
          <w:trHeight w:val="160"/>
        </w:trPr>
        <w:tc>
          <w:tcPr>
            <w:tcW w:w="450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34"/>
              <w:spacing w:after="0"/>
              <w:rPr>
                <w:sz w:val="20"/>
                <w:szCs w:val="20"/>
                <w:color w:val="auto"/>
              </w:rPr>
            </w:pPr>
            <w:r>
              <w:rPr>
                <w:rFonts w:ascii="Arial" w:cs="Arial" w:eastAsia="Arial" w:hAnsi="Arial"/>
                <w:sz w:val="13"/>
                <w:szCs w:val="13"/>
                <w:b w:val="1"/>
                <w:bCs w:val="1"/>
                <w:color w:val="auto"/>
              </w:rPr>
              <w:t>2025</w:t>
            </w:r>
          </w:p>
        </w:tc>
      </w:tr>
      <w:tr>
        <w:trPr>
          <w:trHeight w:val="160"/>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212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174"/>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223,412</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302,363</w:t>
            </w:r>
          </w:p>
        </w:tc>
      </w:tr>
      <w:tr>
        <w:trPr>
          <w:trHeight w:val="171"/>
        </w:trPr>
        <w:tc>
          <w:tcPr>
            <w:tcW w:w="4500" w:type="dxa"/>
            <w:vAlign w:val="bottom"/>
          </w:tcPr>
          <w:p>
            <w:pPr>
              <w:spacing w:after="0"/>
              <w:rPr>
                <w:sz w:val="20"/>
                <w:szCs w:val="20"/>
                <w:color w:val="auto"/>
              </w:rPr>
            </w:pPr>
            <w:r>
              <w:rPr>
                <w:rFonts w:ascii="Arial" w:cs="Arial" w:eastAsia="Arial" w:hAnsi="Arial"/>
                <w:sz w:val="13"/>
                <w:szCs w:val="13"/>
                <w:color w:val="auto"/>
              </w:rPr>
              <w:t>Cost of revenue</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Cost of product and service revenue</w:t>
            </w:r>
          </w:p>
        </w:tc>
        <w:tc>
          <w:tcPr>
            <w:tcW w:w="2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154,794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222,296</w:t>
            </w:r>
          </w:p>
        </w:tc>
      </w:tr>
      <w:tr>
        <w:trPr>
          <w:trHeight w:val="171"/>
        </w:trPr>
        <w:tc>
          <w:tcPr>
            <w:tcW w:w="4500" w:type="dxa"/>
            <w:vAlign w:val="bottom"/>
            <w:tcBorders>
              <w:bottom w:val="single" w:sz="8" w:color="CCEEFF"/>
            </w:tcBorders>
          </w:tcPr>
          <w:p>
            <w:pPr>
              <w:ind w:left="80"/>
              <w:spacing w:after="0"/>
              <w:rPr>
                <w:sz w:val="20"/>
                <w:szCs w:val="20"/>
                <w:color w:val="auto"/>
              </w:rPr>
            </w:pPr>
            <w:r>
              <w:rPr>
                <w:rFonts w:ascii="Arial" w:cs="Arial" w:eastAsia="Arial" w:hAnsi="Arial"/>
                <w:sz w:val="13"/>
                <w:szCs w:val="13"/>
                <w:color w:val="auto"/>
              </w:rPr>
              <w:t>Amortization of developed technology and backlog</w:t>
            </w:r>
          </w:p>
        </w:tc>
        <w:tc>
          <w:tcPr>
            <w:tcW w:w="21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5,614</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3,639</w:t>
            </w:r>
          </w:p>
        </w:tc>
      </w:tr>
      <w:tr>
        <w:trPr>
          <w:trHeight w:val="160"/>
        </w:trPr>
        <w:tc>
          <w:tcPr>
            <w:tcW w:w="4500" w:type="dxa"/>
            <w:vAlign w:val="bottom"/>
            <w:shd w:val="clear" w:color="auto" w:fill="CCEEFF"/>
          </w:tcPr>
          <w:p>
            <w:pPr>
              <w:ind w:left="360"/>
              <w:spacing w:after="0"/>
              <w:rPr>
                <w:sz w:val="20"/>
                <w:szCs w:val="20"/>
                <w:color w:val="auto"/>
              </w:rPr>
            </w:pPr>
            <w:r>
              <w:rPr>
                <w:rFonts w:ascii="Arial" w:cs="Arial" w:eastAsia="Arial" w:hAnsi="Arial"/>
                <w:sz w:val="13"/>
                <w:szCs w:val="13"/>
                <w:color w:val="auto"/>
              </w:rPr>
              <w:t>Total cost of revenue</w:t>
            </w:r>
          </w:p>
        </w:tc>
        <w:tc>
          <w:tcPr>
            <w:tcW w:w="2120" w:type="dxa"/>
            <w:vAlign w:val="bottom"/>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160,408</w:t>
            </w: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225,935</w:t>
            </w:r>
          </w:p>
        </w:tc>
      </w:tr>
      <w:tr>
        <w:trPr>
          <w:trHeight w:val="160"/>
        </w:trPr>
        <w:tc>
          <w:tcPr>
            <w:tcW w:w="45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Gross profit</w:t>
            </w:r>
          </w:p>
        </w:tc>
        <w:tc>
          <w:tcPr>
            <w:tcW w:w="21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63,004</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76,428</w:t>
            </w:r>
          </w:p>
        </w:tc>
      </w:tr>
      <w:tr>
        <w:trPr>
          <w:trHeight w:val="160"/>
        </w:trPr>
        <w:tc>
          <w:tcPr>
            <w:tcW w:w="450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71"/>
        </w:trPr>
        <w:tc>
          <w:tcPr>
            <w:tcW w:w="4500" w:type="dxa"/>
            <w:vAlign w:val="bottom"/>
          </w:tcPr>
          <w:p>
            <w:pPr>
              <w:spacing w:after="0"/>
              <w:rPr>
                <w:sz w:val="20"/>
                <w:szCs w:val="20"/>
                <w:color w:val="auto"/>
              </w:rPr>
            </w:pPr>
            <w:r>
              <w:rPr>
                <w:rFonts w:ascii="Arial" w:cs="Arial" w:eastAsia="Arial" w:hAnsi="Arial"/>
                <w:sz w:val="13"/>
                <w:szCs w:val="13"/>
                <w:color w:val="auto"/>
              </w:rPr>
              <w:t>Operating expenses</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General and administrative</w:t>
            </w:r>
          </w:p>
        </w:tc>
        <w:tc>
          <w:tcPr>
            <w:tcW w:w="2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50,404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43,945</w:t>
            </w:r>
          </w:p>
        </w:tc>
      </w:tr>
      <w:tr>
        <w:trPr>
          <w:trHeight w:val="171"/>
        </w:trPr>
        <w:tc>
          <w:tcPr>
            <w:tcW w:w="4500" w:type="dxa"/>
            <w:vAlign w:val="bottom"/>
          </w:tcPr>
          <w:p>
            <w:pPr>
              <w:ind w:left="140"/>
              <w:spacing w:after="0"/>
              <w:rPr>
                <w:sz w:val="20"/>
                <w:szCs w:val="20"/>
                <w:color w:val="auto"/>
              </w:rPr>
            </w:pPr>
            <w:r>
              <w:rPr>
                <w:rFonts w:ascii="Arial" w:cs="Arial" w:eastAsia="Arial" w:hAnsi="Arial"/>
                <w:sz w:val="13"/>
                <w:szCs w:val="13"/>
                <w:color w:val="auto"/>
              </w:rPr>
              <w:t>Change in fair value of contingent consideration</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(2,586)</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(150)</w:t>
            </w:r>
          </w:p>
        </w:tc>
      </w:tr>
      <w:tr>
        <w:trPr>
          <w:trHeight w:val="171"/>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Depreciation and amortization</w:t>
            </w:r>
          </w:p>
        </w:tc>
        <w:tc>
          <w:tcPr>
            <w:tcW w:w="212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8,077</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5,349</w:t>
            </w:r>
          </w:p>
        </w:tc>
      </w:tr>
      <w:tr>
        <w:trPr>
          <w:trHeight w:val="160"/>
        </w:trPr>
        <w:tc>
          <w:tcPr>
            <w:tcW w:w="4500" w:type="dxa"/>
            <w:vAlign w:val="bottom"/>
            <w:tcBorders>
              <w:bottom w:val="single" w:sz="8" w:color="CCEEFF"/>
            </w:tcBorders>
          </w:tcPr>
          <w:p>
            <w:pPr>
              <w:ind w:left="360"/>
              <w:spacing w:after="0"/>
              <w:rPr>
                <w:sz w:val="20"/>
                <w:szCs w:val="20"/>
                <w:color w:val="auto"/>
              </w:rPr>
            </w:pPr>
            <w:r>
              <w:rPr>
                <w:rFonts w:ascii="Arial" w:cs="Arial" w:eastAsia="Arial" w:hAnsi="Arial"/>
                <w:sz w:val="13"/>
                <w:szCs w:val="13"/>
                <w:color w:val="auto"/>
              </w:rPr>
              <w:t>Total operating expenses</w:t>
            </w:r>
          </w:p>
        </w:tc>
        <w:tc>
          <w:tcPr>
            <w:tcW w:w="21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55,895</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49,144</w:t>
            </w:r>
          </w:p>
        </w:tc>
      </w:tr>
      <w:tr>
        <w:trPr>
          <w:trHeight w:val="160"/>
        </w:trPr>
        <w:tc>
          <w:tcPr>
            <w:tcW w:w="450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71"/>
        </w:trPr>
        <w:tc>
          <w:tcPr>
            <w:tcW w:w="4500" w:type="dxa"/>
            <w:vAlign w:val="bottom"/>
          </w:tcPr>
          <w:p>
            <w:pPr>
              <w:spacing w:after="0"/>
              <w:rPr>
                <w:sz w:val="20"/>
                <w:szCs w:val="20"/>
                <w:color w:val="auto"/>
              </w:rPr>
            </w:pPr>
            <w:r>
              <w:rPr>
                <w:rFonts w:ascii="Arial" w:cs="Arial" w:eastAsia="Arial" w:hAnsi="Arial"/>
                <w:sz w:val="13"/>
                <w:szCs w:val="13"/>
                <w:color w:val="auto"/>
              </w:rPr>
              <w:t>Income from operations</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7,109</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27,284</w:t>
            </w:r>
          </w:p>
        </w:tc>
      </w:tr>
      <w:tr>
        <w:trPr>
          <w:trHeight w:val="180"/>
        </w:trPr>
        <w:tc>
          <w:tcPr>
            <w:tcW w:w="4500" w:type="dxa"/>
            <w:vAlign w:val="bottom"/>
            <w:shd w:val="clear" w:color="auto" w:fill="CCEEFF"/>
          </w:tcPr>
          <w:p>
            <w:pPr>
              <w:spacing w:after="0"/>
              <w:rPr>
                <w:sz w:val="15"/>
                <w:szCs w:val="15"/>
                <w:color w:val="auto"/>
              </w:rPr>
            </w:pPr>
          </w:p>
        </w:tc>
        <w:tc>
          <w:tcPr>
            <w:tcW w:w="212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171"/>
        </w:trPr>
        <w:tc>
          <w:tcPr>
            <w:tcW w:w="4500" w:type="dxa"/>
            <w:vAlign w:val="bottom"/>
          </w:tcPr>
          <w:p>
            <w:pPr>
              <w:ind w:left="140"/>
              <w:spacing w:after="0"/>
              <w:rPr>
                <w:sz w:val="20"/>
                <w:szCs w:val="20"/>
                <w:color w:val="auto"/>
              </w:rPr>
            </w:pPr>
            <w:r>
              <w:rPr>
                <w:rFonts w:ascii="Arial" w:cs="Arial" w:eastAsia="Arial" w:hAnsi="Arial"/>
                <w:sz w:val="13"/>
                <w:szCs w:val="13"/>
                <w:color w:val="auto"/>
              </w:rPr>
              <w:t>Interest income</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2,387</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3,319</w:t>
            </w:r>
          </w:p>
        </w:tc>
      </w:tr>
      <w:tr>
        <w:trPr>
          <w:trHeight w:val="171"/>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Interest expense</w:t>
            </w:r>
          </w:p>
        </w:tc>
        <w:tc>
          <w:tcPr>
            <w:tcW w:w="2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(8,035)</w:t>
            </w:r>
          </w:p>
        </w:tc>
      </w:tr>
      <w:tr>
        <w:trPr>
          <w:trHeight w:val="171"/>
        </w:trPr>
        <w:tc>
          <w:tcPr>
            <w:tcW w:w="4500" w:type="dxa"/>
            <w:vAlign w:val="bottom"/>
          </w:tcPr>
          <w:p>
            <w:pPr>
              <w:ind w:left="140"/>
              <w:spacing w:after="0"/>
              <w:rPr>
                <w:sz w:val="20"/>
                <w:szCs w:val="20"/>
                <w:color w:val="auto"/>
              </w:rPr>
            </w:pPr>
            <w:r>
              <w:rPr>
                <w:rFonts w:ascii="Arial" w:cs="Arial" w:eastAsia="Arial" w:hAnsi="Arial"/>
                <w:sz w:val="13"/>
                <w:szCs w:val="13"/>
                <w:color w:val="auto"/>
              </w:rPr>
              <w:t>Foreign currency gain, net</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161</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689</w:t>
            </w:r>
          </w:p>
        </w:tc>
      </w:tr>
      <w:tr>
        <w:trPr>
          <w:trHeight w:val="171"/>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income, net</w:t>
            </w:r>
          </w:p>
        </w:tc>
        <w:tc>
          <w:tcPr>
            <w:tcW w:w="212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w:t>
            </w:r>
          </w:p>
        </w:tc>
      </w:tr>
      <w:tr>
        <w:trPr>
          <w:trHeight w:val="160"/>
        </w:trPr>
        <w:tc>
          <w:tcPr>
            <w:tcW w:w="4500" w:type="dxa"/>
            <w:vAlign w:val="bottom"/>
            <w:tcBorders>
              <w:bottom w:val="single" w:sz="8" w:color="CCEEFF"/>
            </w:tcBorders>
          </w:tcPr>
          <w:p>
            <w:pPr>
              <w:ind w:left="380"/>
              <w:spacing w:after="0"/>
              <w:rPr>
                <w:sz w:val="20"/>
                <w:szCs w:val="20"/>
                <w:color w:val="auto"/>
              </w:rPr>
            </w:pPr>
            <w:r>
              <w:rPr>
                <w:rFonts w:ascii="Arial" w:cs="Arial" w:eastAsia="Arial" w:hAnsi="Arial"/>
                <w:sz w:val="13"/>
                <w:szCs w:val="13"/>
                <w:color w:val="auto"/>
              </w:rPr>
              <w:t>Total other expense, net</w:t>
            </w:r>
          </w:p>
        </w:tc>
        <w:tc>
          <w:tcPr>
            <w:tcW w:w="21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(2,984)</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(4,004)</w:t>
            </w:r>
          </w:p>
        </w:tc>
      </w:tr>
      <w:tr>
        <w:trPr>
          <w:trHeight w:val="160"/>
        </w:trPr>
        <w:tc>
          <w:tcPr>
            <w:tcW w:w="450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71"/>
        </w:trPr>
        <w:tc>
          <w:tcPr>
            <w:tcW w:w="4500" w:type="dxa"/>
            <w:vAlign w:val="bottom"/>
          </w:tcPr>
          <w:p>
            <w:pPr>
              <w:spacing w:after="0"/>
              <w:rPr>
                <w:sz w:val="20"/>
                <w:szCs w:val="20"/>
                <w:color w:val="auto"/>
              </w:rPr>
            </w:pPr>
            <w:r>
              <w:rPr>
                <w:rFonts w:ascii="Arial" w:cs="Arial" w:eastAsia="Arial" w:hAnsi="Arial"/>
                <w:sz w:val="13"/>
                <w:szCs w:val="13"/>
                <w:color w:val="auto"/>
              </w:rPr>
              <w:t>Income before income tax expense</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4,125</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23,280</w:t>
            </w:r>
          </w:p>
        </w:tc>
      </w:tr>
      <w:tr>
        <w:trPr>
          <w:trHeight w:val="171"/>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Income tax expense</w:t>
            </w:r>
          </w:p>
        </w:tc>
        <w:tc>
          <w:tcPr>
            <w:tcW w:w="212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2,128</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6,534</w:t>
            </w:r>
          </w:p>
        </w:tc>
      </w:tr>
      <w:tr>
        <w:trPr>
          <w:trHeight w:val="160"/>
        </w:trPr>
        <w:tc>
          <w:tcPr>
            <w:tcW w:w="4500" w:type="dxa"/>
            <w:vAlign w:val="bottom"/>
          </w:tcPr>
          <w:p>
            <w:pPr>
              <w:spacing w:after="0"/>
              <w:rPr>
                <w:sz w:val="20"/>
                <w:szCs w:val="20"/>
                <w:color w:val="auto"/>
              </w:rPr>
            </w:pPr>
            <w:r>
              <w:rPr>
                <w:rFonts w:ascii="Arial" w:cs="Arial" w:eastAsia="Arial" w:hAnsi="Arial"/>
                <w:sz w:val="13"/>
                <w:szCs w:val="13"/>
                <w:color w:val="auto"/>
              </w:rPr>
              <w:t>Net income</w:t>
            </w:r>
          </w:p>
        </w:tc>
        <w:tc>
          <w:tcPr>
            <w:tcW w:w="2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1,997</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16,746</w:t>
            </w:r>
          </w:p>
        </w:tc>
      </w:tr>
      <w:tr>
        <w:trPr>
          <w:trHeight w:val="171"/>
        </w:trPr>
        <w:tc>
          <w:tcPr>
            <w:tcW w:w="4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Preferred dividends and accretion</w:t>
            </w:r>
          </w:p>
        </w:tc>
        <w:tc>
          <w:tcPr>
            <w:tcW w:w="2120" w:type="dxa"/>
            <w:vAlign w:val="bottom"/>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15,537</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14,443</w:t>
            </w:r>
          </w:p>
        </w:tc>
      </w:tr>
      <w:tr>
        <w:trPr>
          <w:trHeight w:val="176"/>
        </w:trPr>
        <w:tc>
          <w:tcPr>
            <w:tcW w:w="450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Net (loss) income to common stockholders</w:t>
            </w:r>
          </w:p>
        </w:tc>
        <w:tc>
          <w:tcPr>
            <w:tcW w:w="21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tcPr>
          <w:p>
            <w:pPr>
              <w:jc w:val="right"/>
              <w:ind w:right="11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(13,540)</w:t>
            </w:r>
          </w:p>
        </w:tc>
        <w:tc>
          <w:tcPr>
            <w:tcW w:w="8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2,303</w:t>
            </w:r>
          </w:p>
        </w:tc>
      </w:tr>
      <w:tr>
        <w:trPr>
          <w:trHeight w:val="162"/>
        </w:trPr>
        <w:tc>
          <w:tcPr>
            <w:tcW w:w="4500" w:type="dxa"/>
            <w:vAlign w:val="bottom"/>
            <w:shd w:val="clear" w:color="auto" w:fill="CCEEFF"/>
          </w:tcPr>
          <w:p>
            <w:pPr>
              <w:spacing w:after="0"/>
              <w:rPr>
                <w:sz w:val="14"/>
                <w:szCs w:val="14"/>
                <w:color w:val="auto"/>
              </w:rPr>
            </w:pPr>
          </w:p>
        </w:tc>
        <w:tc>
          <w:tcPr>
            <w:tcW w:w="2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71"/>
        </w:trPr>
        <w:tc>
          <w:tcPr>
            <w:tcW w:w="4500" w:type="dxa"/>
            <w:vAlign w:val="bottom"/>
          </w:tcPr>
          <w:p>
            <w:pPr>
              <w:spacing w:after="0"/>
              <w:rPr>
                <w:sz w:val="20"/>
                <w:szCs w:val="20"/>
                <w:color w:val="auto"/>
              </w:rPr>
            </w:pPr>
            <w:r>
              <w:rPr>
                <w:rFonts w:ascii="Arial" w:cs="Arial" w:eastAsia="Arial" w:hAnsi="Arial"/>
                <w:sz w:val="13"/>
                <w:szCs w:val="13"/>
                <w:color w:val="auto"/>
              </w:rPr>
              <w:t>(Loss) income per common share</w:t>
            </w:r>
          </w:p>
        </w:tc>
        <w:tc>
          <w:tcPr>
            <w:tcW w:w="2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8"/>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Basic</w:t>
            </w:r>
          </w:p>
        </w:tc>
        <w:tc>
          <w:tcPr>
            <w:tcW w:w="3440" w:type="dxa"/>
            <w:vAlign w:val="bottom"/>
            <w:tcBorders>
              <w:bottom w:val="single" w:sz="8" w:color="CCEEFF"/>
            </w:tcBorders>
            <w:gridSpan w:val="2"/>
            <w:shd w:val="clear" w:color="auto" w:fill="CCEEFF"/>
          </w:tcPr>
          <w:p>
            <w:pPr>
              <w:jc w:val="right"/>
              <w:ind w:right="1174"/>
              <w:spacing w:after="0"/>
              <w:rPr>
                <w:sz w:val="20"/>
                <w:szCs w:val="20"/>
                <w:color w:val="auto"/>
              </w:rPr>
            </w:pPr>
            <w:r>
              <w:rPr>
                <w:rFonts w:ascii="Arial" w:cs="Arial" w:eastAsia="Arial" w:hAnsi="Arial"/>
                <w:sz w:val="13"/>
                <w:szCs w:val="13"/>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r>
      <w:tr>
        <w:trPr>
          <w:trHeight w:val="176"/>
        </w:trPr>
        <w:tc>
          <w:tcPr>
            <w:tcW w:w="450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Diluted</w:t>
            </w:r>
          </w:p>
        </w:tc>
        <w:tc>
          <w:tcPr>
            <w:tcW w:w="2120" w:type="dxa"/>
            <w:vAlign w:val="bottom"/>
            <w:tcBorders>
              <w:bottom w:val="single" w:sz="8" w:color="CCEEFF"/>
            </w:tcBorders>
          </w:tcPr>
          <w:p>
            <w:pPr>
              <w:spacing w:after="0"/>
              <w:rPr>
                <w:sz w:val="15"/>
                <w:szCs w:val="15"/>
                <w:color w:val="auto"/>
              </w:rPr>
            </w:pPr>
          </w:p>
        </w:tc>
        <w:tc>
          <w:tcPr>
            <w:tcW w:w="1320" w:type="dxa"/>
            <w:vAlign w:val="bottom"/>
            <w:tcBorders>
              <w:top w:val="single" w:sz="8" w:color="auto"/>
              <w:bottom w:val="single" w:sz="8" w:color="auto"/>
            </w:tcBorders>
          </w:tcPr>
          <w:p>
            <w:pPr>
              <w:jc w:val="right"/>
              <w:ind w:right="1174"/>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(0.09)</w:t>
            </w:r>
          </w:p>
        </w:tc>
        <w:tc>
          <w:tcPr>
            <w:tcW w:w="8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0.02</w:t>
            </w:r>
          </w:p>
        </w:tc>
      </w:tr>
      <w:tr>
        <w:trPr>
          <w:trHeight w:val="153"/>
        </w:trPr>
        <w:tc>
          <w:tcPr>
            <w:tcW w:w="45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number of common shares outstanding</w:t>
            </w:r>
          </w:p>
        </w:tc>
        <w:tc>
          <w:tcPr>
            <w:tcW w:w="212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87"/>
        </w:trPr>
        <w:tc>
          <w:tcPr>
            <w:tcW w:w="450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Basic</w:t>
            </w:r>
          </w:p>
        </w:tc>
        <w:tc>
          <w:tcPr>
            <w:tcW w:w="2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152,956</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152,076</w:t>
            </w:r>
          </w:p>
        </w:tc>
      </w:tr>
      <w:tr>
        <w:trPr>
          <w:trHeight w:val="191"/>
        </w:trPr>
        <w:tc>
          <w:tcPr>
            <w:tcW w:w="4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Diluted</w:t>
            </w:r>
          </w:p>
        </w:tc>
        <w:tc>
          <w:tcPr>
            <w:tcW w:w="21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152,956</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152,783</w:t>
            </w:r>
          </w:p>
        </w:tc>
      </w:tr>
      <w:tr>
        <w:trPr>
          <w:trHeight w:val="918"/>
        </w:trPr>
        <w:tc>
          <w:tcPr>
            <w:tcW w:w="4500" w:type="dxa"/>
            <w:vAlign w:val="bottom"/>
          </w:tcPr>
          <w:p>
            <w:pPr>
              <w:spacing w:after="0"/>
              <w:rPr>
                <w:sz w:val="24"/>
                <w:szCs w:val="24"/>
                <w:color w:val="auto"/>
              </w:rPr>
            </w:pPr>
          </w:p>
        </w:tc>
        <w:tc>
          <w:tcPr>
            <w:tcW w:w="2120" w:type="dxa"/>
            <w:vAlign w:val="bottom"/>
          </w:tcPr>
          <w:p>
            <w:pPr>
              <w:jc w:val="right"/>
              <w:ind w:right="874"/>
              <w:spacing w:after="0"/>
              <w:rPr>
                <w:sz w:val="20"/>
                <w:szCs w:val="20"/>
                <w:color w:val="auto"/>
              </w:rPr>
            </w:pPr>
            <w:r>
              <w:rPr>
                <w:rFonts w:ascii="Times New Roman" w:cs="Times New Roman" w:eastAsia="Times New Roman" w:hAnsi="Times New Roman"/>
                <w:sz w:val="13"/>
                <w:szCs w:val="13"/>
                <w:color w:val="auto"/>
              </w:rPr>
              <w:t>8</w:t>
            </w: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300"/>
          </w:cols>
          <w:pgMar w:left="300" w:top="287" w:right="299" w:bottom="1440" w:gutter="0" w:footer="0" w:header="0"/>
        </w:sectPr>
      </w:pPr>
    </w:p>
    <w:bookmarkStart w:id="11" w:name="page12"/>
    <w:bookmarkEnd w:id="11"/>
    <w:p>
      <w:pPr>
        <w:ind w:left="4880"/>
        <w:spacing w:after="0"/>
        <w:rPr>
          <w:sz w:val="20"/>
          <w:szCs w:val="20"/>
          <w:color w:val="auto"/>
        </w:rPr>
      </w:pPr>
      <w:r>
        <w:rPr>
          <w:rFonts w:ascii="Arial" w:cs="Arial" w:eastAsia="Arial" w:hAnsi="Arial"/>
          <w:sz w:val="13"/>
          <w:szCs w:val="13"/>
          <w:b w:val="1"/>
          <w:bCs w:val="1"/>
          <w:color w:val="auto"/>
        </w:rPr>
        <w:t>Array Technologies, Inc.</w:t>
      </w:r>
    </w:p>
    <w:p>
      <w:pPr>
        <w:spacing w:after="0" w:line="25" w:lineRule="exact"/>
        <w:rPr>
          <w:sz w:val="20"/>
          <w:szCs w:val="20"/>
          <w:color w:val="auto"/>
        </w:rPr>
      </w:pPr>
    </w:p>
    <w:p>
      <w:pPr>
        <w:ind w:left="3280"/>
        <w:spacing w:after="0"/>
        <w:rPr>
          <w:sz w:val="20"/>
          <w:szCs w:val="20"/>
          <w:color w:val="auto"/>
        </w:rPr>
      </w:pPr>
      <w:r>
        <w:rPr>
          <w:rFonts w:ascii="Arial" w:cs="Arial" w:eastAsia="Arial" w:hAnsi="Arial"/>
          <w:sz w:val="13"/>
          <w:szCs w:val="13"/>
          <w:b w:val="1"/>
          <w:bCs w:val="1"/>
          <w:color w:val="auto"/>
        </w:rPr>
        <w:t xml:space="preserve">Condensed Consolidated Statements of Cash Flows </w:t>
      </w:r>
      <w:r>
        <w:rPr>
          <w:rFonts w:ascii="Arial" w:cs="Arial" w:eastAsia="Arial" w:hAnsi="Arial"/>
          <w:sz w:val="13"/>
          <w:szCs w:val="13"/>
          <w:b w:val="1"/>
          <w:bCs w:val="1"/>
          <w:i w:val="1"/>
          <w:iCs w:val="1"/>
          <w:color w:val="auto"/>
        </w:rPr>
        <w:t>(unaudited)</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(continued)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6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1340" w:type="dxa"/>
            <w:vAlign w:val="bottom"/>
            <w:tcBorders>
              <w:bottom w:val="single" w:sz="8" w:color="auto"/>
            </w:tcBorders>
          </w:tcPr>
          <w:p>
            <w:pPr>
              <w:spacing w:after="0"/>
              <w:rPr>
                <w:sz w:val="15"/>
                <w:szCs w:val="15"/>
                <w:color w:val="auto"/>
              </w:rPr>
            </w:pPr>
          </w:p>
        </w:tc>
      </w:tr>
      <w:tr>
        <w:trPr>
          <w:trHeight w:val="160"/>
        </w:trPr>
        <w:tc>
          <w:tcPr>
            <w:tcW w:w="66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34"/>
              <w:spacing w:after="0"/>
              <w:rPr>
                <w:sz w:val="20"/>
                <w:szCs w:val="20"/>
                <w:color w:val="auto"/>
              </w:rPr>
            </w:pPr>
            <w:r>
              <w:rPr>
                <w:rFonts w:ascii="Arial" w:cs="Arial" w:eastAsia="Arial" w:hAnsi="Arial"/>
                <w:sz w:val="13"/>
                <w:szCs w:val="13"/>
                <w:b w:val="1"/>
                <w:bCs w:val="1"/>
                <w:color w:val="auto"/>
              </w:rPr>
              <w:t>2025</w:t>
            </w:r>
          </w:p>
        </w:tc>
      </w:tr>
      <w:tr>
        <w:trPr>
          <w:trHeight w:val="169"/>
        </w:trPr>
        <w:tc>
          <w:tcPr>
            <w:tcW w:w="6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Operating activities</w:t>
            </w: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8"/>
        </w:trPr>
        <w:tc>
          <w:tcPr>
            <w:tcW w:w="6620" w:type="dxa"/>
            <w:vAlign w:val="bottom"/>
          </w:tcPr>
          <w:p>
            <w:pPr>
              <w:ind w:left="80"/>
              <w:spacing w:after="0"/>
              <w:rPr>
                <w:sz w:val="20"/>
                <w:szCs w:val="20"/>
                <w:color w:val="auto"/>
              </w:rPr>
            </w:pPr>
            <w:r>
              <w:rPr>
                <w:rFonts w:ascii="Arial" w:cs="Arial" w:eastAsia="Arial" w:hAnsi="Arial"/>
                <w:sz w:val="13"/>
                <w:szCs w:val="13"/>
                <w:color w:val="auto"/>
              </w:rPr>
              <w:t>Net income</w:t>
            </w:r>
          </w:p>
        </w:tc>
        <w:tc>
          <w:tcPr>
            <w:tcW w:w="1320" w:type="dxa"/>
            <w:vAlign w:val="bottom"/>
          </w:tcPr>
          <w:p>
            <w:pPr>
              <w:jc w:val="right"/>
              <w:ind w:right="1174"/>
              <w:spacing w:after="0"/>
              <w:rPr>
                <w:sz w:val="20"/>
                <w:szCs w:val="20"/>
                <w:color w:val="auto"/>
              </w:rPr>
            </w:pPr>
            <w:r>
              <w:rPr>
                <w:rFonts w:ascii="Arial" w:cs="Arial" w:eastAsia="Arial" w:hAnsi="Arial"/>
                <w:sz w:val="13"/>
                <w:szCs w:val="13"/>
                <w:color w:val="auto"/>
                <w:w w:val="82"/>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1,997</w:t>
            </w:r>
          </w:p>
        </w:tc>
        <w:tc>
          <w:tcPr>
            <w:tcW w:w="80" w:type="dxa"/>
            <w:vAlign w:val="bottom"/>
          </w:tcPr>
          <w:p>
            <w:pPr>
              <w:spacing w:after="0"/>
              <w:rPr>
                <w:sz w:val="16"/>
                <w:szCs w:val="16"/>
                <w:color w:val="auto"/>
              </w:rPr>
            </w:pPr>
          </w:p>
        </w:tc>
        <w:tc>
          <w:tcPr>
            <w:tcW w:w="960" w:type="dxa"/>
            <w:vAlign w:val="bottom"/>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tcPr>
          <w:p>
            <w:pPr>
              <w:jc w:val="right"/>
              <w:spacing w:after="0"/>
              <w:rPr>
                <w:sz w:val="20"/>
                <w:szCs w:val="20"/>
                <w:color w:val="auto"/>
              </w:rPr>
            </w:pPr>
            <w:r>
              <w:rPr>
                <w:rFonts w:ascii="Arial" w:cs="Arial" w:eastAsia="Arial" w:hAnsi="Arial"/>
                <w:sz w:val="13"/>
                <w:szCs w:val="13"/>
                <w:color w:val="auto"/>
              </w:rPr>
              <w:t>16,746</w:t>
            </w:r>
          </w:p>
        </w:tc>
      </w:tr>
      <w:tr>
        <w:trPr>
          <w:trHeight w:val="191"/>
        </w:trPr>
        <w:tc>
          <w:tcPr>
            <w:tcW w:w="6620" w:type="dxa"/>
            <w:vAlign w:val="bottom"/>
            <w:shd w:val="clear" w:color="auto" w:fill="CCEEFF"/>
          </w:tcPr>
          <w:p>
            <w:pPr>
              <w:ind w:left="80"/>
              <w:spacing w:after="0"/>
              <w:rPr>
                <w:sz w:val="20"/>
                <w:szCs w:val="20"/>
                <w:color w:val="auto"/>
              </w:rPr>
            </w:pPr>
            <w:r>
              <w:rPr>
                <w:rFonts w:ascii="Arial" w:cs="Arial" w:eastAsia="Arial" w:hAnsi="Arial"/>
                <w:sz w:val="13"/>
                <w:szCs w:val="13"/>
                <w:color w:val="auto"/>
              </w:rPr>
              <w:t>Adjustments to reconcile net income to cash used in operating activities:</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88"/>
        </w:trPr>
        <w:tc>
          <w:tcPr>
            <w:tcW w:w="6620" w:type="dxa"/>
            <w:vAlign w:val="bottom"/>
          </w:tcPr>
          <w:p>
            <w:pPr>
              <w:ind w:left="300"/>
              <w:spacing w:after="0"/>
              <w:rPr>
                <w:sz w:val="20"/>
                <w:szCs w:val="20"/>
                <w:color w:val="auto"/>
              </w:rPr>
            </w:pPr>
            <w:r>
              <w:rPr>
                <w:rFonts w:ascii="Arial" w:cs="Arial" w:eastAsia="Arial" w:hAnsi="Arial"/>
                <w:sz w:val="13"/>
                <w:szCs w:val="13"/>
                <w:color w:val="auto"/>
              </w:rPr>
              <w:t>Provision for bad debts</w:t>
            </w:r>
          </w:p>
        </w:tc>
        <w:tc>
          <w:tcPr>
            <w:tcW w:w="1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195</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1,671</w:t>
            </w:r>
          </w:p>
        </w:tc>
      </w:tr>
      <w:tr>
        <w:trPr>
          <w:trHeight w:val="190"/>
        </w:trPr>
        <w:tc>
          <w:tcPr>
            <w:tcW w:w="66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Deferred tax (benefit) expense</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(1,596)</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1,024</w:t>
            </w:r>
          </w:p>
        </w:tc>
      </w:tr>
      <w:tr>
        <w:trPr>
          <w:trHeight w:val="188"/>
        </w:trPr>
        <w:tc>
          <w:tcPr>
            <w:tcW w:w="6620" w:type="dxa"/>
            <w:vAlign w:val="bottom"/>
          </w:tcPr>
          <w:p>
            <w:pPr>
              <w:ind w:left="300"/>
              <w:spacing w:after="0"/>
              <w:rPr>
                <w:sz w:val="20"/>
                <w:szCs w:val="20"/>
                <w:color w:val="auto"/>
              </w:rPr>
            </w:pPr>
            <w:r>
              <w:rPr>
                <w:rFonts w:ascii="Arial" w:cs="Arial" w:eastAsia="Arial" w:hAnsi="Arial"/>
                <w:sz w:val="13"/>
                <w:szCs w:val="13"/>
                <w:color w:val="auto"/>
              </w:rPr>
              <w:t>Depreciation and amortization</w:t>
            </w:r>
          </w:p>
        </w:tc>
        <w:tc>
          <w:tcPr>
            <w:tcW w:w="1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9,751</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5,932</w:t>
            </w:r>
          </w:p>
        </w:tc>
      </w:tr>
      <w:tr>
        <w:trPr>
          <w:trHeight w:val="191"/>
        </w:trPr>
        <w:tc>
          <w:tcPr>
            <w:tcW w:w="66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Amortization of developed technology and backlog</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5,614</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r>
      <w:tr>
        <w:trPr>
          <w:trHeight w:val="188"/>
        </w:trPr>
        <w:tc>
          <w:tcPr>
            <w:tcW w:w="6620" w:type="dxa"/>
            <w:vAlign w:val="bottom"/>
          </w:tcPr>
          <w:p>
            <w:pPr>
              <w:ind w:left="300"/>
              <w:spacing w:after="0"/>
              <w:rPr>
                <w:sz w:val="20"/>
                <w:szCs w:val="20"/>
                <w:color w:val="auto"/>
              </w:rPr>
            </w:pPr>
            <w:r>
              <w:rPr>
                <w:rFonts w:ascii="Arial" w:cs="Arial" w:eastAsia="Arial" w:hAnsi="Arial"/>
                <w:sz w:val="13"/>
                <w:szCs w:val="13"/>
                <w:color w:val="auto"/>
              </w:rPr>
              <w:t>Amortization of debt discount and issuance costs</w:t>
            </w:r>
          </w:p>
        </w:tc>
        <w:tc>
          <w:tcPr>
            <w:tcW w:w="1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876</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1,506</w:t>
            </w:r>
          </w:p>
        </w:tc>
      </w:tr>
      <w:tr>
        <w:trPr>
          <w:trHeight w:val="191"/>
        </w:trPr>
        <w:tc>
          <w:tcPr>
            <w:tcW w:w="66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Equity-based compensation</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3,941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2,798</w:t>
            </w:r>
          </w:p>
        </w:tc>
      </w:tr>
      <w:tr>
        <w:trPr>
          <w:trHeight w:val="187"/>
        </w:trPr>
        <w:tc>
          <w:tcPr>
            <w:tcW w:w="6620" w:type="dxa"/>
            <w:vAlign w:val="bottom"/>
          </w:tcPr>
          <w:p>
            <w:pPr>
              <w:ind w:left="300"/>
              <w:spacing w:after="0"/>
              <w:rPr>
                <w:sz w:val="20"/>
                <w:szCs w:val="20"/>
                <w:color w:val="auto"/>
              </w:rPr>
            </w:pPr>
            <w:r>
              <w:rPr>
                <w:rFonts w:ascii="Arial" w:cs="Arial" w:eastAsia="Arial" w:hAnsi="Arial"/>
                <w:sz w:val="13"/>
                <w:szCs w:val="13"/>
                <w:color w:val="auto"/>
              </w:rPr>
              <w:t>Change in fair value of contingent consideration</w:t>
            </w:r>
          </w:p>
        </w:tc>
        <w:tc>
          <w:tcPr>
            <w:tcW w:w="1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(2,586)</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(150)</w:t>
            </w:r>
          </w:p>
        </w:tc>
      </w:tr>
      <w:tr>
        <w:trPr>
          <w:trHeight w:val="191"/>
        </w:trPr>
        <w:tc>
          <w:tcPr>
            <w:tcW w:w="66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Warranty provision</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3,341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1,720</w:t>
            </w:r>
          </w:p>
        </w:tc>
      </w:tr>
      <w:tr>
        <w:trPr>
          <w:trHeight w:val="188"/>
        </w:trPr>
        <w:tc>
          <w:tcPr>
            <w:tcW w:w="6620" w:type="dxa"/>
            <w:vAlign w:val="bottom"/>
          </w:tcPr>
          <w:p>
            <w:pPr>
              <w:ind w:left="300"/>
              <w:spacing w:after="0"/>
              <w:rPr>
                <w:sz w:val="20"/>
                <w:szCs w:val="20"/>
                <w:color w:val="auto"/>
              </w:rPr>
            </w:pPr>
            <w:r>
              <w:rPr>
                <w:rFonts w:ascii="Arial" w:cs="Arial" w:eastAsia="Arial" w:hAnsi="Arial"/>
                <w:sz w:val="13"/>
                <w:szCs w:val="13"/>
                <w:color w:val="auto"/>
              </w:rPr>
              <w:t>Inventory reserve</w:t>
            </w:r>
          </w:p>
        </w:tc>
        <w:tc>
          <w:tcPr>
            <w:tcW w:w="1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(526)</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839</w:t>
            </w:r>
          </w:p>
        </w:tc>
      </w:tr>
      <w:tr>
        <w:trPr>
          <w:trHeight w:val="191"/>
        </w:trPr>
        <w:tc>
          <w:tcPr>
            <w:tcW w:w="6620" w:type="dxa"/>
            <w:vAlign w:val="bottom"/>
            <w:shd w:val="clear" w:color="auto" w:fill="CCEEFF"/>
          </w:tcPr>
          <w:p>
            <w:pPr>
              <w:ind w:left="300"/>
              <w:spacing w:after="0"/>
              <w:rPr>
                <w:sz w:val="20"/>
                <w:szCs w:val="20"/>
                <w:color w:val="auto"/>
              </w:rPr>
            </w:pPr>
            <w:r>
              <w:rPr>
                <w:rFonts w:ascii="Arial" w:cs="Arial" w:eastAsia="Arial" w:hAnsi="Arial"/>
                <w:sz w:val="13"/>
                <w:szCs w:val="13"/>
                <w:color w:val="auto"/>
              </w:rPr>
              <w:t>Other non-cash</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8"/>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Changes in operating assets and liabilities</w:t>
            </w:r>
          </w:p>
        </w:tc>
        <w:tc>
          <w:tcPr>
            <w:tcW w:w="1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(50,589)</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(48,784)</w:t>
            </w:r>
          </w:p>
        </w:tc>
      </w:tr>
      <w:tr>
        <w:trPr>
          <w:trHeight w:val="170"/>
        </w:trPr>
        <w:tc>
          <w:tcPr>
            <w:tcW w:w="66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cash used in operating activities</w:t>
            </w:r>
          </w:p>
        </w:tc>
        <w:tc>
          <w:tcPr>
            <w:tcW w:w="1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(29,421)</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(13,059)</w:t>
            </w:r>
          </w:p>
        </w:tc>
      </w:tr>
      <w:tr>
        <w:trPr>
          <w:trHeight w:val="166"/>
        </w:trPr>
        <w:tc>
          <w:tcPr>
            <w:tcW w:w="6620" w:type="dxa"/>
            <w:vAlign w:val="bottom"/>
          </w:tcPr>
          <w:p>
            <w:pPr>
              <w:spacing w:after="0"/>
              <w:rPr>
                <w:sz w:val="20"/>
                <w:szCs w:val="20"/>
                <w:color w:val="auto"/>
              </w:rPr>
            </w:pPr>
            <w:r>
              <w:rPr>
                <w:rFonts w:ascii="Arial" w:cs="Arial" w:eastAsia="Arial" w:hAnsi="Arial"/>
                <w:sz w:val="13"/>
                <w:szCs w:val="13"/>
                <w:b w:val="1"/>
                <w:bCs w:val="1"/>
                <w:color w:val="auto"/>
              </w:rPr>
              <w:t>Investing activities</w:t>
            </w: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92"/>
        </w:trPr>
        <w:tc>
          <w:tcPr>
            <w:tcW w:w="6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Purchase of property, plant and equipment</w:t>
            </w:r>
          </w:p>
        </w:tc>
        <w:tc>
          <w:tcPr>
            <w:tcW w:w="1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(7,511)</w:t>
            </w:r>
          </w:p>
        </w:tc>
        <w:tc>
          <w:tcPr>
            <w:tcW w:w="8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(2,352)</w:t>
            </w:r>
          </w:p>
        </w:tc>
      </w:tr>
      <w:tr>
        <w:trPr>
          <w:trHeight w:val="168"/>
        </w:trPr>
        <w:tc>
          <w:tcPr>
            <w:tcW w:w="6620" w:type="dxa"/>
            <w:vAlign w:val="bottom"/>
            <w:tcBorders>
              <w:bottom w:val="single" w:sz="8" w:color="CCEEFF"/>
            </w:tcBorders>
          </w:tcPr>
          <w:p>
            <w:pPr>
              <w:ind w:left="440"/>
              <w:spacing w:after="0"/>
              <w:rPr>
                <w:sz w:val="20"/>
                <w:szCs w:val="20"/>
                <w:color w:val="auto"/>
              </w:rPr>
            </w:pPr>
            <w:r>
              <w:rPr>
                <w:rFonts w:ascii="Arial" w:cs="Arial" w:eastAsia="Arial" w:hAnsi="Arial"/>
                <w:sz w:val="13"/>
                <w:szCs w:val="13"/>
                <w:color w:val="auto"/>
              </w:rPr>
              <w:t>Net cash used in investing activities</w:t>
            </w:r>
          </w:p>
        </w:tc>
        <w:tc>
          <w:tcPr>
            <w:tcW w:w="1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(7,511)</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(2,352)</w:t>
            </w:r>
          </w:p>
        </w:tc>
      </w:tr>
      <w:tr>
        <w:trPr>
          <w:trHeight w:val="170"/>
        </w:trPr>
        <w:tc>
          <w:tcPr>
            <w:tcW w:w="6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Financing activities</w:t>
            </w: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8"/>
        </w:trPr>
        <w:tc>
          <w:tcPr>
            <w:tcW w:w="6620" w:type="dxa"/>
            <w:vAlign w:val="bottom"/>
          </w:tcPr>
          <w:p>
            <w:pPr>
              <w:ind w:left="140"/>
              <w:spacing w:after="0"/>
              <w:rPr>
                <w:sz w:val="20"/>
                <w:szCs w:val="20"/>
                <w:color w:val="auto"/>
              </w:rPr>
            </w:pPr>
            <w:r>
              <w:rPr>
                <w:rFonts w:ascii="Arial" w:cs="Arial" w:eastAsia="Arial" w:hAnsi="Arial"/>
                <w:sz w:val="13"/>
                <w:szCs w:val="13"/>
                <w:color w:val="auto"/>
              </w:rPr>
              <w:t>Proceeds from issuance of other debt</w:t>
            </w:r>
          </w:p>
        </w:tc>
        <w:tc>
          <w:tcPr>
            <w:tcW w:w="1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24,218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7,862</w:t>
            </w:r>
          </w:p>
        </w:tc>
      </w:tr>
      <w:tr>
        <w:trPr>
          <w:trHeight w:val="191"/>
        </w:trPr>
        <w:tc>
          <w:tcPr>
            <w:tcW w:w="6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Repayments of other debt</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(27,412)</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(7,294)</w:t>
            </w:r>
          </w:p>
        </w:tc>
      </w:tr>
      <w:tr>
        <w:trPr>
          <w:trHeight w:val="188"/>
        </w:trPr>
        <w:tc>
          <w:tcPr>
            <w:tcW w:w="6620" w:type="dxa"/>
            <w:vAlign w:val="bottom"/>
          </w:tcPr>
          <w:p>
            <w:pPr>
              <w:ind w:left="140"/>
              <w:spacing w:after="0"/>
              <w:rPr>
                <w:sz w:val="20"/>
                <w:szCs w:val="20"/>
                <w:color w:val="auto"/>
              </w:rPr>
            </w:pPr>
            <w:r>
              <w:rPr>
                <w:rFonts w:ascii="Arial" w:cs="Arial" w:eastAsia="Arial" w:hAnsi="Arial"/>
                <w:sz w:val="13"/>
                <w:szCs w:val="13"/>
                <w:color w:val="auto"/>
              </w:rPr>
              <w:t>Repayments of term loan facility</w:t>
            </w:r>
          </w:p>
        </w:tc>
        <w:tc>
          <w:tcPr>
            <w:tcW w:w="13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(1,075)</w:t>
            </w:r>
          </w:p>
        </w:tc>
      </w:tr>
      <w:tr>
        <w:trPr>
          <w:trHeight w:val="191"/>
        </w:trPr>
        <w:tc>
          <w:tcPr>
            <w:tcW w:w="66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Contingent consideration payments</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(2,574)</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(1,204)</w:t>
            </w:r>
          </w:p>
        </w:tc>
      </w:tr>
      <w:tr>
        <w:trPr>
          <w:trHeight w:val="187"/>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Other financing</w:t>
            </w:r>
          </w:p>
        </w:tc>
        <w:tc>
          <w:tcPr>
            <w:tcW w:w="1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(1,844)</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w:t>
            </w:r>
          </w:p>
        </w:tc>
      </w:tr>
      <w:tr>
        <w:trPr>
          <w:trHeight w:val="171"/>
        </w:trPr>
        <w:tc>
          <w:tcPr>
            <w:tcW w:w="662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cash used in financing activities</w:t>
            </w:r>
          </w:p>
        </w:tc>
        <w:tc>
          <w:tcPr>
            <w:tcW w:w="132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(7,612)</w:t>
            </w:r>
          </w:p>
        </w:tc>
        <w:tc>
          <w:tcPr>
            <w:tcW w:w="8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(1,725)</w:t>
            </w:r>
          </w:p>
        </w:tc>
      </w:tr>
      <w:tr>
        <w:trPr>
          <w:trHeight w:val="168"/>
        </w:trPr>
        <w:tc>
          <w:tcPr>
            <w:tcW w:w="6620" w:type="dxa"/>
            <w:vAlign w:val="bottom"/>
          </w:tcPr>
          <w:p>
            <w:pPr>
              <w:spacing w:after="0"/>
              <w:rPr>
                <w:sz w:val="20"/>
                <w:szCs w:val="20"/>
                <w:color w:val="auto"/>
              </w:rPr>
            </w:pPr>
            <w:r>
              <w:rPr>
                <w:rFonts w:ascii="Arial" w:cs="Arial" w:eastAsia="Arial" w:hAnsi="Arial"/>
                <w:sz w:val="13"/>
                <w:szCs w:val="13"/>
                <w:color w:val="auto"/>
              </w:rPr>
              <w:t>Effect of exchange rate changes on cash and cash equivalent balances</w:t>
            </w:r>
          </w:p>
        </w:tc>
        <w:tc>
          <w:tcPr>
            <w:tcW w:w="1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553</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2,488</w:t>
            </w:r>
          </w:p>
        </w:tc>
      </w:tr>
      <w:tr>
        <w:trPr>
          <w:trHeight w:val="191"/>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Net change in cash and cash equivalents and restricted cash</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(43,991)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(14,648)</w:t>
            </w:r>
          </w:p>
        </w:tc>
      </w:tr>
      <w:tr>
        <w:trPr>
          <w:trHeight w:val="188"/>
        </w:trPr>
        <w:tc>
          <w:tcPr>
            <w:tcW w:w="6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and cash equivalents, and restricted cash beginning of period</w:t>
            </w:r>
          </w:p>
        </w:tc>
        <w:tc>
          <w:tcPr>
            <w:tcW w:w="1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245,984</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364,141</w:t>
            </w:r>
          </w:p>
        </w:tc>
      </w:tr>
      <w:tr>
        <w:trPr>
          <w:trHeight w:val="177"/>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color w:val="auto"/>
              </w:rPr>
              <w:t>Cash and cash equivalents and restricted cash, end of period</w:t>
            </w:r>
          </w:p>
        </w:tc>
        <w:tc>
          <w:tcPr>
            <w:tcW w:w="132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201,993</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349,493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1300"/>
          </w:cols>
          <w:pgMar w:left="300" w:top="287" w:right="299" w:bottom="1440" w:gutter="0" w:footer="0" w:header="0"/>
        </w:sectPr>
      </w:pPr>
    </w:p>
    <w:bookmarkStart w:id="12" w:name="page13"/>
    <w:bookmarkEnd w:id="12"/>
    <w:p>
      <w:pPr>
        <w:ind w:left="4880"/>
        <w:spacing w:after="0"/>
        <w:rPr>
          <w:sz w:val="20"/>
          <w:szCs w:val="20"/>
          <w:color w:val="auto"/>
        </w:rPr>
      </w:pPr>
      <w:r>
        <w:rPr>
          <w:rFonts w:ascii="Arial" w:cs="Arial" w:eastAsia="Arial" w:hAnsi="Arial"/>
          <w:sz w:val="13"/>
          <w:szCs w:val="13"/>
          <w:b w:val="1"/>
          <w:bCs w:val="1"/>
          <w:color w:val="auto"/>
        </w:rPr>
        <w:t>Array Technologies, Inc.</w:t>
      </w:r>
    </w:p>
    <w:p>
      <w:pPr>
        <w:spacing w:after="0" w:line="26"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 xml:space="preserve">Adjusted Gross Profit, Adjusted EBITDA, Adjusted Net Income, Adjusted General and Administrative Expense and Free Cash Flow Reconciliation </w:t>
      </w:r>
      <w:r>
        <w:rPr>
          <w:rFonts w:ascii="Arial" w:cs="Arial" w:eastAsia="Arial" w:hAnsi="Arial"/>
          <w:sz w:val="13"/>
          <w:szCs w:val="13"/>
          <w:b w:val="1"/>
          <w:bCs w:val="1"/>
          <w:i w:val="1"/>
          <w:i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thousands, except per share amounts)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60" w:type="dxa"/>
            <w:vAlign w:val="bottom"/>
          </w:tcPr>
          <w:p>
            <w:pPr>
              <w:spacing w:after="0"/>
              <w:rPr>
                <w:sz w:val="20"/>
                <w:szCs w:val="20"/>
                <w:color w:val="auto"/>
              </w:rPr>
            </w:pPr>
            <w:r>
              <w:rPr>
                <w:rFonts w:ascii="Arial" w:cs="Arial" w:eastAsia="Arial" w:hAnsi="Arial"/>
                <w:sz w:val="13"/>
                <w:szCs w:val="13"/>
                <w:color w:val="auto"/>
              </w:rPr>
              <w:t>The following table reconciles Gross profit to Adjusted gross profit:</w:t>
            </w:r>
          </w:p>
        </w:tc>
        <w:tc>
          <w:tcPr>
            <w:tcW w:w="1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3"/>
        </w:trPr>
        <w:tc>
          <w:tcPr>
            <w:tcW w:w="6460" w:type="dxa"/>
            <w:vAlign w:val="bottom"/>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1400" w:type="dxa"/>
            <w:vAlign w:val="bottom"/>
            <w:tcBorders>
              <w:bottom w:val="single" w:sz="8" w:color="auto"/>
            </w:tcBorders>
          </w:tcPr>
          <w:p>
            <w:pPr>
              <w:spacing w:after="0"/>
              <w:rPr>
                <w:sz w:val="15"/>
                <w:szCs w:val="15"/>
                <w:color w:val="auto"/>
              </w:rPr>
            </w:pPr>
          </w:p>
        </w:tc>
      </w:tr>
      <w:tr>
        <w:trPr>
          <w:trHeight w:val="160"/>
        </w:trPr>
        <w:tc>
          <w:tcPr>
            <w:tcW w:w="6460" w:type="dxa"/>
            <w:vAlign w:val="bottom"/>
            <w:tcBorders>
              <w:bottom w:val="single" w:sz="8" w:color="CCEEFF"/>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974"/>
              <w:spacing w:after="0"/>
              <w:rPr>
                <w:sz w:val="20"/>
                <w:szCs w:val="20"/>
                <w:color w:val="auto"/>
              </w:rPr>
            </w:pPr>
            <w:r>
              <w:rPr>
                <w:rFonts w:ascii="Arial" w:cs="Arial" w:eastAsia="Arial" w:hAnsi="Arial"/>
                <w:sz w:val="13"/>
                <w:szCs w:val="13"/>
                <w:b w:val="1"/>
                <w:bCs w:val="1"/>
                <w:color w:val="auto"/>
              </w:rPr>
              <w:t>2025</w:t>
            </w:r>
          </w:p>
        </w:tc>
      </w:tr>
      <w:tr>
        <w:trPr>
          <w:trHeight w:val="160"/>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Revenue</w:t>
            </w:r>
          </w:p>
        </w:tc>
        <w:tc>
          <w:tcPr>
            <w:tcW w:w="1380" w:type="dxa"/>
            <w:vAlign w:val="bottom"/>
            <w:shd w:val="clear" w:color="auto" w:fill="CCEEFF"/>
          </w:tcPr>
          <w:p>
            <w:pPr>
              <w:jc w:val="right"/>
              <w:ind w:right="1234"/>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223,412</w:t>
            </w:r>
          </w:p>
        </w:tc>
        <w:tc>
          <w:tcPr>
            <w:tcW w:w="8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834"/>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302,363</w:t>
            </w:r>
          </w:p>
        </w:tc>
      </w:tr>
      <w:tr>
        <w:trPr>
          <w:trHeight w:val="171"/>
        </w:trPr>
        <w:tc>
          <w:tcPr>
            <w:tcW w:w="646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Cost of revenue</w:t>
            </w:r>
          </w:p>
        </w:tc>
        <w:tc>
          <w:tcPr>
            <w:tcW w:w="1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160,408</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225,935</w:t>
            </w:r>
          </w:p>
        </w:tc>
      </w:tr>
      <w:tr>
        <w:trPr>
          <w:trHeight w:val="160"/>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Gross profit</w:t>
            </w:r>
          </w:p>
        </w:tc>
        <w:tc>
          <w:tcPr>
            <w:tcW w:w="138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63,004</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color w:val="auto"/>
              </w:rPr>
              <w:t>76,428</w:t>
            </w:r>
          </w:p>
        </w:tc>
      </w:tr>
      <w:tr>
        <w:trPr>
          <w:trHeight w:val="160"/>
        </w:trPr>
        <w:tc>
          <w:tcPr>
            <w:tcW w:w="6460" w:type="dxa"/>
            <w:vAlign w:val="bottom"/>
          </w:tcPr>
          <w:p>
            <w:pPr>
              <w:spacing w:after="0"/>
              <w:rPr>
                <w:sz w:val="20"/>
                <w:szCs w:val="20"/>
                <w:color w:val="auto"/>
              </w:rPr>
            </w:pPr>
            <w:r>
              <w:rPr>
                <w:rFonts w:ascii="Arial" w:cs="Arial" w:eastAsia="Arial" w:hAnsi="Arial"/>
                <w:sz w:val="13"/>
                <w:szCs w:val="13"/>
                <w:color w:val="auto"/>
              </w:rPr>
              <w:t>Gross margin</w:t>
            </w:r>
          </w:p>
        </w:tc>
        <w:tc>
          <w:tcPr>
            <w:tcW w:w="1380" w:type="dxa"/>
            <w:vAlign w:val="bottom"/>
          </w:tcPr>
          <w:p>
            <w:pPr>
              <w:spacing w:after="0"/>
              <w:rPr>
                <w:sz w:val="13"/>
                <w:szCs w:val="13"/>
                <w:color w:val="auto"/>
              </w:rPr>
            </w:pPr>
          </w:p>
        </w:tc>
        <w:tc>
          <w:tcPr>
            <w:tcW w:w="1000" w:type="dxa"/>
            <w:vAlign w:val="bottom"/>
          </w:tcPr>
          <w:p>
            <w:pPr>
              <w:jc w:val="right"/>
              <w:ind w:right="14"/>
              <w:spacing w:after="0"/>
              <w:rPr>
                <w:sz w:val="20"/>
                <w:szCs w:val="20"/>
                <w:color w:val="auto"/>
              </w:rPr>
            </w:pPr>
            <w:r>
              <w:rPr>
                <w:rFonts w:ascii="Arial" w:cs="Arial" w:eastAsia="Arial" w:hAnsi="Arial"/>
                <w:sz w:val="13"/>
                <w:szCs w:val="13"/>
                <w:color w:val="auto"/>
              </w:rPr>
              <w:t>28.2%</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0" w:type="dxa"/>
            <w:vAlign w:val="bottom"/>
          </w:tcPr>
          <w:p>
            <w:pPr>
              <w:jc w:val="right"/>
              <w:ind w:right="14"/>
              <w:spacing w:after="0"/>
              <w:rPr>
                <w:sz w:val="20"/>
                <w:szCs w:val="20"/>
                <w:color w:val="auto"/>
              </w:rPr>
            </w:pPr>
            <w:r>
              <w:rPr>
                <w:rFonts w:ascii="Arial" w:cs="Arial" w:eastAsia="Arial" w:hAnsi="Arial"/>
                <w:sz w:val="13"/>
                <w:szCs w:val="13"/>
                <w:color w:val="auto"/>
              </w:rPr>
              <w:t>25.3%</w:t>
            </w:r>
          </w:p>
        </w:tc>
      </w:tr>
      <w:tr>
        <w:trPr>
          <w:trHeight w:val="171"/>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developed technology and backlog</w:t>
            </w:r>
          </w:p>
        </w:tc>
        <w:tc>
          <w:tcPr>
            <w:tcW w:w="138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5,614</w:t>
            </w: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3,639</w:t>
            </w:r>
          </w:p>
        </w:tc>
      </w:tr>
      <w:tr>
        <w:trPr>
          <w:trHeight w:val="171"/>
        </w:trPr>
        <w:tc>
          <w:tcPr>
            <w:tcW w:w="6460" w:type="dxa"/>
            <w:vAlign w:val="bottom"/>
            <w:tcBorders>
              <w:bottom w:val="single" w:sz="8" w:color="CCEEFF"/>
            </w:tcBorders>
          </w:tcPr>
          <w:p>
            <w:pPr>
              <w:spacing w:after="0" w:line="171"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7"/>
                <w:szCs w:val="17"/>
                <w:color w:val="auto"/>
                <w:vertAlign w:val="superscript"/>
              </w:rPr>
              <w:t>(a)</w:t>
            </w:r>
          </w:p>
        </w:tc>
        <w:tc>
          <w:tcPr>
            <w:tcW w:w="13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40</w:t>
            </w:r>
          </w:p>
        </w:tc>
        <w:tc>
          <w:tcPr>
            <w:tcW w:w="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r>
      <w:tr>
        <w:trPr>
          <w:trHeight w:val="180"/>
        </w:trPr>
        <w:tc>
          <w:tcPr>
            <w:tcW w:w="6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Adjusted gross profit</w:t>
            </w:r>
          </w:p>
        </w:tc>
        <w:tc>
          <w:tcPr>
            <w:tcW w:w="1380" w:type="dxa"/>
            <w:vAlign w:val="bottom"/>
            <w:tcBorders>
              <w:bottom w:val="single" w:sz="8" w:color="auto"/>
            </w:tcBorders>
            <w:shd w:val="clear" w:color="auto" w:fill="CCEEFF"/>
          </w:tcPr>
          <w:p>
            <w:pPr>
              <w:jc w:val="right"/>
              <w:ind w:right="1234"/>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68,658</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3"/>
                <w:szCs w:val="13"/>
                <w:b w:val="1"/>
                <w:bCs w:val="1"/>
                <w:color w:val="auto"/>
                <w:w w:val="82"/>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80,067</w:t>
            </w:r>
          </w:p>
        </w:tc>
      </w:tr>
      <w:tr>
        <w:trPr>
          <w:trHeight w:val="175"/>
        </w:trPr>
        <w:tc>
          <w:tcPr>
            <w:tcW w:w="6460" w:type="dxa"/>
            <w:vAlign w:val="bottom"/>
          </w:tcPr>
          <w:p>
            <w:pPr>
              <w:spacing w:after="0"/>
              <w:rPr>
                <w:sz w:val="20"/>
                <w:szCs w:val="20"/>
                <w:color w:val="auto"/>
              </w:rPr>
            </w:pPr>
            <w:r>
              <w:rPr>
                <w:rFonts w:ascii="Arial" w:cs="Arial" w:eastAsia="Arial" w:hAnsi="Arial"/>
                <w:sz w:val="13"/>
                <w:szCs w:val="13"/>
                <w:b w:val="1"/>
                <w:bCs w:val="1"/>
                <w:color w:val="auto"/>
              </w:rPr>
              <w:t>Adjusted gross margin</w:t>
            </w:r>
          </w:p>
        </w:tc>
        <w:tc>
          <w:tcPr>
            <w:tcW w:w="138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30.7 %</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3"/>
                <w:szCs w:val="13"/>
                <w:b w:val="1"/>
                <w:bCs w:val="1"/>
                <w:color w:val="auto"/>
              </w:rPr>
              <w:t>26.5 %</w:t>
            </w:r>
          </w:p>
        </w:tc>
      </w:tr>
    </w:tbl>
    <w:p>
      <w:pPr>
        <w:spacing w:after="0" w:line="170" w:lineRule="exact"/>
        <w:rPr>
          <w:sz w:val="20"/>
          <w:szCs w:val="20"/>
          <w:color w:val="auto"/>
        </w:rPr>
      </w:pPr>
    </w:p>
    <w:p>
      <w:pPr>
        <w:ind w:left="560" w:hanging="136"/>
        <w:spacing w:after="0"/>
        <w:tabs>
          <w:tab w:leader="none" w:pos="560" w:val="left"/>
        </w:tabs>
        <w:numPr>
          <w:ilvl w:val="0"/>
          <w:numId w:val="6"/>
        </w:numPr>
        <w:rPr>
          <w:rFonts w:ascii="Arial" w:cs="Arial" w:eastAsia="Arial" w:hAnsi="Arial"/>
          <w:sz w:val="16"/>
          <w:szCs w:val="16"/>
          <w:color w:val="auto"/>
          <w:vertAlign w:val="superscript"/>
        </w:rPr>
      </w:pPr>
      <w:r>
        <w:rPr>
          <w:rFonts w:ascii="Arial" w:cs="Arial" w:eastAsia="Arial" w:hAnsi="Arial"/>
          <w:sz w:val="12"/>
          <w:szCs w:val="12"/>
          <w:color w:val="auto"/>
        </w:rPr>
        <w:t>Represents acquisition-related fair value adjustments to Property, plant, and equipment.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20"/>
                <w:szCs w:val="20"/>
                <w:color w:val="auto"/>
              </w:rPr>
            </w:pPr>
            <w:r>
              <w:rPr>
                <w:rFonts w:ascii="Arial" w:cs="Arial" w:eastAsia="Arial" w:hAnsi="Arial"/>
                <w:sz w:val="13"/>
                <w:szCs w:val="13"/>
                <w:color w:val="auto"/>
              </w:rPr>
              <w:t>The following table reconciles Net income to Adjusted EBITDA:</w:t>
            </w: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6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1340" w:type="dxa"/>
            <w:vAlign w:val="bottom"/>
            <w:tcBorders>
              <w:bottom w:val="single" w:sz="8" w:color="auto"/>
            </w:tcBorders>
          </w:tcPr>
          <w:p>
            <w:pPr>
              <w:spacing w:after="0"/>
              <w:rPr>
                <w:sz w:val="15"/>
                <w:szCs w:val="15"/>
                <w:color w:val="auto"/>
              </w:rPr>
            </w:pPr>
          </w:p>
        </w:tc>
      </w:tr>
      <w:tr>
        <w:trPr>
          <w:trHeight w:val="160"/>
        </w:trPr>
        <w:tc>
          <w:tcPr>
            <w:tcW w:w="66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34"/>
              <w:spacing w:after="0"/>
              <w:rPr>
                <w:sz w:val="20"/>
                <w:szCs w:val="20"/>
                <w:color w:val="auto"/>
              </w:rPr>
            </w:pPr>
            <w:r>
              <w:rPr>
                <w:rFonts w:ascii="Arial" w:cs="Arial" w:eastAsia="Arial" w:hAnsi="Arial"/>
                <w:sz w:val="13"/>
                <w:szCs w:val="13"/>
                <w:b w:val="1"/>
                <w:bCs w:val="1"/>
                <w:color w:val="auto"/>
              </w:rPr>
              <w:t>2025</w:t>
            </w:r>
          </w:p>
        </w:tc>
      </w:tr>
      <w:tr>
        <w:trPr>
          <w:trHeight w:val="160"/>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320" w:type="dxa"/>
            <w:vAlign w:val="bottom"/>
            <w:shd w:val="clear" w:color="auto" w:fill="CCEEFF"/>
          </w:tcPr>
          <w:p>
            <w:pPr>
              <w:jc w:val="right"/>
              <w:ind w:right="1174"/>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16,746</w:t>
            </w:r>
          </w:p>
        </w:tc>
      </w:tr>
      <w:tr>
        <w:trPr>
          <w:trHeight w:val="171"/>
        </w:trPr>
        <w:tc>
          <w:tcPr>
            <w:tcW w:w="6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Preferred dividends and accretion</w:t>
            </w:r>
          </w:p>
        </w:tc>
        <w:tc>
          <w:tcPr>
            <w:tcW w:w="1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15,537</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14,443</w:t>
            </w:r>
          </w:p>
        </w:tc>
      </w:tr>
      <w:tr>
        <w:trPr>
          <w:trHeight w:val="160"/>
        </w:trPr>
        <w:tc>
          <w:tcPr>
            <w:tcW w:w="6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(loss) income to common stockholders</w:t>
            </w:r>
          </w:p>
        </w:tc>
        <w:tc>
          <w:tcPr>
            <w:tcW w:w="13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(13,540)</w:t>
            </w: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2,303</w:t>
            </w:r>
          </w:p>
        </w:tc>
      </w:tr>
      <w:tr>
        <w:trPr>
          <w:trHeight w:val="160"/>
        </w:trPr>
        <w:tc>
          <w:tcPr>
            <w:tcW w:w="6620" w:type="dxa"/>
            <w:vAlign w:val="bottom"/>
          </w:tcPr>
          <w:p>
            <w:pPr>
              <w:spacing w:after="0"/>
              <w:rPr>
                <w:sz w:val="20"/>
                <w:szCs w:val="20"/>
                <w:color w:val="auto"/>
              </w:rPr>
            </w:pPr>
            <w:r>
              <w:rPr>
                <w:rFonts w:ascii="Arial" w:cs="Arial" w:eastAsia="Arial" w:hAnsi="Arial"/>
                <w:sz w:val="13"/>
                <w:szCs w:val="13"/>
                <w:color w:val="auto"/>
              </w:rPr>
              <w:t>Other income, net</w:t>
            </w:r>
          </w:p>
        </w:tc>
        <w:tc>
          <w:tcPr>
            <w:tcW w:w="132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(2,418)</w:t>
            </w: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(3,342)</w:t>
            </w:r>
          </w:p>
        </w:tc>
      </w:tr>
      <w:tr>
        <w:trPr>
          <w:trHeight w:val="171"/>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Foreign currency gain, net</w:t>
            </w: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(689)</w:t>
            </w:r>
          </w:p>
        </w:tc>
      </w:tr>
      <w:tr>
        <w:trPr>
          <w:trHeight w:val="171"/>
        </w:trPr>
        <w:tc>
          <w:tcPr>
            <w:tcW w:w="6620" w:type="dxa"/>
            <w:vAlign w:val="bottom"/>
          </w:tcPr>
          <w:p>
            <w:pPr>
              <w:spacing w:after="0"/>
              <w:rPr>
                <w:sz w:val="20"/>
                <w:szCs w:val="20"/>
                <w:color w:val="auto"/>
              </w:rPr>
            </w:pPr>
            <w:r>
              <w:rPr>
                <w:rFonts w:ascii="Arial" w:cs="Arial" w:eastAsia="Arial" w:hAnsi="Arial"/>
                <w:sz w:val="13"/>
                <w:szCs w:val="13"/>
                <w:color w:val="auto"/>
              </w:rPr>
              <w:t>Preferred dividends and accretion</w:t>
            </w:r>
          </w:p>
        </w:tc>
        <w:tc>
          <w:tcPr>
            <w:tcW w:w="1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15,537</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14,443</w:t>
            </w:r>
          </w:p>
        </w:tc>
      </w:tr>
      <w:tr>
        <w:trPr>
          <w:trHeight w:val="171"/>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5,563</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8,035</w:t>
            </w:r>
          </w:p>
        </w:tc>
      </w:tr>
      <w:tr>
        <w:trPr>
          <w:trHeight w:val="188"/>
        </w:trPr>
        <w:tc>
          <w:tcPr>
            <w:tcW w:w="6620" w:type="dxa"/>
            <w:vAlign w:val="bottom"/>
          </w:tcPr>
          <w:p>
            <w:pPr>
              <w:spacing w:after="0"/>
              <w:rPr>
                <w:sz w:val="20"/>
                <w:szCs w:val="20"/>
                <w:color w:val="auto"/>
              </w:rPr>
            </w:pPr>
            <w:r>
              <w:rPr>
                <w:rFonts w:ascii="Arial" w:cs="Arial" w:eastAsia="Arial" w:hAnsi="Arial"/>
                <w:sz w:val="13"/>
                <w:szCs w:val="13"/>
                <w:color w:val="auto"/>
              </w:rPr>
              <w:t>Income tax expense</w:t>
            </w:r>
          </w:p>
        </w:tc>
        <w:tc>
          <w:tcPr>
            <w:tcW w:w="1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2,128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6,534</w:t>
            </w:r>
          </w:p>
        </w:tc>
      </w:tr>
      <w:tr>
        <w:trPr>
          <w:trHeight w:val="191"/>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Depreciation expense</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2,364</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1,043</w:t>
            </w:r>
          </w:p>
        </w:tc>
      </w:tr>
      <w:tr>
        <w:trPr>
          <w:trHeight w:val="188"/>
        </w:trPr>
        <w:tc>
          <w:tcPr>
            <w:tcW w:w="6620" w:type="dxa"/>
            <w:vAlign w:val="bottom"/>
          </w:tcPr>
          <w:p>
            <w:pPr>
              <w:spacing w:after="0"/>
              <w:rPr>
                <w:sz w:val="20"/>
                <w:szCs w:val="20"/>
                <w:color w:val="auto"/>
              </w:rPr>
            </w:pPr>
            <w:r>
              <w:rPr>
                <w:rFonts w:ascii="Arial" w:cs="Arial" w:eastAsia="Arial" w:hAnsi="Arial"/>
                <w:sz w:val="13"/>
                <w:szCs w:val="13"/>
                <w:color w:val="auto"/>
              </w:rPr>
              <w:t>Amortization of intangibles</w:t>
            </w:r>
          </w:p>
        </w:tc>
        <w:tc>
          <w:tcPr>
            <w:tcW w:w="1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7,388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4,889</w:t>
            </w:r>
          </w:p>
        </w:tc>
      </w:tr>
      <w:tr>
        <w:trPr>
          <w:trHeight w:val="190"/>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developed technology and backlog</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5,614</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r>
      <w:tr>
        <w:trPr>
          <w:trHeight w:val="188"/>
        </w:trPr>
        <w:tc>
          <w:tcPr>
            <w:tcW w:w="6620" w:type="dxa"/>
            <w:vAlign w:val="bottom"/>
          </w:tcPr>
          <w:p>
            <w:pPr>
              <w:spacing w:after="0"/>
              <w:rPr>
                <w:sz w:val="20"/>
                <w:szCs w:val="20"/>
                <w:color w:val="auto"/>
              </w:rPr>
            </w:pPr>
            <w:r>
              <w:rPr>
                <w:rFonts w:ascii="Arial" w:cs="Arial" w:eastAsia="Arial" w:hAnsi="Arial"/>
                <w:sz w:val="13"/>
                <w:szCs w:val="13"/>
                <w:color w:val="auto"/>
              </w:rPr>
              <w:t>Equity-based compensation</w:t>
            </w:r>
          </w:p>
        </w:tc>
        <w:tc>
          <w:tcPr>
            <w:tcW w:w="1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3,941</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2,798</w:t>
            </w:r>
          </w:p>
        </w:tc>
      </w:tr>
      <w:tr>
        <w:trPr>
          <w:trHeight w:val="191"/>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contingent consideration</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(2,586)</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89"/>
        </w:trPr>
        <w:tc>
          <w:tcPr>
            <w:tcW w:w="6620" w:type="dxa"/>
            <w:vAlign w:val="bottom"/>
          </w:tcPr>
          <w:p>
            <w:pPr>
              <w:spacing w:after="0" w:line="189" w:lineRule="exact"/>
              <w:rPr>
                <w:sz w:val="20"/>
                <w:szCs w:val="20"/>
                <w:color w:val="auto"/>
              </w:rPr>
            </w:pPr>
            <w:r>
              <w:rPr>
                <w:rFonts w:ascii="Arial" w:cs="Arial" w:eastAsia="Arial" w:hAnsi="Arial"/>
                <w:sz w:val="13"/>
                <w:szCs w:val="13"/>
                <w:color w:val="auto"/>
              </w:rPr>
              <w:t>Certain legal expenses</w:t>
            </w:r>
            <w:r>
              <w:rPr>
                <w:rFonts w:ascii="Arial" w:cs="Arial" w:eastAsia="Arial" w:hAnsi="Arial"/>
                <w:sz w:val="17"/>
                <w:szCs w:val="17"/>
                <w:color w:val="auto"/>
                <w:vertAlign w:val="superscript"/>
              </w:rPr>
              <w:t>(a)</w:t>
            </w:r>
          </w:p>
        </w:tc>
        <w:tc>
          <w:tcPr>
            <w:tcW w:w="13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1,083</w:t>
            </w:r>
          </w:p>
        </w:tc>
      </w:tr>
      <w:tr>
        <w:trPr>
          <w:trHeight w:val="189"/>
        </w:trPr>
        <w:tc>
          <w:tcPr>
            <w:tcW w:w="66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7"/>
                <w:szCs w:val="17"/>
                <w:color w:val="auto"/>
                <w:vertAlign w:val="superscript"/>
              </w:rPr>
              <w:t>(b)</w:t>
            </w:r>
          </w:p>
        </w:tc>
        <w:tc>
          <w:tcPr>
            <w:tcW w:w="1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4,997</w:t>
            </w:r>
          </w:p>
        </w:tc>
        <w:tc>
          <w:tcPr>
            <w:tcW w:w="8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0"/>
        </w:trPr>
        <w:tc>
          <w:tcPr>
            <w:tcW w:w="6620" w:type="dxa"/>
            <w:vAlign w:val="bottom"/>
          </w:tcPr>
          <w:p>
            <w:pPr>
              <w:spacing w:after="0"/>
              <w:rPr>
                <w:sz w:val="20"/>
                <w:szCs w:val="20"/>
                <w:color w:val="auto"/>
              </w:rPr>
            </w:pPr>
            <w:r>
              <w:rPr>
                <w:rFonts w:ascii="Arial" w:cs="Arial" w:eastAsia="Arial" w:hAnsi="Arial"/>
                <w:sz w:val="13"/>
                <w:szCs w:val="13"/>
                <w:b w:val="1"/>
                <w:bCs w:val="1"/>
                <w:color w:val="auto"/>
              </w:rPr>
              <w:t>Adjusted EBITDA</w:t>
            </w:r>
          </w:p>
        </w:tc>
        <w:tc>
          <w:tcPr>
            <w:tcW w:w="1320" w:type="dxa"/>
            <w:vAlign w:val="bottom"/>
            <w:tcBorders>
              <w:bottom w:val="single" w:sz="8" w:color="auto"/>
            </w:tcBorders>
          </w:tcPr>
          <w:p>
            <w:pPr>
              <w:jc w:val="right"/>
              <w:ind w:right="1174"/>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28,827</w:t>
            </w:r>
          </w:p>
        </w:tc>
        <w:tc>
          <w:tcPr>
            <w:tcW w:w="80" w:type="dxa"/>
            <w:vAlign w:val="bottom"/>
          </w:tcPr>
          <w:p>
            <w:pPr>
              <w:spacing w:after="0"/>
              <w:rPr>
                <w:sz w:val="13"/>
                <w:szCs w:val="13"/>
                <w:color w:val="auto"/>
              </w:rPr>
            </w:pPr>
          </w:p>
        </w:tc>
        <w:tc>
          <w:tcPr>
            <w:tcW w:w="960" w:type="dxa"/>
            <w:vAlign w:val="bottom"/>
            <w:tcBorders>
              <w:bottom w:val="single" w:sz="8" w:color="auto"/>
            </w:tcBorders>
          </w:tcPr>
          <w:p>
            <w:pPr>
              <w:jc w:val="right"/>
              <w:ind w:right="814"/>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40,586</w:t>
            </w:r>
          </w:p>
        </w:tc>
      </w:tr>
      <w:tr>
        <w:trPr>
          <w:trHeight w:val="20"/>
        </w:trPr>
        <w:tc>
          <w:tcPr>
            <w:tcW w:w="6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both"/>
        <w:ind w:left="420" w:firstLine="4"/>
        <w:spacing w:after="0" w:line="245" w:lineRule="auto"/>
        <w:tabs>
          <w:tab w:leader="none" w:pos="562"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Represents certain legal fees and other related costs associated with (i) actions filed against the company and certain officers and directors alleging violations of the Securities Act of 1933 and the Securities Exchange Act of 1934, which litigation was dismissed with prejudice by the Court on May 19, 2023 and subsequently appealed. On March 24, 2026, the Second Circuit issued a summary order affirming the district court’s dismissal of such action with prejudice, and (ii) legal and success fees related to a regional tax dispute for a period prior to the acquisition of STI, and (iii) other litigation and legal matters. We consider these costs not representative of legal costs that we will incur from time to time in the ordinary course of our business.</w:t>
      </w:r>
    </w:p>
    <w:p>
      <w:pPr>
        <w:spacing w:after="0" w:line="30" w:lineRule="exact"/>
        <w:rPr>
          <w:rFonts w:ascii="Arial" w:cs="Arial" w:eastAsia="Arial" w:hAnsi="Arial"/>
          <w:sz w:val="16"/>
          <w:szCs w:val="16"/>
          <w:color w:val="auto"/>
          <w:vertAlign w:val="superscript"/>
        </w:rPr>
      </w:pPr>
    </w:p>
    <w:p>
      <w:pPr>
        <w:ind w:left="560" w:hanging="136"/>
        <w:spacing w:after="0"/>
        <w:tabs>
          <w:tab w:leader="none" w:pos="560" w:val="left"/>
        </w:tabs>
        <w:numPr>
          <w:ilvl w:val="0"/>
          <w:numId w:val="7"/>
        </w:numPr>
        <w:rPr>
          <w:rFonts w:ascii="Arial" w:cs="Arial" w:eastAsia="Arial" w:hAnsi="Arial"/>
          <w:sz w:val="16"/>
          <w:szCs w:val="16"/>
          <w:color w:val="auto"/>
          <w:vertAlign w:val="superscript"/>
        </w:rPr>
      </w:pPr>
      <w:r>
        <w:rPr>
          <w:rFonts w:ascii="Arial" w:cs="Arial" w:eastAsia="Arial" w:hAnsi="Arial"/>
          <w:sz w:val="12"/>
          <w:szCs w:val="12"/>
          <w:color w:val="auto"/>
        </w:rPr>
        <w:t>Represents acquisition-related expenses.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1300"/>
          </w:cols>
          <w:pgMar w:left="300" w:top="124" w:right="299" w:bottom="1440" w:gutter="0" w:footer="0" w:header="0"/>
        </w:sectPr>
      </w:pPr>
    </w:p>
    <w:bookmarkStart w:id="13" w:name="page14"/>
    <w:bookmarkEnd w:id="13"/>
    <w:p>
      <w:pPr>
        <w:ind w:left="4880"/>
        <w:spacing w:after="0"/>
        <w:rPr>
          <w:sz w:val="20"/>
          <w:szCs w:val="20"/>
          <w:color w:val="auto"/>
        </w:rPr>
      </w:pPr>
      <w:r>
        <w:rPr>
          <w:rFonts w:ascii="Arial" w:cs="Arial" w:eastAsia="Arial" w:hAnsi="Arial"/>
          <w:sz w:val="13"/>
          <w:szCs w:val="13"/>
          <w:b w:val="1"/>
          <w:bCs w:val="1"/>
          <w:color w:val="auto"/>
        </w:rPr>
        <w:t>Array Technologies, Inc.</w:t>
      </w:r>
    </w:p>
    <w:p>
      <w:pPr>
        <w:spacing w:after="0" w:line="26"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 xml:space="preserve">Adjusted Gross Profit, Adjusted EBITDA, Adjusted Net Income, Adjusted General and Administrative Expense and Free Cash Flow Reconciliation </w:t>
      </w:r>
      <w:r>
        <w:rPr>
          <w:rFonts w:ascii="Arial" w:cs="Arial" w:eastAsia="Arial" w:hAnsi="Arial"/>
          <w:sz w:val="13"/>
          <w:szCs w:val="13"/>
          <w:b w:val="1"/>
          <w:bCs w:val="1"/>
          <w:i w:val="1"/>
          <w:iCs w:val="1"/>
          <w:color w:val="auto"/>
        </w:rPr>
        <w:t>(unaudited)</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(in thousands, except per share amounts)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20" w:type="dxa"/>
            <w:vAlign w:val="bottom"/>
          </w:tcPr>
          <w:p>
            <w:pPr>
              <w:spacing w:after="0"/>
              <w:rPr>
                <w:sz w:val="20"/>
                <w:szCs w:val="20"/>
                <w:color w:val="auto"/>
              </w:rPr>
            </w:pPr>
            <w:r>
              <w:rPr>
                <w:rFonts w:ascii="Arial" w:cs="Arial" w:eastAsia="Arial" w:hAnsi="Arial"/>
                <w:sz w:val="13"/>
                <w:szCs w:val="13"/>
                <w:color w:val="auto"/>
              </w:rPr>
              <w:t>The following table reconciles Net income to Adjusted net income:</w:t>
            </w: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620" w:type="dxa"/>
            <w:vAlign w:val="bottom"/>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1340" w:type="dxa"/>
            <w:vAlign w:val="bottom"/>
            <w:tcBorders>
              <w:bottom w:val="single" w:sz="8" w:color="auto"/>
            </w:tcBorders>
          </w:tcPr>
          <w:p>
            <w:pPr>
              <w:spacing w:after="0"/>
              <w:rPr>
                <w:sz w:val="15"/>
                <w:szCs w:val="15"/>
                <w:color w:val="auto"/>
              </w:rPr>
            </w:pPr>
          </w:p>
        </w:tc>
      </w:tr>
      <w:tr>
        <w:trPr>
          <w:trHeight w:val="160"/>
        </w:trPr>
        <w:tc>
          <w:tcPr>
            <w:tcW w:w="6620" w:type="dxa"/>
            <w:vAlign w:val="bottom"/>
            <w:tcBorders>
              <w:bottom w:val="single" w:sz="8" w:color="CCEEFF"/>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34"/>
              <w:spacing w:after="0"/>
              <w:rPr>
                <w:sz w:val="20"/>
                <w:szCs w:val="20"/>
                <w:color w:val="auto"/>
              </w:rPr>
            </w:pPr>
            <w:r>
              <w:rPr>
                <w:rFonts w:ascii="Arial" w:cs="Arial" w:eastAsia="Arial" w:hAnsi="Arial"/>
                <w:sz w:val="13"/>
                <w:szCs w:val="13"/>
                <w:b w:val="1"/>
                <w:bCs w:val="1"/>
                <w:color w:val="auto"/>
              </w:rPr>
              <w:t>2025</w:t>
            </w:r>
          </w:p>
        </w:tc>
      </w:tr>
      <w:tr>
        <w:trPr>
          <w:trHeight w:val="160"/>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1320" w:type="dxa"/>
            <w:vAlign w:val="bottom"/>
            <w:shd w:val="clear" w:color="auto" w:fill="CCEEFF"/>
          </w:tcPr>
          <w:p>
            <w:pPr>
              <w:jc w:val="right"/>
              <w:ind w:right="1174"/>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1,997</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16,746</w:t>
            </w:r>
          </w:p>
        </w:tc>
      </w:tr>
      <w:tr>
        <w:trPr>
          <w:trHeight w:val="171"/>
        </w:trPr>
        <w:tc>
          <w:tcPr>
            <w:tcW w:w="662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Preferred dividends and accretion</w:t>
            </w:r>
          </w:p>
        </w:tc>
        <w:tc>
          <w:tcPr>
            <w:tcW w:w="13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15,537</w:t>
            </w:r>
          </w:p>
        </w:tc>
        <w:tc>
          <w:tcPr>
            <w:tcW w:w="8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14,443</w:t>
            </w:r>
          </w:p>
        </w:tc>
      </w:tr>
      <w:tr>
        <w:trPr>
          <w:trHeight w:val="160"/>
        </w:trPr>
        <w:tc>
          <w:tcPr>
            <w:tcW w:w="6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(loss) income to common stockholders</w:t>
            </w:r>
          </w:p>
        </w:tc>
        <w:tc>
          <w:tcPr>
            <w:tcW w:w="132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(13,540)</w:t>
            </w:r>
          </w:p>
        </w:tc>
        <w:tc>
          <w:tcPr>
            <w:tcW w:w="8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2,303</w:t>
            </w:r>
          </w:p>
        </w:tc>
      </w:tr>
      <w:tr>
        <w:trPr>
          <w:trHeight w:val="172"/>
        </w:trPr>
        <w:tc>
          <w:tcPr>
            <w:tcW w:w="6620" w:type="dxa"/>
            <w:vAlign w:val="bottom"/>
          </w:tcPr>
          <w:p>
            <w:pPr>
              <w:spacing w:after="0"/>
              <w:rPr>
                <w:sz w:val="20"/>
                <w:szCs w:val="20"/>
                <w:color w:val="auto"/>
              </w:rPr>
            </w:pPr>
            <w:r>
              <w:rPr>
                <w:rFonts w:ascii="Arial" w:cs="Arial" w:eastAsia="Arial" w:hAnsi="Arial"/>
                <w:sz w:val="13"/>
                <w:szCs w:val="13"/>
                <w:color w:val="auto"/>
              </w:rPr>
              <w:t>Amortization of Intangibles</w:t>
            </w:r>
          </w:p>
        </w:tc>
        <w:tc>
          <w:tcPr>
            <w:tcW w:w="13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7,388</w:t>
            </w: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4,889</w:t>
            </w:r>
          </w:p>
        </w:tc>
      </w:tr>
      <w:tr>
        <w:trPr>
          <w:trHeight w:val="195"/>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Amortization of developed technology and backlog</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5,614</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3,639</w:t>
            </w:r>
          </w:p>
        </w:tc>
      </w:tr>
      <w:tr>
        <w:trPr>
          <w:trHeight w:val="183"/>
        </w:trPr>
        <w:tc>
          <w:tcPr>
            <w:tcW w:w="6620" w:type="dxa"/>
            <w:vAlign w:val="bottom"/>
          </w:tcPr>
          <w:p>
            <w:pPr>
              <w:spacing w:after="0"/>
              <w:rPr>
                <w:sz w:val="20"/>
                <w:szCs w:val="20"/>
                <w:color w:val="auto"/>
              </w:rPr>
            </w:pPr>
            <w:r>
              <w:rPr>
                <w:rFonts w:ascii="Arial" w:cs="Arial" w:eastAsia="Arial" w:hAnsi="Arial"/>
                <w:sz w:val="13"/>
                <w:szCs w:val="13"/>
                <w:color w:val="auto"/>
              </w:rPr>
              <w:t>Amortization of debt discount and issuance costs</w:t>
            </w:r>
          </w:p>
        </w:tc>
        <w:tc>
          <w:tcPr>
            <w:tcW w:w="1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876</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1,393</w:t>
            </w:r>
          </w:p>
        </w:tc>
      </w:tr>
      <w:tr>
        <w:trPr>
          <w:trHeight w:val="195"/>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Series A Preferred stock accretion</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7,868</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7,241</w:t>
            </w:r>
          </w:p>
        </w:tc>
      </w:tr>
      <w:tr>
        <w:trPr>
          <w:trHeight w:val="183"/>
        </w:trPr>
        <w:tc>
          <w:tcPr>
            <w:tcW w:w="6620" w:type="dxa"/>
            <w:vAlign w:val="bottom"/>
          </w:tcPr>
          <w:p>
            <w:pPr>
              <w:spacing w:after="0"/>
              <w:rPr>
                <w:sz w:val="20"/>
                <w:szCs w:val="20"/>
                <w:color w:val="auto"/>
              </w:rPr>
            </w:pPr>
            <w:r>
              <w:rPr>
                <w:rFonts w:ascii="Arial" w:cs="Arial" w:eastAsia="Arial" w:hAnsi="Arial"/>
                <w:sz w:val="13"/>
                <w:szCs w:val="13"/>
                <w:color w:val="auto"/>
              </w:rPr>
              <w:t>Equity-based compensation</w:t>
            </w:r>
          </w:p>
        </w:tc>
        <w:tc>
          <w:tcPr>
            <w:tcW w:w="1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3,941</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2,798</w:t>
            </w:r>
          </w:p>
        </w:tc>
      </w:tr>
      <w:tr>
        <w:trPr>
          <w:trHeight w:val="195"/>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Change in fair value of contingent consideration</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(2,586)</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w:t>
            </w:r>
          </w:p>
        </w:tc>
      </w:tr>
      <w:tr>
        <w:trPr>
          <w:trHeight w:val="189"/>
        </w:trPr>
        <w:tc>
          <w:tcPr>
            <w:tcW w:w="6620" w:type="dxa"/>
            <w:vAlign w:val="bottom"/>
          </w:tcPr>
          <w:p>
            <w:pPr>
              <w:spacing w:after="0" w:line="189" w:lineRule="exact"/>
              <w:rPr>
                <w:sz w:val="20"/>
                <w:szCs w:val="20"/>
                <w:color w:val="auto"/>
              </w:rPr>
            </w:pPr>
            <w:r>
              <w:rPr>
                <w:rFonts w:ascii="Arial" w:cs="Arial" w:eastAsia="Arial" w:hAnsi="Arial"/>
                <w:sz w:val="13"/>
                <w:szCs w:val="13"/>
                <w:color w:val="auto"/>
              </w:rPr>
              <w:t>Certain legal expenses</w:t>
            </w:r>
            <w:r>
              <w:rPr>
                <w:rFonts w:ascii="Arial" w:cs="Arial" w:eastAsia="Arial" w:hAnsi="Arial"/>
                <w:sz w:val="17"/>
                <w:szCs w:val="17"/>
                <w:color w:val="auto"/>
                <w:vertAlign w:val="superscript"/>
              </w:rPr>
              <w:t>(a)</w:t>
            </w:r>
          </w:p>
        </w:tc>
        <w:tc>
          <w:tcPr>
            <w:tcW w:w="13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96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3"/>
                <w:szCs w:val="13"/>
                <w:color w:val="auto"/>
              </w:rPr>
              <w:t>1,083</w:t>
            </w:r>
          </w:p>
        </w:tc>
      </w:tr>
      <w:tr>
        <w:trPr>
          <w:trHeight w:val="189"/>
        </w:trPr>
        <w:tc>
          <w:tcPr>
            <w:tcW w:w="6620" w:type="dxa"/>
            <w:vAlign w:val="bottom"/>
            <w:shd w:val="clear" w:color="auto" w:fill="CCEEFF"/>
          </w:tcPr>
          <w:p>
            <w:pPr>
              <w:spacing w:after="0" w:line="189"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7"/>
                <w:szCs w:val="17"/>
                <w:color w:val="auto"/>
                <w:vertAlign w:val="superscript"/>
              </w:rPr>
              <w:t>(b)</w:t>
            </w:r>
          </w:p>
        </w:tc>
        <w:tc>
          <w:tcPr>
            <w:tcW w:w="13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89"/>
        </w:trPr>
        <w:tc>
          <w:tcPr>
            <w:tcW w:w="6620" w:type="dxa"/>
            <w:vAlign w:val="bottom"/>
            <w:tcBorders>
              <w:bottom w:val="single" w:sz="8" w:color="CCEEFF"/>
            </w:tcBorders>
          </w:tcPr>
          <w:p>
            <w:pPr>
              <w:spacing w:after="0" w:line="189" w:lineRule="exact"/>
              <w:rPr>
                <w:sz w:val="20"/>
                <w:szCs w:val="20"/>
                <w:color w:val="auto"/>
              </w:rPr>
            </w:pPr>
            <w:r>
              <w:rPr>
                <w:rFonts w:ascii="Arial" w:cs="Arial" w:eastAsia="Arial" w:hAnsi="Arial"/>
                <w:sz w:val="13"/>
                <w:szCs w:val="13"/>
                <w:color w:val="auto"/>
              </w:rPr>
              <w:t>Income tax expense of adjustments</w:t>
            </w:r>
            <w:r>
              <w:rPr>
                <w:rFonts w:ascii="Arial" w:cs="Arial" w:eastAsia="Arial" w:hAnsi="Arial"/>
                <w:sz w:val="17"/>
                <w:szCs w:val="17"/>
                <w:color w:val="auto"/>
                <w:vertAlign w:val="superscript"/>
              </w:rPr>
              <w:t>(c)</w:t>
            </w:r>
          </w:p>
        </w:tc>
        <w:tc>
          <w:tcPr>
            <w:tcW w:w="1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(5,790)</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(3,474)</w:t>
            </w:r>
          </w:p>
        </w:tc>
      </w:tr>
      <w:tr>
        <w:trPr>
          <w:trHeight w:val="194"/>
        </w:trPr>
        <w:tc>
          <w:tcPr>
            <w:tcW w:w="6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Adjusted net income</w:t>
            </w:r>
          </w:p>
        </w:tc>
        <w:tc>
          <w:tcPr>
            <w:tcW w:w="1320" w:type="dxa"/>
            <w:vAlign w:val="bottom"/>
            <w:tcBorders>
              <w:bottom w:val="single" w:sz="8" w:color="auto"/>
            </w:tcBorders>
            <w:shd w:val="clear" w:color="auto" w:fill="CCEEFF"/>
          </w:tcPr>
          <w:p>
            <w:pPr>
              <w:jc w:val="right"/>
              <w:ind w:right="1154"/>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8,832</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19,722</w:t>
            </w:r>
          </w:p>
        </w:tc>
      </w:tr>
      <w:tr>
        <w:trPr>
          <w:trHeight w:val="162"/>
        </w:trPr>
        <w:tc>
          <w:tcPr>
            <w:tcW w:w="6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(Loss) income per common share</w:t>
            </w: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7"/>
        </w:trPr>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Basic</w:t>
            </w:r>
          </w:p>
        </w:tc>
        <w:tc>
          <w:tcPr>
            <w:tcW w:w="1320" w:type="dxa"/>
            <w:vAlign w:val="bottom"/>
            <w:tcBorders>
              <w:bottom w:val="single" w:sz="8" w:color="auto"/>
            </w:tcBorders>
          </w:tcPr>
          <w:p>
            <w:pPr>
              <w:jc w:val="right"/>
              <w:ind w:right="11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(0.09)</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0.02</w:t>
            </w:r>
          </w:p>
        </w:tc>
      </w:tr>
      <w:tr>
        <w:trPr>
          <w:trHeight w:val="191"/>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Diluted</w:t>
            </w:r>
          </w:p>
        </w:tc>
        <w:tc>
          <w:tcPr>
            <w:tcW w:w="132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(0.09)</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0.02</w:t>
            </w:r>
          </w:p>
        </w:tc>
      </w:tr>
      <w:tr>
        <w:trPr>
          <w:trHeight w:val="149"/>
        </w:trPr>
        <w:tc>
          <w:tcPr>
            <w:tcW w:w="6620" w:type="dxa"/>
            <w:vAlign w:val="bottom"/>
          </w:tcPr>
          <w:p>
            <w:pPr>
              <w:spacing w:after="0"/>
              <w:rPr>
                <w:sz w:val="20"/>
                <w:szCs w:val="20"/>
                <w:color w:val="auto"/>
              </w:rPr>
            </w:pPr>
            <w:r>
              <w:rPr>
                <w:rFonts w:ascii="Arial" w:cs="Arial" w:eastAsia="Arial" w:hAnsi="Arial"/>
                <w:sz w:val="13"/>
                <w:szCs w:val="13"/>
                <w:color w:val="auto"/>
              </w:rPr>
              <w:t>Weighted average number of common shares outstanding</w:t>
            </w: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87"/>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Basic</w:t>
            </w:r>
          </w:p>
        </w:tc>
        <w:tc>
          <w:tcPr>
            <w:tcW w:w="1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152,956</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152,076</w:t>
            </w:r>
          </w:p>
        </w:tc>
      </w:tr>
      <w:tr>
        <w:trPr>
          <w:trHeight w:val="187"/>
        </w:trPr>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Diluted</w:t>
            </w:r>
          </w:p>
        </w:tc>
        <w:tc>
          <w:tcPr>
            <w:tcW w:w="1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152,956</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152,783</w:t>
            </w:r>
          </w:p>
        </w:tc>
      </w:tr>
      <w:tr>
        <w:trPr>
          <w:trHeight w:val="162"/>
        </w:trPr>
        <w:tc>
          <w:tcPr>
            <w:tcW w:w="66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3"/>
        </w:trPr>
        <w:tc>
          <w:tcPr>
            <w:tcW w:w="6620" w:type="dxa"/>
            <w:vAlign w:val="bottom"/>
          </w:tcPr>
          <w:p>
            <w:pPr>
              <w:spacing w:after="0"/>
              <w:rPr>
                <w:sz w:val="20"/>
                <w:szCs w:val="20"/>
                <w:color w:val="auto"/>
              </w:rPr>
            </w:pPr>
            <w:r>
              <w:rPr>
                <w:rFonts w:ascii="Arial" w:cs="Arial" w:eastAsia="Arial" w:hAnsi="Arial"/>
                <w:sz w:val="13"/>
                <w:szCs w:val="13"/>
                <w:color w:val="auto"/>
              </w:rPr>
              <w:t>Adjusted net income per common share</w:t>
            </w:r>
          </w:p>
        </w:tc>
        <w:tc>
          <w:tcPr>
            <w:tcW w:w="1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93"/>
        </w:trPr>
        <w:tc>
          <w:tcPr>
            <w:tcW w:w="66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Basic</w:t>
            </w:r>
          </w:p>
        </w:tc>
        <w:tc>
          <w:tcPr>
            <w:tcW w:w="132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0.06</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0.13</w:t>
            </w:r>
          </w:p>
        </w:tc>
      </w:tr>
      <w:tr>
        <w:trPr>
          <w:trHeight w:val="187"/>
        </w:trPr>
        <w:tc>
          <w:tcPr>
            <w:tcW w:w="6620" w:type="dxa"/>
            <w:vAlign w:val="bottom"/>
            <w:tcBorders>
              <w:bottom w:val="single" w:sz="8" w:color="CCEEFF"/>
            </w:tcBorders>
          </w:tcPr>
          <w:p>
            <w:pPr>
              <w:ind w:left="140"/>
              <w:spacing w:after="0"/>
              <w:rPr>
                <w:sz w:val="20"/>
                <w:szCs w:val="20"/>
                <w:color w:val="auto"/>
              </w:rPr>
            </w:pPr>
            <w:r>
              <w:rPr>
                <w:rFonts w:ascii="Arial" w:cs="Arial" w:eastAsia="Arial" w:hAnsi="Arial"/>
                <w:sz w:val="13"/>
                <w:szCs w:val="13"/>
                <w:color w:val="auto"/>
              </w:rPr>
              <w:t>Diluted</w:t>
            </w:r>
          </w:p>
        </w:tc>
        <w:tc>
          <w:tcPr>
            <w:tcW w:w="1320" w:type="dxa"/>
            <w:vAlign w:val="bottom"/>
            <w:tcBorders>
              <w:bottom w:val="single" w:sz="8" w:color="auto"/>
            </w:tcBorders>
          </w:tcPr>
          <w:p>
            <w:pPr>
              <w:jc w:val="right"/>
              <w:ind w:right="1174"/>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0.06</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0.13</w:t>
            </w:r>
          </w:p>
        </w:tc>
      </w:tr>
      <w:tr>
        <w:trPr>
          <w:trHeight w:val="171"/>
        </w:trPr>
        <w:tc>
          <w:tcPr>
            <w:tcW w:w="662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number of common shares outstanding</w:t>
            </w:r>
          </w:p>
        </w:tc>
        <w:tc>
          <w:tcPr>
            <w:tcW w:w="13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187"/>
        </w:trPr>
        <w:tc>
          <w:tcPr>
            <w:tcW w:w="6620" w:type="dxa"/>
            <w:vAlign w:val="bottom"/>
            <w:tcBorders>
              <w:bottom w:val="single" w:sz="8" w:color="CCEEFF"/>
            </w:tcBorders>
          </w:tcPr>
          <w:p>
            <w:pPr>
              <w:ind w:left="160"/>
              <w:spacing w:after="0"/>
              <w:rPr>
                <w:sz w:val="20"/>
                <w:szCs w:val="20"/>
                <w:color w:val="auto"/>
              </w:rPr>
            </w:pPr>
            <w:r>
              <w:rPr>
                <w:rFonts w:ascii="Arial" w:cs="Arial" w:eastAsia="Arial" w:hAnsi="Arial"/>
                <w:sz w:val="13"/>
                <w:szCs w:val="13"/>
                <w:color w:val="auto"/>
              </w:rPr>
              <w:t>Basic</w:t>
            </w:r>
          </w:p>
        </w:tc>
        <w:tc>
          <w:tcPr>
            <w:tcW w:w="1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152,956</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152,076</w:t>
            </w:r>
          </w:p>
        </w:tc>
      </w:tr>
      <w:tr>
        <w:trPr>
          <w:trHeight w:val="187"/>
        </w:trPr>
        <w:tc>
          <w:tcPr>
            <w:tcW w:w="66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1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155,485</w:t>
            </w: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152,783</w:t>
            </w:r>
          </w:p>
        </w:tc>
      </w:tr>
    </w:tbl>
    <w:p>
      <w:pPr>
        <w:spacing w:after="0" w:line="212" w:lineRule="exact"/>
        <w:rPr>
          <w:sz w:val="20"/>
          <w:szCs w:val="20"/>
          <w:color w:val="auto"/>
        </w:rPr>
      </w:pPr>
    </w:p>
    <w:p>
      <w:pPr>
        <w:jc w:val="both"/>
        <w:ind w:left="420" w:firstLine="4"/>
        <w:spacing w:after="0" w:line="245" w:lineRule="auto"/>
        <w:tabs>
          <w:tab w:leader="none" w:pos="562"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Represents certain legal fees and other related costs associated with (i) actions filed against the company and certain officers and directors alleging violations of the Securities Act of 1933 and the Securities Exchange Act of 1934, which litigation was dismissed with prejudice by the Court on May 19, 2023 and subsequently appealed. On March 24, 2026, the Second Circuit issued a summary order affirming the district court’s dismissal of such action with prejudice, and (ii) legal and success fees related to a regional tax dispute for a period prior to the acquisition of STI, and (iii) other litigation and legal matters. We consider these costs not representative of legal costs that we will incur from time to time in the ordinary course of our business.</w:t>
      </w:r>
    </w:p>
    <w:p>
      <w:pPr>
        <w:spacing w:after="0" w:line="30" w:lineRule="exact"/>
        <w:rPr>
          <w:rFonts w:ascii="Arial" w:cs="Arial" w:eastAsia="Arial" w:hAnsi="Arial"/>
          <w:sz w:val="16"/>
          <w:szCs w:val="16"/>
          <w:color w:val="auto"/>
          <w:vertAlign w:val="superscript"/>
        </w:rPr>
      </w:pPr>
    </w:p>
    <w:p>
      <w:pPr>
        <w:ind w:left="560" w:hanging="136"/>
        <w:spacing w:after="0"/>
        <w:tabs>
          <w:tab w:leader="none" w:pos="560" w:val="left"/>
        </w:tabs>
        <w:numPr>
          <w:ilvl w:val="0"/>
          <w:numId w:val="8"/>
        </w:numPr>
        <w:rPr>
          <w:rFonts w:ascii="Arial" w:cs="Arial" w:eastAsia="Arial" w:hAnsi="Arial"/>
          <w:sz w:val="16"/>
          <w:szCs w:val="16"/>
          <w:color w:val="auto"/>
          <w:vertAlign w:val="superscript"/>
        </w:rPr>
      </w:pPr>
      <w:r>
        <w:rPr>
          <w:rFonts w:ascii="Arial" w:cs="Arial" w:eastAsia="Arial" w:hAnsi="Arial"/>
          <w:sz w:val="12"/>
          <w:szCs w:val="12"/>
          <w:color w:val="auto"/>
        </w:rPr>
        <w:t>Represents acquisition-related expenses and fair value adjustments to Property, plant and equipment.</w:t>
      </w:r>
    </w:p>
    <w:p>
      <w:pPr>
        <w:spacing w:after="0" w:line="46" w:lineRule="exact"/>
        <w:rPr>
          <w:rFonts w:ascii="Arial" w:cs="Arial" w:eastAsia="Arial" w:hAnsi="Arial"/>
          <w:sz w:val="16"/>
          <w:szCs w:val="16"/>
          <w:color w:val="auto"/>
          <w:vertAlign w:val="superscript"/>
        </w:rPr>
      </w:pPr>
    </w:p>
    <w:p>
      <w:pPr>
        <w:ind w:left="540" w:hanging="116"/>
        <w:spacing w:after="0"/>
        <w:tabs>
          <w:tab w:leader="none" w:pos="540" w:val="left"/>
        </w:tabs>
        <w:numPr>
          <w:ilvl w:val="0"/>
          <w:numId w:val="8"/>
        </w:numPr>
        <w:rPr>
          <w:rFonts w:ascii="Arial" w:cs="Arial" w:eastAsia="Arial" w:hAnsi="Arial"/>
          <w:sz w:val="14"/>
          <w:szCs w:val="14"/>
          <w:color w:val="auto"/>
          <w:vertAlign w:val="superscript"/>
        </w:rPr>
      </w:pPr>
      <w:r>
        <w:rPr>
          <w:rFonts w:ascii="Arial" w:cs="Arial" w:eastAsia="Arial" w:hAnsi="Arial"/>
          <w:sz w:val="11"/>
          <w:szCs w:val="11"/>
          <w:color w:val="auto"/>
        </w:rPr>
        <w:t>Represents the estimated tax impact of all Adjusted Net Income add-backs, excluding those which represent permanent differences between book versus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1300"/>
          </w:cols>
          <w:pgMar w:left="300" w:top="124" w:right="299" w:bottom="1440" w:gutter="0" w:footer="0" w:header="0"/>
        </w:sectPr>
      </w:pPr>
    </w:p>
    <w:bookmarkStart w:id="14" w:name="page15"/>
    <w:bookmarkEnd w:id="14"/>
    <w:p>
      <w:pPr>
        <w:ind w:left="4880"/>
        <w:spacing w:after="0"/>
        <w:rPr>
          <w:sz w:val="20"/>
          <w:szCs w:val="20"/>
          <w:color w:val="auto"/>
        </w:rPr>
      </w:pPr>
      <w:r>
        <w:rPr>
          <w:rFonts w:ascii="Arial" w:cs="Arial" w:eastAsia="Arial" w:hAnsi="Arial"/>
          <w:sz w:val="13"/>
          <w:szCs w:val="13"/>
          <w:b w:val="1"/>
          <w:bCs w:val="1"/>
          <w:color w:val="auto"/>
        </w:rPr>
        <w:t>Array Technologies, Inc.</w:t>
      </w:r>
    </w:p>
    <w:p>
      <w:pPr>
        <w:spacing w:after="0" w:line="26" w:lineRule="exact"/>
        <w:rPr>
          <w:sz w:val="20"/>
          <w:szCs w:val="20"/>
          <w:color w:val="auto"/>
        </w:rPr>
      </w:pPr>
    </w:p>
    <w:p>
      <w:pPr>
        <w:ind w:left="720"/>
        <w:spacing w:after="0"/>
        <w:rPr>
          <w:sz w:val="20"/>
          <w:szCs w:val="20"/>
          <w:color w:val="auto"/>
        </w:rPr>
      </w:pPr>
      <w:r>
        <w:rPr>
          <w:rFonts w:ascii="Arial" w:cs="Arial" w:eastAsia="Arial" w:hAnsi="Arial"/>
          <w:sz w:val="13"/>
          <w:szCs w:val="13"/>
          <w:b w:val="1"/>
          <w:bCs w:val="1"/>
          <w:color w:val="auto"/>
        </w:rPr>
        <w:t xml:space="preserve">Adjusted Gross Profit, Adjusted EBITDA, Adjusted Net Income, Adjusted General and Administrative Expense and Free Cash Flow Reconciliation </w:t>
      </w:r>
      <w:r>
        <w:rPr>
          <w:rFonts w:ascii="Arial" w:cs="Arial" w:eastAsia="Arial" w:hAnsi="Arial"/>
          <w:sz w:val="13"/>
          <w:szCs w:val="13"/>
          <w:b w:val="1"/>
          <w:bCs w:val="1"/>
          <w:i w:val="1"/>
          <w:i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(in thousands, except per share amounts)</w:t>
      </w:r>
    </w:p>
    <w:p>
      <w:pPr>
        <w:spacing w:after="0" w:line="39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reconciles General and administrative expense to Adjusted general and administrative expense: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5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1340" w:type="dxa"/>
            <w:vAlign w:val="bottom"/>
            <w:tcBorders>
              <w:bottom w:val="single" w:sz="8" w:color="auto"/>
            </w:tcBorders>
          </w:tcPr>
          <w:p>
            <w:pPr>
              <w:spacing w:after="0"/>
              <w:rPr>
                <w:sz w:val="15"/>
                <w:szCs w:val="15"/>
                <w:color w:val="auto"/>
              </w:rPr>
            </w:pPr>
          </w:p>
        </w:tc>
      </w:tr>
      <w:tr>
        <w:trPr>
          <w:trHeight w:val="160"/>
        </w:trPr>
        <w:tc>
          <w:tcPr>
            <w:tcW w:w="65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34"/>
              <w:spacing w:after="0"/>
              <w:rPr>
                <w:sz w:val="20"/>
                <w:szCs w:val="20"/>
                <w:color w:val="auto"/>
              </w:rPr>
            </w:pPr>
            <w:r>
              <w:rPr>
                <w:rFonts w:ascii="Arial" w:cs="Arial" w:eastAsia="Arial" w:hAnsi="Arial"/>
                <w:sz w:val="13"/>
                <w:szCs w:val="13"/>
                <w:b w:val="1"/>
                <w:bCs w:val="1"/>
                <w:color w:val="auto"/>
              </w:rPr>
              <w:t>2025</w:t>
            </w:r>
          </w:p>
        </w:tc>
      </w:tr>
      <w:tr>
        <w:trPr>
          <w:trHeight w:val="169"/>
        </w:trPr>
        <w:tc>
          <w:tcPr>
            <w:tcW w:w="658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w:t>
            </w:r>
          </w:p>
        </w:tc>
        <w:tc>
          <w:tcPr>
            <w:tcW w:w="1340" w:type="dxa"/>
            <w:vAlign w:val="bottom"/>
            <w:shd w:val="clear" w:color="auto" w:fill="CCEEFF"/>
          </w:tcPr>
          <w:p>
            <w:pPr>
              <w:jc w:val="right"/>
              <w:ind w:right="1174"/>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color w:val="auto"/>
              </w:rPr>
              <w:t>50,404</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3"/>
                <w:szCs w:val="13"/>
                <w:color w:val="auto"/>
                <w:w w:val="82"/>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43,945</w:t>
            </w:r>
          </w:p>
        </w:tc>
      </w:tr>
      <w:tr>
        <w:trPr>
          <w:trHeight w:val="187"/>
        </w:trPr>
        <w:tc>
          <w:tcPr>
            <w:tcW w:w="6580" w:type="dxa"/>
            <w:vAlign w:val="bottom"/>
          </w:tcPr>
          <w:p>
            <w:pPr>
              <w:spacing w:after="0"/>
              <w:rPr>
                <w:sz w:val="20"/>
                <w:szCs w:val="20"/>
                <w:color w:val="auto"/>
              </w:rPr>
            </w:pPr>
            <w:r>
              <w:rPr>
                <w:rFonts w:ascii="Arial" w:cs="Arial" w:eastAsia="Arial" w:hAnsi="Arial"/>
                <w:sz w:val="13"/>
                <w:szCs w:val="13"/>
                <w:color w:val="auto"/>
              </w:rPr>
              <w:t>Equity-based compensation</w:t>
            </w:r>
          </w:p>
        </w:tc>
        <w:tc>
          <w:tcPr>
            <w:tcW w:w="1340" w:type="dxa"/>
            <w:vAlign w:val="bottom"/>
          </w:tcPr>
          <w:p>
            <w:pPr>
              <w:spacing w:after="0"/>
              <w:rPr>
                <w:sz w:val="16"/>
                <w:szCs w:val="16"/>
                <w:color w:val="auto"/>
              </w:rPr>
            </w:pPr>
          </w:p>
        </w:tc>
        <w:tc>
          <w:tcPr>
            <w:tcW w:w="980" w:type="dxa"/>
            <w:vAlign w:val="bottom"/>
          </w:tcPr>
          <w:p>
            <w:pPr>
              <w:jc w:val="right"/>
              <w:ind w:right="34"/>
              <w:spacing w:after="0"/>
              <w:rPr>
                <w:sz w:val="20"/>
                <w:szCs w:val="20"/>
                <w:color w:val="auto"/>
              </w:rPr>
            </w:pPr>
            <w:r>
              <w:rPr>
                <w:rFonts w:ascii="Arial" w:cs="Arial" w:eastAsia="Arial" w:hAnsi="Arial"/>
                <w:sz w:val="13"/>
                <w:szCs w:val="13"/>
                <w:color w:val="auto"/>
              </w:rPr>
              <w:t>(3,941)</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40" w:type="dxa"/>
            <w:vAlign w:val="bottom"/>
          </w:tcPr>
          <w:p>
            <w:pPr>
              <w:jc w:val="right"/>
              <w:ind w:right="14"/>
              <w:spacing w:after="0"/>
              <w:rPr>
                <w:sz w:val="20"/>
                <w:szCs w:val="20"/>
                <w:color w:val="auto"/>
              </w:rPr>
            </w:pPr>
            <w:r>
              <w:rPr>
                <w:rFonts w:ascii="Arial" w:cs="Arial" w:eastAsia="Arial" w:hAnsi="Arial"/>
                <w:sz w:val="13"/>
                <w:szCs w:val="13"/>
                <w:color w:val="auto"/>
              </w:rPr>
              <w:t>(2,798)</w:t>
            </w:r>
          </w:p>
        </w:tc>
      </w:tr>
      <w:tr>
        <w:trPr>
          <w:trHeight w:val="191"/>
        </w:trPr>
        <w:tc>
          <w:tcPr>
            <w:tcW w:w="6580" w:type="dxa"/>
            <w:vAlign w:val="bottom"/>
            <w:shd w:val="clear" w:color="auto" w:fill="CCEEFF"/>
          </w:tcPr>
          <w:p>
            <w:pPr>
              <w:spacing w:after="0" w:line="190" w:lineRule="exact"/>
              <w:rPr>
                <w:sz w:val="20"/>
                <w:szCs w:val="20"/>
                <w:color w:val="auto"/>
              </w:rPr>
            </w:pPr>
            <w:r>
              <w:rPr>
                <w:rFonts w:ascii="Arial" w:cs="Arial" w:eastAsia="Arial" w:hAnsi="Arial"/>
                <w:sz w:val="13"/>
                <w:szCs w:val="13"/>
                <w:color w:val="auto"/>
              </w:rPr>
              <w:t>Certain legal expenses</w:t>
            </w:r>
            <w:r>
              <w:rPr>
                <w:rFonts w:ascii="Arial" w:cs="Arial" w:eastAsia="Arial" w:hAnsi="Arial"/>
                <w:sz w:val="17"/>
                <w:szCs w:val="17"/>
                <w:color w:val="auto"/>
                <w:vertAlign w:val="superscript"/>
              </w:rPr>
              <w:t>(a)</w:t>
            </w:r>
          </w:p>
        </w:tc>
        <w:tc>
          <w:tcPr>
            <w:tcW w:w="13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rPr>
              <w:t>(1,083)</w:t>
            </w:r>
          </w:p>
        </w:tc>
      </w:tr>
      <w:tr>
        <w:trPr>
          <w:trHeight w:val="189"/>
        </w:trPr>
        <w:tc>
          <w:tcPr>
            <w:tcW w:w="6580" w:type="dxa"/>
            <w:vAlign w:val="bottom"/>
            <w:tcBorders>
              <w:bottom w:val="single" w:sz="8" w:color="CCEEFF"/>
            </w:tcBorders>
          </w:tcPr>
          <w:p>
            <w:pPr>
              <w:spacing w:after="0" w:line="189" w:lineRule="exact"/>
              <w:rPr>
                <w:sz w:val="20"/>
                <w:szCs w:val="20"/>
                <w:color w:val="auto"/>
              </w:rPr>
            </w:pPr>
            <w:r>
              <w:rPr>
                <w:rFonts w:ascii="Arial" w:cs="Arial" w:eastAsia="Arial" w:hAnsi="Arial"/>
                <w:sz w:val="13"/>
                <w:szCs w:val="13"/>
                <w:color w:val="auto"/>
              </w:rPr>
              <w:t>Acquisition-related expenses</w:t>
            </w:r>
            <w:r>
              <w:rPr>
                <w:rFonts w:ascii="Arial" w:cs="Arial" w:eastAsia="Arial" w:hAnsi="Arial"/>
                <w:sz w:val="17"/>
                <w:szCs w:val="17"/>
                <w:color w:val="auto"/>
                <w:vertAlign w:val="superscript"/>
              </w:rPr>
              <w:t>(b)</w:t>
            </w:r>
          </w:p>
        </w:tc>
        <w:tc>
          <w:tcPr>
            <w:tcW w:w="1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(4,997)</w:t>
            </w:r>
          </w:p>
        </w:tc>
        <w:tc>
          <w:tcPr>
            <w:tcW w:w="10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w:t>
            </w:r>
          </w:p>
        </w:tc>
      </w:tr>
      <w:tr>
        <w:trPr>
          <w:trHeight w:val="176"/>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Adjusted general and administrative expense</w:t>
            </w:r>
          </w:p>
        </w:tc>
        <w:tc>
          <w:tcPr>
            <w:tcW w:w="134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41,466</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40,064</w:t>
            </w:r>
          </w:p>
        </w:tc>
      </w:tr>
    </w:tbl>
    <w:p>
      <w:pPr>
        <w:spacing w:after="0" w:line="212" w:lineRule="exact"/>
        <w:rPr>
          <w:sz w:val="20"/>
          <w:szCs w:val="20"/>
          <w:color w:val="auto"/>
        </w:rPr>
      </w:pPr>
    </w:p>
    <w:p>
      <w:pPr>
        <w:jc w:val="both"/>
        <w:ind w:left="420" w:firstLine="4"/>
        <w:spacing w:after="0" w:line="245" w:lineRule="auto"/>
        <w:tabs>
          <w:tab w:leader="none" w:pos="562"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Represents certain legal fees and other related costs associated with (i) actions filed against the company and certain officers and directors alleging violations of the Securities Act of 1933 and the Securities Exchange Act of 1934, which litigation was dismissed with prejudice by the Court on May 19, 2023 and subsequently appealed. On March 24, 2026, the Second Circuit issued a summary order affirming the district court’s dismissal of such action with prejudice, and (ii) legal and success fees related to a regional tax dispute for a period prior to the acquisition of STI, and (iii) other litigation and legal matters. We consider these costs not representative of legal costs that we will incur from time to time in the ordinary course of our business.</w:t>
      </w:r>
    </w:p>
    <w:p>
      <w:pPr>
        <w:spacing w:after="0" w:line="30" w:lineRule="exact"/>
        <w:rPr>
          <w:rFonts w:ascii="Arial" w:cs="Arial" w:eastAsia="Arial" w:hAnsi="Arial"/>
          <w:sz w:val="16"/>
          <w:szCs w:val="16"/>
          <w:color w:val="auto"/>
          <w:vertAlign w:val="superscript"/>
        </w:rPr>
      </w:pPr>
    </w:p>
    <w:p>
      <w:pPr>
        <w:ind w:left="560" w:hanging="136"/>
        <w:spacing w:after="0"/>
        <w:tabs>
          <w:tab w:leader="none" w:pos="560" w:val="left"/>
        </w:tabs>
        <w:numPr>
          <w:ilvl w:val="0"/>
          <w:numId w:val="9"/>
        </w:numPr>
        <w:rPr>
          <w:rFonts w:ascii="Arial" w:cs="Arial" w:eastAsia="Arial" w:hAnsi="Arial"/>
          <w:sz w:val="16"/>
          <w:szCs w:val="16"/>
          <w:color w:val="auto"/>
          <w:vertAlign w:val="superscript"/>
        </w:rPr>
      </w:pPr>
      <w:r>
        <w:rPr>
          <w:rFonts w:ascii="Arial" w:cs="Arial" w:eastAsia="Arial" w:hAnsi="Arial"/>
          <w:sz w:val="12"/>
          <w:szCs w:val="12"/>
          <w:color w:val="auto"/>
        </w:rPr>
        <w:t>Represents acquisition-related expenses.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580" w:type="dxa"/>
            <w:vAlign w:val="bottom"/>
          </w:tcPr>
          <w:p>
            <w:pPr>
              <w:spacing w:after="0"/>
              <w:rPr>
                <w:sz w:val="20"/>
                <w:szCs w:val="20"/>
                <w:color w:val="auto"/>
              </w:rPr>
            </w:pPr>
            <w:r>
              <w:rPr>
                <w:rFonts w:ascii="Arial" w:cs="Arial" w:eastAsia="Arial" w:hAnsi="Arial"/>
                <w:sz w:val="13"/>
                <w:szCs w:val="13"/>
                <w:color w:val="auto"/>
              </w:rPr>
              <w:t>The following table reconciles Net cash used in operating activities to Free cash flow:</w:t>
            </w:r>
          </w:p>
        </w:tc>
        <w:tc>
          <w:tcPr>
            <w:tcW w:w="13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83"/>
        </w:trPr>
        <w:tc>
          <w:tcPr>
            <w:tcW w:w="6580" w:type="dxa"/>
            <w:vAlign w:val="bottom"/>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Three Months Ended March 31,</w:t>
            </w:r>
          </w:p>
        </w:tc>
        <w:tc>
          <w:tcPr>
            <w:tcW w:w="1340" w:type="dxa"/>
            <w:vAlign w:val="bottom"/>
            <w:tcBorders>
              <w:bottom w:val="single" w:sz="8" w:color="auto"/>
            </w:tcBorders>
          </w:tcPr>
          <w:p>
            <w:pPr>
              <w:spacing w:after="0"/>
              <w:rPr>
                <w:sz w:val="15"/>
                <w:szCs w:val="15"/>
                <w:color w:val="auto"/>
              </w:rPr>
            </w:pPr>
          </w:p>
        </w:tc>
      </w:tr>
      <w:tr>
        <w:trPr>
          <w:trHeight w:val="160"/>
        </w:trPr>
        <w:tc>
          <w:tcPr>
            <w:tcW w:w="6580" w:type="dxa"/>
            <w:vAlign w:val="bottom"/>
            <w:tcBorders>
              <w:bottom w:val="single" w:sz="8" w:color="CCEEFF"/>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2026</w:t>
            </w: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934"/>
              <w:spacing w:after="0"/>
              <w:rPr>
                <w:sz w:val="20"/>
                <w:szCs w:val="20"/>
                <w:color w:val="auto"/>
              </w:rPr>
            </w:pPr>
            <w:r>
              <w:rPr>
                <w:rFonts w:ascii="Arial" w:cs="Arial" w:eastAsia="Arial" w:hAnsi="Arial"/>
                <w:sz w:val="13"/>
                <w:szCs w:val="13"/>
                <w:b w:val="1"/>
                <w:bCs w:val="1"/>
                <w:color w:val="auto"/>
              </w:rPr>
              <w:t>2025</w:t>
            </w:r>
          </w:p>
        </w:tc>
      </w:tr>
      <w:tr>
        <w:trPr>
          <w:trHeight w:val="169"/>
        </w:trPr>
        <w:tc>
          <w:tcPr>
            <w:tcW w:w="6580" w:type="dxa"/>
            <w:vAlign w:val="bottom"/>
            <w:shd w:val="clear" w:color="auto" w:fill="CCEEFF"/>
          </w:tcPr>
          <w:p>
            <w:pPr>
              <w:spacing w:after="0"/>
              <w:rPr>
                <w:sz w:val="20"/>
                <w:szCs w:val="20"/>
                <w:color w:val="auto"/>
              </w:rPr>
            </w:pPr>
            <w:r>
              <w:rPr>
                <w:rFonts w:ascii="Arial" w:cs="Arial" w:eastAsia="Arial" w:hAnsi="Arial"/>
                <w:sz w:val="13"/>
                <w:szCs w:val="13"/>
                <w:color w:val="auto"/>
              </w:rPr>
              <w:t>Net cash used in operating activities</w:t>
            </w:r>
          </w:p>
        </w:tc>
        <w:tc>
          <w:tcPr>
            <w:tcW w:w="1340" w:type="dxa"/>
            <w:vAlign w:val="bottom"/>
            <w:shd w:val="clear" w:color="auto" w:fill="CCEEFF"/>
          </w:tcPr>
          <w:p>
            <w:pPr>
              <w:jc w:val="right"/>
              <w:ind w:right="1174"/>
              <w:spacing w:after="0"/>
              <w:rPr>
                <w:sz w:val="20"/>
                <w:szCs w:val="20"/>
                <w:color w:val="auto"/>
              </w:rPr>
            </w:pPr>
            <w:r>
              <w:rPr>
                <w:rFonts w:ascii="Arial" w:cs="Arial" w:eastAsia="Arial" w:hAnsi="Arial"/>
                <w:sz w:val="13"/>
                <w:szCs w:val="13"/>
                <w:b w:val="1"/>
                <w:bCs w:val="1"/>
                <w:color w:val="auto"/>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(29,421)</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3"/>
                <w:szCs w:val="13"/>
                <w:b w:val="1"/>
                <w:bCs w:val="1"/>
                <w:color w:val="auto"/>
                <w:w w:val="82"/>
              </w:rPr>
              <w:t>$</w:t>
            </w:r>
          </w:p>
        </w:tc>
        <w:tc>
          <w:tcPr>
            <w:tcW w:w="1340" w:type="dxa"/>
            <w:vAlign w:val="bottom"/>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(13,059)</w:t>
            </w:r>
          </w:p>
        </w:tc>
      </w:tr>
      <w:tr>
        <w:trPr>
          <w:trHeight w:val="171"/>
        </w:trPr>
        <w:tc>
          <w:tcPr>
            <w:tcW w:w="65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Purchase of property, plant and equipment</w:t>
            </w:r>
          </w:p>
        </w:tc>
        <w:tc>
          <w:tcPr>
            <w:tcW w:w="13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(7,511)</w:t>
            </w:r>
          </w:p>
        </w:tc>
        <w:tc>
          <w:tcPr>
            <w:tcW w:w="1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(2,352)</w:t>
            </w:r>
          </w:p>
        </w:tc>
      </w:tr>
      <w:tr>
        <w:trPr>
          <w:trHeight w:val="176"/>
        </w:trPr>
        <w:tc>
          <w:tcPr>
            <w:tcW w:w="6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3"/>
                <w:szCs w:val="13"/>
                <w:b w:val="1"/>
                <w:bCs w:val="1"/>
                <w:color w:val="auto"/>
              </w:rPr>
              <w:t>Free cash flow</w:t>
            </w:r>
          </w:p>
        </w:tc>
        <w:tc>
          <w:tcPr>
            <w:tcW w:w="1340" w:type="dxa"/>
            <w:vAlign w:val="bottom"/>
            <w:tcBorders>
              <w:bottom w:val="single" w:sz="8" w:color="auto"/>
            </w:tcBorders>
            <w:shd w:val="clear" w:color="auto" w:fill="CCEEFF"/>
          </w:tcPr>
          <w:p>
            <w:pPr>
              <w:jc w:val="right"/>
              <w:ind w:right="1174"/>
              <w:spacing w:after="0"/>
              <w:rPr>
                <w:sz w:val="20"/>
                <w:szCs w:val="20"/>
                <w:color w:val="auto"/>
              </w:rPr>
            </w:pPr>
            <w:r>
              <w:rPr>
                <w:rFonts w:ascii="Arial" w:cs="Arial" w:eastAsia="Arial" w:hAnsi="Arial"/>
                <w:sz w:val="13"/>
                <w:szCs w:val="13"/>
                <w:b w:val="1"/>
                <w:bCs w:val="1"/>
                <w:color w:val="auto"/>
              </w:rPr>
              <w:t>$</w:t>
            </w:r>
          </w:p>
        </w:tc>
        <w:tc>
          <w:tcPr>
            <w:tcW w:w="9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3"/>
                <w:szCs w:val="13"/>
                <w:b w:val="1"/>
                <w:bCs w:val="1"/>
                <w:color w:val="auto"/>
              </w:rPr>
              <w:t>(36,932)</w:t>
            </w:r>
          </w:p>
        </w:tc>
        <w:tc>
          <w:tcPr>
            <w:tcW w:w="1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Arial" w:cs="Arial" w:eastAsia="Arial" w:hAnsi="Arial"/>
                <w:sz w:val="13"/>
                <w:szCs w:val="13"/>
                <w:b w:val="1"/>
                <w:bCs w:val="1"/>
                <w:color w:val="auto"/>
                <w:w w:val="82"/>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3"/>
                <w:szCs w:val="13"/>
                <w:b w:val="1"/>
                <w:bCs w:val="1"/>
                <w:color w:val="auto"/>
              </w:rPr>
              <w:t>(15,411)</w:t>
            </w:r>
          </w:p>
        </w:tc>
      </w:tr>
    </w:tbl>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1300"/>
          </w:cols>
          <w:pgMar w:left="300" w:top="124" w:right="29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270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27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1)"/>
      <w:numFmt w:val="lowerRoman"/>
      <w:start w:val="4"/>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2026-05-06T15:26:26Z</dcterms:created>
  <dcterms:modified xsi:type="dcterms:W3CDTF">2026-05-06T15:26:26Z</dcterms:modified>
</cp:coreProperties>
</file>