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82" w:lineRule="exact"/>
        <w:rPr>
          <w:sz w:val="24"/>
          <w:szCs w:val="24"/>
          <w:color w:val="auto"/>
        </w:rPr>
      </w:pPr>
    </w:p>
    <w:p>
      <w:pPr>
        <w:jc w:val="center"/>
        <w:ind w:left="3820" w:right="920" w:hanging="2885"/>
        <w:spacing w:after="0" w:line="261" w:lineRule="auto"/>
        <w:tabs>
          <w:tab w:leader="none" w:pos="114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2021</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jc w:val="center"/>
        <w:ind w:left="3640" w:right="1400" w:hanging="2242"/>
        <w:spacing w:after="0" w:line="260"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160655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9" w:lineRule="exact"/>
        <w:rPr>
          <w:sz w:val="24"/>
          <w:szCs w:val="24"/>
          <w:color w:val="auto"/>
        </w:rPr>
      </w:pPr>
    </w:p>
    <w:tbl>
      <w:tblPr>
        <w:tblLayout w:type="fixed"/>
        <w:tblInd w:w="380" w:type="dxa"/>
        <w:tblCellMar>
          <w:top w:w="0" w:type="dxa"/>
          <w:left w:w="0" w:type="dxa"/>
          <w:bottom w:w="0" w:type="dxa"/>
          <w:right w:w="0" w:type="dxa"/>
        </w:tblCellMar>
      </w:tblPr>
      <w:tr>
        <w:trPr>
          <w:trHeight w:val="257"/>
        </w:trPr>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Delaware</w:t>
            </w:r>
          </w:p>
        </w:tc>
        <w:tc>
          <w:tcPr>
            <w:tcW w:w="10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203"/>
        </w:trPr>
        <w:tc>
          <w:tcPr>
            <w:tcW w:w="5140" w:type="dxa"/>
            <w:vAlign w:val="bottom"/>
            <w:gridSpan w:val="3"/>
          </w:tcPr>
          <w:p>
            <w:pPr>
              <w:jc w:val="center"/>
              <w:ind w:right="120"/>
              <w:spacing w:after="0"/>
              <w:rPr>
                <w:sz w:val="20"/>
                <w:szCs w:val="20"/>
                <w:color w:val="auto"/>
              </w:rPr>
            </w:pPr>
            <w:r>
              <w:rPr>
                <w:rFonts w:ascii="Arial" w:cs="Arial" w:eastAsia="Arial" w:hAnsi="Arial"/>
                <w:sz w:val="16"/>
                <w:szCs w:val="16"/>
                <w:color w:val="auto"/>
              </w:rPr>
              <w:t>(State or Other Jurisdiction)</w:t>
            </w:r>
          </w:p>
        </w:tc>
        <w:tc>
          <w:tcPr>
            <w:tcW w:w="5360" w:type="dxa"/>
            <w:vAlign w:val="bottom"/>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19"/>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4"/>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04"/>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7800" w:type="dxa"/>
            <w:vAlign w:val="bottom"/>
            <w:gridSpan w:val="5"/>
          </w:tcPr>
          <w:p>
            <w:pPr>
              <w:ind w:left="12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3"/>
        </w:trPr>
        <w:tc>
          <w:tcPr>
            <w:tcW w:w="3440" w:type="dxa"/>
            <w:vAlign w:val="bottom"/>
            <w:tcBorders>
              <w:bottom w:val="single" w:sz="8" w:color="auto"/>
            </w:tcBorders>
          </w:tcPr>
          <w:p>
            <w:pPr>
              <w:jc w:val="center"/>
              <w:ind w:left="170"/>
              <w:spacing w:after="0"/>
              <w:rPr>
                <w:sz w:val="20"/>
                <w:szCs w:val="20"/>
                <w:color w:val="auto"/>
              </w:rPr>
            </w:pPr>
            <w:r>
              <w:rPr>
                <w:rFonts w:ascii="Arial" w:cs="Arial" w:eastAsia="Arial" w:hAnsi="Arial"/>
                <w:sz w:val="16"/>
                <w:szCs w:val="16"/>
                <w:color w:val="auto"/>
              </w:rPr>
              <w:t>Title of each class</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43"/>
        </w:trPr>
        <w:tc>
          <w:tcPr>
            <w:tcW w:w="3440" w:type="dxa"/>
            <w:vAlign w:val="bottom"/>
          </w:tcPr>
          <w:p>
            <w:pPr>
              <w:jc w:val="center"/>
              <w:ind w:left="170"/>
              <w:spacing w:after="0"/>
              <w:rPr>
                <w:sz w:val="20"/>
                <w:szCs w:val="20"/>
                <w:color w:val="auto"/>
              </w:rPr>
            </w:pPr>
            <w:r>
              <w:rPr>
                <w:rFonts w:ascii="Arial" w:cs="Arial" w:eastAsia="Arial" w:hAnsi="Arial"/>
                <w:sz w:val="20"/>
                <w:szCs w:val="20"/>
                <w:color w:val="auto"/>
                <w:w w:val="98"/>
              </w:rPr>
              <w:t>Common stock, $0.001 par value</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20"/>
                <w:szCs w:val="20"/>
                <w:color w:val="auto"/>
                <w:w w:val="97"/>
              </w:rPr>
              <w:t>ARRY</w:t>
            </w:r>
          </w:p>
        </w:tc>
        <w:tc>
          <w:tcPr>
            <w:tcW w:w="5040" w:type="dxa"/>
            <w:vAlign w:val="bottom"/>
          </w:tcPr>
          <w:p>
            <w:pPr>
              <w:jc w:val="center"/>
              <w:spacing w:after="0"/>
              <w:rPr>
                <w:sz w:val="20"/>
                <w:szCs w:val="20"/>
                <w:color w:val="auto"/>
              </w:rPr>
            </w:pPr>
            <w:r>
              <w:rPr>
                <w:rFonts w:ascii="Arial" w:cs="Arial" w:eastAsia="Arial" w:hAnsi="Arial"/>
                <w:sz w:val="20"/>
                <w:szCs w:val="20"/>
                <w:color w:val="auto"/>
                <w:w w:val="98"/>
              </w:rPr>
              <w:t>Nasdaq Global Market</w:t>
            </w:r>
          </w:p>
        </w:tc>
      </w:tr>
    </w:tbl>
    <w:p>
      <w:pPr>
        <w:spacing w:after="0" w:line="335" w:lineRule="exact"/>
        <w:rPr>
          <w:sz w:val="24"/>
          <w:szCs w:val="24"/>
          <w:color w:val="auto"/>
        </w:rPr>
      </w:pPr>
    </w:p>
    <w:p>
      <w:pPr>
        <w:ind w:right="460"/>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52" w:lineRule="exact"/>
        <w:rPr>
          <w:sz w:val="24"/>
          <w:szCs w:val="24"/>
          <w:color w:val="auto"/>
        </w:rPr>
      </w:pPr>
    </w:p>
    <w:p>
      <w:pPr>
        <w:ind w:right="220"/>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2" w:lineRule="exact"/>
        <w:rPr>
          <w:sz w:val="24"/>
          <w:szCs w:val="24"/>
          <w:color w:val="auto"/>
        </w:rPr>
      </w:pPr>
    </w:p>
    <w:p>
      <w:pPr>
        <w:ind w:right="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4"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of August 5, 2021, there were 126,994,467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9240" w:type="dxa"/>
            <w:vAlign w:val="bottom"/>
          </w:tcPr>
          <w:p>
            <w:pPr>
              <w:ind w:left="2960"/>
              <w:spacing w:after="0"/>
              <w:rPr>
                <w:sz w:val="20"/>
                <w:szCs w:val="20"/>
                <w:color w:val="auto"/>
              </w:rPr>
            </w:pPr>
            <w:r>
              <w:rPr>
                <w:rFonts w:ascii="Arial" w:cs="Arial" w:eastAsia="Arial" w:hAnsi="Arial"/>
                <w:sz w:val="18"/>
                <w:szCs w:val="18"/>
                <w:b w:val="1"/>
                <w:bCs w:val="1"/>
                <w:color w:val="auto"/>
              </w:rPr>
              <w:t>PART I - FINANCIAL INFORMATION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8"/>
        </w:trPr>
        <w:tc>
          <w:tcPr>
            <w:tcW w:w="104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Unaudited Condensed Consolidated Financial Statements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Balance Sheets</w:t>
            </w:r>
          </w:p>
        </w:tc>
        <w:tc>
          <w:tcPr>
            <w:tcW w:w="200" w:type="dxa"/>
            <w:vAlign w:val="bottom"/>
            <w:gridSpan w:val="3"/>
          </w:tcPr>
          <w:p>
            <w:pPr>
              <w:jc w:val="center"/>
              <w:ind w:right="2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24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Condensed Consolidated Statements of Operations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5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Statements of Changes in Member’s Equity/Stockholders’ Deficit</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24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Condensed Consolidated Statements of Cash Flows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5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rFonts w:ascii="Arial" w:cs="Arial" w:eastAsia="Arial" w:hAnsi="Arial"/>
                <w:sz w:val="18"/>
                <w:szCs w:val="18"/>
                <w:color w:val="0000FF"/>
                <w:w w:val="99"/>
              </w:rPr>
            </w:pPr>
            <w:hyperlink w:anchor="page10">
              <w:r>
                <w:rPr>
                  <w:rFonts w:ascii="Arial" w:cs="Arial" w:eastAsia="Arial" w:hAnsi="Arial"/>
                  <w:sz w:val="18"/>
                  <w:szCs w:val="18"/>
                  <w:color w:val="0000FF"/>
                  <w:w w:val="99"/>
                </w:rPr>
                <w:t>8</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240" w:type="dxa"/>
            <w:vAlign w:val="bottom"/>
            <w:tcBorders>
              <w:bottom w:val="single" w:sz="8" w:color="CCEEFF"/>
            </w:tcBorders>
            <w:shd w:val="clear" w:color="auto" w:fill="CCEEFF"/>
          </w:tcPr>
          <w:p>
            <w:pPr>
              <w:ind w:left="4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99"/>
              </w:rPr>
            </w:pPr>
            <w:hyperlink w:anchor="page28">
              <w:r>
                <w:rPr>
                  <w:rFonts w:ascii="Arial" w:cs="Arial" w:eastAsia="Arial" w:hAnsi="Arial"/>
                  <w:sz w:val="18"/>
                  <w:szCs w:val="18"/>
                  <w:color w:val="0000FF"/>
                  <w:w w:val="99"/>
                </w:rPr>
                <w:t>26</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240" w:type="dxa"/>
            <w:vAlign w:val="bottom"/>
          </w:tcPr>
          <w:p>
            <w:pPr>
              <w:ind w:left="4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720" w:type="dxa"/>
            <w:vAlign w:val="bottom"/>
            <w:gridSpan w:val="4"/>
          </w:tcPr>
          <w:p>
            <w:pPr>
              <w:jc w:val="center"/>
              <w:ind w:right="520"/>
              <w:spacing w:after="0" w:line="189" w:lineRule="exact"/>
              <w:rPr>
                <w:rFonts w:ascii="Arial" w:cs="Arial" w:eastAsia="Arial" w:hAnsi="Arial"/>
                <w:sz w:val="18"/>
                <w:szCs w:val="18"/>
                <w:color w:val="0000FF"/>
                <w:w w:val="99"/>
              </w:rPr>
            </w:pPr>
            <w:hyperlink w:anchor="page43">
              <w:r>
                <w:rPr>
                  <w:rFonts w:ascii="Arial" w:cs="Arial" w:eastAsia="Arial" w:hAnsi="Arial"/>
                  <w:sz w:val="18"/>
                  <w:szCs w:val="18"/>
                  <w:color w:val="0000FF"/>
                  <w:w w:val="99"/>
                </w:rPr>
                <w:t>40</w:t>
              </w:r>
            </w:hyperlink>
          </w:p>
        </w:tc>
      </w:tr>
      <w:tr>
        <w:trPr>
          <w:trHeight w:val="20"/>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24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Controls and Procedures</w:t>
            </w:r>
          </w:p>
        </w:tc>
        <w:tc>
          <w:tcPr>
            <w:tcW w:w="720" w:type="dxa"/>
            <w:vAlign w:val="bottom"/>
            <w:gridSpan w:val="4"/>
            <w:shd w:val="clear" w:color="auto" w:fill="CCEEFF"/>
          </w:tcPr>
          <w:p>
            <w:pPr>
              <w:jc w:val="center"/>
              <w:ind w:right="520"/>
              <w:spacing w:after="0" w:line="189" w:lineRule="exact"/>
              <w:rPr>
                <w:rFonts w:ascii="Arial" w:cs="Arial" w:eastAsia="Arial" w:hAnsi="Arial"/>
                <w:sz w:val="18"/>
                <w:szCs w:val="18"/>
                <w:color w:val="0000FF"/>
                <w:w w:val="99"/>
              </w:rPr>
            </w:pPr>
            <w:hyperlink w:anchor="page43">
              <w:r>
                <w:rPr>
                  <w:rFonts w:ascii="Arial" w:cs="Arial" w:eastAsia="Arial" w:hAnsi="Arial"/>
                  <w:sz w:val="18"/>
                  <w:szCs w:val="18"/>
                  <w:color w:val="0000FF"/>
                  <w:w w:val="99"/>
                </w:rPr>
                <w:t>40</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9180" w:type="dxa"/>
            <w:vAlign w:val="bottom"/>
          </w:tcPr>
          <w:p>
            <w:pPr>
              <w:ind w:left="3040"/>
              <w:spacing w:after="0"/>
              <w:rPr>
                <w:sz w:val="20"/>
                <w:szCs w:val="20"/>
                <w:color w:val="auto"/>
              </w:rPr>
            </w:pPr>
            <w:r>
              <w:rPr>
                <w:rFonts w:ascii="Arial" w:cs="Arial" w:eastAsia="Arial" w:hAnsi="Arial"/>
                <w:sz w:val="18"/>
                <w:szCs w:val="18"/>
                <w:b w:val="1"/>
                <w:bCs w:val="1"/>
                <w:color w:val="auto"/>
              </w:rPr>
              <w:t>PART II - OTHER INFORMATION</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8"/>
        </w:trPr>
        <w:tc>
          <w:tcPr>
            <w:tcW w:w="110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0"/>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Risk Factors</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r>
      <w:tr>
        <w:trPr>
          <w:trHeight w:val="21"/>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Defaults Upon Senior Securities</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r>
      <w:tr>
        <w:trPr>
          <w:trHeight w:val="21"/>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Mine Safety Disclosures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Other Information</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r>
      <w:tr>
        <w:trPr>
          <w:trHeight w:val="20"/>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18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Exhibits</w:t>
            </w:r>
          </w:p>
        </w:tc>
        <w:tc>
          <w:tcPr>
            <w:tcW w:w="720" w:type="dxa"/>
            <w:vAlign w:val="bottom"/>
            <w:gridSpan w:val="2"/>
            <w:shd w:val="clear" w:color="auto" w:fill="CCEEFF"/>
          </w:tcPr>
          <w:p>
            <w:pPr>
              <w:jc w:val="right"/>
              <w:ind w:right="52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9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9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1"/>
        </w:trPr>
        <w:tc>
          <w:tcPr>
            <w:tcW w:w="7980" w:type="dxa"/>
            <w:vAlign w:val="bottom"/>
            <w:gridSpan w:val="2"/>
          </w:tcPr>
          <w:p>
            <w:pPr>
              <w:jc w:val="center"/>
              <w:ind w:left="3181"/>
              <w:spacing w:after="0"/>
              <w:rPr>
                <w:sz w:val="20"/>
                <w:szCs w:val="20"/>
                <w:color w:val="auto"/>
              </w:rPr>
            </w:pPr>
            <w:r>
              <w:rPr>
                <w:rFonts w:ascii="Arial" w:cs="Arial" w:eastAsia="Arial" w:hAnsi="Arial"/>
                <w:sz w:val="20"/>
                <w:szCs w:val="20"/>
                <w:b w:val="1"/>
                <w:bCs w:val="1"/>
                <w:color w:val="auto"/>
                <w:w w:val="98"/>
              </w:rPr>
              <w:t>PART I—FINANCIAL INFORMATION</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6520" w:type="dxa"/>
            <w:vAlign w:val="bottom"/>
          </w:tcPr>
          <w:p>
            <w:pPr>
              <w:spacing w:after="0"/>
              <w:rPr>
                <w:sz w:val="20"/>
                <w:szCs w:val="20"/>
                <w:color w:val="auto"/>
              </w:rPr>
            </w:pPr>
            <w:r>
              <w:rPr>
                <w:rFonts w:ascii="Arial" w:cs="Arial" w:eastAsia="Arial" w:hAnsi="Arial"/>
                <w:sz w:val="20"/>
                <w:szCs w:val="20"/>
                <w:b w:val="1"/>
                <w:bCs w:val="1"/>
                <w:color w:val="auto"/>
              </w:rPr>
              <w:t>Item 1. Financial Statements.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980" w:type="dxa"/>
            <w:vAlign w:val="bottom"/>
            <w:gridSpan w:val="2"/>
          </w:tcPr>
          <w:p>
            <w:pPr>
              <w:jc w:val="center"/>
              <w:ind w:left="3161"/>
              <w:spacing w:after="0"/>
              <w:rPr>
                <w:sz w:val="20"/>
                <w:szCs w:val="20"/>
                <w:color w:val="auto"/>
              </w:rPr>
            </w:pPr>
            <w:r>
              <w:rPr>
                <w:rFonts w:ascii="Arial" w:cs="Arial" w:eastAsia="Arial" w:hAnsi="Arial"/>
                <w:sz w:val="20"/>
                <w:szCs w:val="20"/>
                <w:b w:val="1"/>
                <w:bCs w:val="1"/>
                <w:color w:val="auto"/>
                <w:w w:val="98"/>
              </w:rPr>
              <w:t>Array Technologies, Inc. and Subsidiaries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920" w:type="dxa"/>
            <w:vAlign w:val="bottom"/>
            <w:gridSpan w:val="4"/>
          </w:tcPr>
          <w:p>
            <w:pPr>
              <w:jc w:val="center"/>
              <w:ind w:left="2221"/>
              <w:spacing w:after="0"/>
              <w:rPr>
                <w:sz w:val="20"/>
                <w:szCs w:val="20"/>
                <w:color w:val="auto"/>
              </w:rPr>
            </w:pPr>
            <w:r>
              <w:rPr>
                <w:rFonts w:ascii="Arial" w:cs="Arial" w:eastAsia="Arial" w:hAnsi="Arial"/>
                <w:sz w:val="20"/>
                <w:szCs w:val="20"/>
                <w:b w:val="1"/>
                <w:bCs w:val="1"/>
                <w:color w:val="auto"/>
                <w:w w:val="99"/>
              </w:rPr>
              <w:t>Condensed Consolidated Balance Sheets (unaudited)</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80" w:type="dxa"/>
            <w:vAlign w:val="bottom"/>
            <w:gridSpan w:val="2"/>
          </w:tcPr>
          <w:p>
            <w:pPr>
              <w:jc w:val="center"/>
              <w:ind w:left="3181"/>
              <w:spacing w:after="0"/>
              <w:rPr>
                <w:sz w:val="20"/>
                <w:szCs w:val="20"/>
                <w:color w:val="auto"/>
              </w:rPr>
            </w:pPr>
            <w:r>
              <w:rPr>
                <w:rFonts w:ascii="Arial" w:cs="Arial" w:eastAsia="Arial" w:hAnsi="Arial"/>
                <w:sz w:val="20"/>
                <w:szCs w:val="20"/>
                <w:i w:val="1"/>
                <w:iCs w:val="1"/>
                <w:color w:val="auto"/>
                <w:w w:val="98"/>
              </w:rPr>
              <w:t>(in thousands, except per share and share amounts)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20" w:type="dxa"/>
            <w:vAlign w:val="bottom"/>
          </w:tcPr>
          <w:p>
            <w:pPr>
              <w:spacing w:after="0"/>
              <w:rPr>
                <w:sz w:val="23"/>
                <w:szCs w:val="23"/>
                <w:color w:val="auto"/>
              </w:rPr>
            </w:pPr>
          </w:p>
        </w:tc>
        <w:tc>
          <w:tcPr>
            <w:tcW w:w="2400" w:type="dxa"/>
            <w:vAlign w:val="bottom"/>
            <w:gridSpan w:val="3"/>
          </w:tcPr>
          <w:p>
            <w:pPr>
              <w:ind w:left="520"/>
              <w:spacing w:after="0"/>
              <w:rPr>
                <w:sz w:val="20"/>
                <w:szCs w:val="20"/>
                <w:color w:val="auto"/>
              </w:rPr>
            </w:pPr>
            <w:r>
              <w:rPr>
                <w:rFonts w:ascii="Arial" w:cs="Arial" w:eastAsia="Arial" w:hAnsi="Arial"/>
                <w:sz w:val="20"/>
                <w:szCs w:val="20"/>
                <w:b w:val="1"/>
                <w:bCs w:val="1"/>
                <w:color w:val="auto"/>
              </w:rPr>
              <w:t>June 30, 2021</w:t>
            </w:r>
          </w:p>
        </w:tc>
        <w:tc>
          <w:tcPr>
            <w:tcW w:w="200" w:type="dxa"/>
            <w:vAlign w:val="bottom"/>
          </w:tcPr>
          <w:p>
            <w:pPr>
              <w:spacing w:after="0"/>
              <w:rPr>
                <w:sz w:val="23"/>
                <w:szCs w:val="23"/>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228"/>
        </w:trPr>
        <w:tc>
          <w:tcPr>
            <w:tcW w:w="6520" w:type="dxa"/>
            <w:vAlign w:val="bottom"/>
            <w:tcBorders>
              <w:top w:val="single" w:sz="8" w:color="CCEEFF"/>
            </w:tcBorders>
            <w:shd w:val="clear" w:color="auto" w:fill="CCEEFF"/>
          </w:tcPr>
          <w:p>
            <w:pPr>
              <w:ind w:left="20"/>
              <w:spacing w:after="0" w:line="228" w:lineRule="exact"/>
              <w:rPr>
                <w:sz w:val="20"/>
                <w:szCs w:val="20"/>
                <w:color w:val="auto"/>
              </w:rPr>
            </w:pPr>
            <w:r>
              <w:rPr>
                <w:rFonts w:ascii="Arial" w:cs="Arial" w:eastAsia="Arial" w:hAnsi="Arial"/>
                <w:sz w:val="20"/>
                <w:szCs w:val="20"/>
                <w:color w:val="auto"/>
              </w:rPr>
              <w:t>ASSETS</w:t>
            </w:r>
          </w:p>
        </w:tc>
        <w:tc>
          <w:tcPr>
            <w:tcW w:w="1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Accounts receivable, net</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153,610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118,694</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Inventories, net</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137,666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118,459</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Income tax receivables</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9,657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17,158</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1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11,597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12,423</w:t>
            </w:r>
          </w:p>
        </w:tc>
        <w:tc>
          <w:tcPr>
            <w:tcW w:w="0" w:type="dxa"/>
            <w:vAlign w:val="bottom"/>
          </w:tcPr>
          <w:p>
            <w:pPr>
              <w:spacing w:after="0"/>
              <w:rPr>
                <w:sz w:val="1"/>
                <w:szCs w:val="1"/>
                <w:color w:val="auto"/>
              </w:rPr>
            </w:pPr>
          </w:p>
        </w:tc>
      </w:tr>
      <w:tr>
        <w:trPr>
          <w:trHeight w:val="237"/>
        </w:trPr>
        <w:tc>
          <w:tcPr>
            <w:tcW w:w="6520" w:type="dxa"/>
            <w:vAlign w:val="bottom"/>
          </w:tcPr>
          <w:p>
            <w:pPr>
              <w:ind w:left="460"/>
              <w:spacing w:after="0"/>
              <w:rPr>
                <w:sz w:val="20"/>
                <w:szCs w:val="20"/>
                <w:color w:val="auto"/>
              </w:rPr>
            </w:pPr>
            <w:r>
              <w:rPr>
                <w:rFonts w:ascii="Arial" w:cs="Arial" w:eastAsia="Arial" w:hAnsi="Arial"/>
                <w:sz w:val="20"/>
                <w:szCs w:val="20"/>
                <w:color w:val="auto"/>
              </w:rPr>
              <w:t>Total current assets</w:t>
            </w:r>
          </w:p>
        </w:tc>
        <w:tc>
          <w:tcPr>
            <w:tcW w:w="1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330,212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375,175</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9,763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Goodwill</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186,507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198,260</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1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26,109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3,088</w:t>
            </w: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w:t>
            </w:r>
          </w:p>
        </w:tc>
        <w:tc>
          <w:tcPr>
            <w:tcW w:w="146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622,318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656,024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5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LIABILITIES AND STOCKHOLDERS' DEFICIT</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81,377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82,755</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2,232</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29,164</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3,049</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14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8,814</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51,458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149,821</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8,955</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Current portion of term loan</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4,313</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1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6,379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current liabilities</w:t>
            </w:r>
          </w:p>
        </w:tc>
        <w:tc>
          <w:tcPr>
            <w:tcW w:w="1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168,129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289,103</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Long-term liabilities</w:t>
            </w: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14,472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13,114</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10,108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10,736</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6520" w:type="dxa"/>
            <w:vAlign w:val="bottom"/>
            <w:shd w:val="clear" w:color="auto" w:fill="CCEEFF"/>
          </w:tcPr>
          <w:p>
            <w:pPr>
              <w:ind w:left="240"/>
              <w:spacing w:after="0" w:line="199" w:lineRule="exact"/>
              <w:rPr>
                <w:sz w:val="20"/>
                <w:szCs w:val="20"/>
                <w:color w:val="auto"/>
              </w:rPr>
            </w:pPr>
            <w:r>
              <w:rPr>
                <w:rFonts w:ascii="Arial" w:cs="Arial" w:eastAsia="Arial" w:hAnsi="Arial"/>
                <w:sz w:val="20"/>
                <w:szCs w:val="20"/>
                <w:color w:val="auto"/>
              </w:rPr>
              <w:t>Long-term debt, net of current portion, debt discount and issuance</w:t>
            </w:r>
          </w:p>
        </w:tc>
        <w:tc>
          <w:tcPr>
            <w:tcW w:w="14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493,945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423,970</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costs</w:t>
            </w:r>
          </w:p>
        </w:tc>
        <w:tc>
          <w:tcPr>
            <w:tcW w:w="1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1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522,798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447,820</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1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690,927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736,923</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20"/>
                <w:szCs w:val="20"/>
                <w:color w:val="auto"/>
              </w:rPr>
              <w:t>Commitments and contingencies (Note 12)</w:t>
            </w: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6"/>
        </w:trPr>
        <w:tc>
          <w:tcPr>
            <w:tcW w:w="65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June 30, 2021</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184"/>
        </w:trPr>
        <w:tc>
          <w:tcPr>
            <w:tcW w:w="6520" w:type="dxa"/>
            <w:vAlign w:val="bottom"/>
            <w:shd w:val="clear" w:color="auto" w:fill="CCEEFF"/>
          </w:tcPr>
          <w:p>
            <w:pPr>
              <w:ind w:left="20"/>
              <w:spacing w:after="0" w:line="184" w:lineRule="exact"/>
              <w:rPr>
                <w:sz w:val="20"/>
                <w:szCs w:val="20"/>
                <w:color w:val="auto"/>
              </w:rPr>
            </w:pPr>
            <w:r>
              <w:rPr>
                <w:rFonts w:ascii="Arial" w:cs="Arial" w:eastAsia="Arial" w:hAnsi="Arial"/>
                <w:sz w:val="20"/>
                <w:szCs w:val="20"/>
                <w:color w:val="auto"/>
              </w:rPr>
              <w:t>Preferred stock of 0.001 par value - 5,000,000 shares authorized; none</w:t>
            </w:r>
          </w:p>
        </w:tc>
        <w:tc>
          <w:tcPr>
            <w:tcW w:w="32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5"/>
                <w:szCs w:val="15"/>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issued as of June 30, 2021 and December 31, 2020</w:t>
            </w:r>
          </w:p>
        </w:tc>
        <w:tc>
          <w:tcPr>
            <w:tcW w:w="320" w:type="dxa"/>
            <w:vAlign w:val="bottom"/>
            <w:shd w:val="clear" w:color="auto" w:fill="CCEEFF"/>
          </w:tcPr>
          <w:p>
            <w:pPr>
              <w:spacing w:after="0"/>
              <w:rPr>
                <w:sz w:val="20"/>
                <w:szCs w:val="20"/>
                <w:color w:val="auto"/>
              </w:rPr>
            </w:pPr>
          </w:p>
        </w:tc>
        <w:tc>
          <w:tcPr>
            <w:tcW w:w="208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520" w:type="dxa"/>
            <w:vAlign w:val="bottom"/>
          </w:tcPr>
          <w:p>
            <w:pPr>
              <w:ind w:left="20"/>
              <w:spacing w:after="0" w:line="199" w:lineRule="exact"/>
              <w:rPr>
                <w:sz w:val="20"/>
                <w:szCs w:val="20"/>
                <w:color w:val="auto"/>
              </w:rPr>
            </w:pPr>
            <w:r>
              <w:rPr>
                <w:rFonts w:ascii="Arial" w:cs="Arial" w:eastAsia="Arial" w:hAnsi="Arial"/>
                <w:sz w:val="20"/>
                <w:szCs w:val="20"/>
                <w:color w:val="auto"/>
              </w:rPr>
              <w:t>Common stock of $0.001 par value - 1,000,000,000 shares authorized;</w:t>
            </w:r>
          </w:p>
        </w:tc>
        <w:tc>
          <w:tcPr>
            <w:tcW w:w="320" w:type="dxa"/>
            <w:vAlign w:val="bottom"/>
          </w:tcPr>
          <w:p>
            <w:pPr>
              <w:spacing w:after="0"/>
              <w:rPr>
                <w:sz w:val="17"/>
                <w:szCs w:val="17"/>
                <w:color w:val="auto"/>
              </w:rPr>
            </w:pP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33"/>
        </w:trPr>
        <w:tc>
          <w:tcPr>
            <w:tcW w:w="6520" w:type="dxa"/>
            <w:vAlign w:val="bottom"/>
          </w:tcPr>
          <w:p>
            <w:pPr>
              <w:ind w:left="20"/>
              <w:spacing w:after="0"/>
              <w:rPr>
                <w:sz w:val="20"/>
                <w:szCs w:val="20"/>
                <w:color w:val="auto"/>
              </w:rPr>
            </w:pPr>
            <w:r>
              <w:rPr>
                <w:rFonts w:ascii="Arial" w:cs="Arial" w:eastAsia="Arial" w:hAnsi="Arial"/>
                <w:sz w:val="20"/>
                <w:szCs w:val="20"/>
                <w:color w:val="auto"/>
              </w:rPr>
              <w:t>126,994,467 shares issued as of June 30, 2021 and December 31, 2020</w:t>
            </w:r>
          </w:p>
        </w:tc>
        <w:tc>
          <w:tcPr>
            <w:tcW w:w="32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Additional paid-in capital</w:t>
            </w:r>
          </w:p>
        </w:tc>
        <w:tc>
          <w:tcPr>
            <w:tcW w:w="3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149,893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Accumulated deficit</w:t>
            </w:r>
          </w:p>
        </w:tc>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(218,629)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(221,499)</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deficit</w:t>
            </w:r>
          </w:p>
        </w:tc>
        <w:tc>
          <w:tcPr>
            <w:tcW w:w="3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(68,609)</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36"/>
        </w:trPr>
        <w:tc>
          <w:tcPr>
            <w:tcW w:w="6520" w:type="dxa"/>
            <w:vAlign w:val="bottom"/>
          </w:tcPr>
          <w:p>
            <w:pPr>
              <w:ind w:left="20"/>
              <w:spacing w:after="0"/>
              <w:rPr>
                <w:sz w:val="20"/>
                <w:szCs w:val="20"/>
                <w:color w:val="auto"/>
              </w:rPr>
            </w:pPr>
            <w:r>
              <w:rPr>
                <w:rFonts w:ascii="Arial" w:cs="Arial" w:eastAsia="Arial" w:hAnsi="Arial"/>
                <w:sz w:val="20"/>
                <w:szCs w:val="20"/>
                <w:color w:val="auto"/>
              </w:rPr>
              <w:t>Total liabilities and stockholders’ deficit</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622,318</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656,024</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 w:name="page6"/>
    <w:bookmarkEnd w:id="5"/>
    <w:p>
      <w:pPr>
        <w:jc w:val="center"/>
        <w:spacing w:after="0" w:line="255" w:lineRule="auto"/>
        <w:rPr>
          <w:sz w:val="20"/>
          <w:szCs w:val="20"/>
          <w:color w:val="auto"/>
        </w:rPr>
      </w:pPr>
      <w:r>
        <w:rPr>
          <w:rFonts w:ascii="Arial" w:cs="Arial" w:eastAsia="Arial" w:hAnsi="Arial"/>
          <w:sz w:val="20"/>
          <w:szCs w:val="20"/>
          <w:b w:val="1"/>
          <w:bCs w:val="1"/>
          <w:color w:val="auto"/>
        </w:rPr>
        <w:t xml:space="preserve">Array Technologies, Inc. and Subsidiaries Condensed Consolidated Statements of Operations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gridSpan w:val="5"/>
          </w:tcPr>
          <w:p>
            <w:pPr>
              <w:ind w:left="360"/>
              <w:spacing w:after="0"/>
              <w:rPr>
                <w:sz w:val="20"/>
                <w:szCs w:val="20"/>
                <w:color w:val="auto"/>
              </w:rPr>
            </w:pPr>
            <w:r>
              <w:rPr>
                <w:rFonts w:ascii="Arial" w:cs="Arial" w:eastAsia="Arial" w:hAnsi="Arial"/>
                <w:sz w:val="20"/>
                <w:szCs w:val="20"/>
                <w:b w:val="1"/>
                <w:bCs w:val="1"/>
                <w:color w:val="auto"/>
              </w:rPr>
              <w:t>Three Months Ended</w:t>
            </w:r>
          </w:p>
        </w:tc>
        <w:tc>
          <w:tcPr>
            <w:tcW w:w="360" w:type="dxa"/>
            <w:vAlign w:val="bottom"/>
          </w:tcPr>
          <w:p>
            <w:pPr>
              <w:spacing w:after="0"/>
              <w:rPr>
                <w:sz w:val="19"/>
                <w:szCs w:val="19"/>
                <w:color w:val="auto"/>
              </w:rPr>
            </w:pPr>
          </w:p>
        </w:tc>
        <w:tc>
          <w:tcPr>
            <w:tcW w:w="3080" w:type="dxa"/>
            <w:vAlign w:val="bottom"/>
            <w:gridSpan w:val="4"/>
          </w:tcPr>
          <w:p>
            <w:pPr>
              <w:jc w:val="right"/>
              <w:ind w:right="781"/>
              <w:spacing w:after="0"/>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June 30,</w:t>
            </w:r>
          </w:p>
        </w:tc>
        <w:tc>
          <w:tcPr>
            <w:tcW w:w="12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June 30,</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202,796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114,916</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448,728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552,634</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176,009</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92,714</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378,083</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412,016</w:t>
            </w: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Gross profit</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26,787</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22,202</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70,645</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140,618</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15,113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11,192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39,786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22,899</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3,430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2,417</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5,981</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6,369</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11,965</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12,743</w:t>
            </w: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21,081</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20,991</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51,886</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38,059</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from operations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5,706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18,759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102,559</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(2,242)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(2,134)</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(6,651)</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(2,411)</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(15,660)</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(7,640)</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Total other expense</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(6,773)</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(4,653)</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(15,860)</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before income tax expense</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(3,442)</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2,899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92,785</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 (benefit)</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(1,050)</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(5,834)</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16,708</w:t>
            </w:r>
          </w:p>
        </w:tc>
        <w:tc>
          <w:tcPr>
            <w:tcW w:w="0" w:type="dxa"/>
            <w:vAlign w:val="bottom"/>
          </w:tcPr>
          <w:p>
            <w:pPr>
              <w:spacing w:after="0"/>
              <w:rPr>
                <w:sz w:val="1"/>
                <w:szCs w:val="1"/>
                <w:color w:val="auto"/>
              </w:rPr>
            </w:pPr>
          </w:p>
        </w:tc>
      </w:tr>
      <w:tr>
        <w:trPr>
          <w:trHeight w:val="262"/>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2,392</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2,870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76,077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Earnings (loss) per share</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20"/>
                <w:szCs w:val="20"/>
                <w:color w:val="auto"/>
              </w:rPr>
              <w:t>Basic</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0.02</w:t>
            </w:r>
          </w:p>
        </w:tc>
        <w:tc>
          <w:tcPr>
            <w:tcW w:w="140" w:type="dxa"/>
            <w:vAlign w:val="bottom"/>
          </w:tcPr>
          <w:p>
            <w:pPr>
              <w:spacing w:after="0"/>
              <w:rPr>
                <w:sz w:val="21"/>
                <w:szCs w:val="21"/>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1"/>
                <w:szCs w:val="21"/>
                <w:color w:val="auto"/>
              </w:rPr>
            </w:pP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0.63</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Diluted</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0.02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0.63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shares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Pr>
          <w:p>
            <w:pPr>
              <w:ind w:left="220"/>
              <w:spacing w:after="0" w:line="217" w:lineRule="exact"/>
              <w:rPr>
                <w:sz w:val="20"/>
                <w:szCs w:val="20"/>
                <w:color w:val="auto"/>
              </w:rPr>
            </w:pPr>
            <w:r>
              <w:rPr>
                <w:rFonts w:ascii="Arial" w:cs="Arial" w:eastAsia="Arial" w:hAnsi="Arial"/>
                <w:sz w:val="20"/>
                <w:szCs w:val="20"/>
                <w:color w:val="auto"/>
              </w:rPr>
              <w:t>Diluted</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126,994</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119,994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rPr>
              <w:t>127,203</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53975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084" w:right="379" w:bottom="1440" w:gutter="0" w:footer="0" w:header="0"/>
        </w:sectPr>
      </w:pPr>
    </w:p>
    <w:bookmarkStart w:id="6" w:name="page7"/>
    <w:bookmarkEnd w:id="6"/>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Condensed Consolidated Statements of Changes in Member’s Equity/Stockholders’ Deficit</w:t>
      </w:r>
    </w:p>
    <w:p>
      <w:pPr>
        <w:jc w:val="center"/>
        <w:spacing w:after="0" w:line="225" w:lineRule="auto"/>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40" w:type="dxa"/>
            <w:vAlign w:val="bottom"/>
            <w:gridSpan w:val="7"/>
          </w:tcPr>
          <w:p>
            <w:pPr>
              <w:spacing w:after="0"/>
              <w:rPr>
                <w:sz w:val="20"/>
                <w:szCs w:val="20"/>
                <w:color w:val="auto"/>
              </w:rPr>
            </w:pPr>
            <w:r>
              <w:rPr>
                <w:rFonts w:ascii="Arial" w:cs="Arial" w:eastAsia="Arial" w:hAnsi="Arial"/>
                <w:sz w:val="20"/>
                <w:szCs w:val="20"/>
                <w:b w:val="1"/>
                <w:bCs w:val="1"/>
                <w:i w:val="1"/>
                <w:iCs w:val="1"/>
                <w:color w:val="auto"/>
              </w:rPr>
              <w:t>For the Three Months Ended June 30, 2021</w:t>
            </w: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9"/>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ind w:left="260"/>
              <w:spacing w:after="0"/>
              <w:rPr>
                <w:sz w:val="20"/>
                <w:szCs w:val="20"/>
                <w:color w:val="auto"/>
              </w:rPr>
            </w:pPr>
            <w:r>
              <w:rPr>
                <w:rFonts w:ascii="Arial" w:cs="Arial" w:eastAsia="Arial" w:hAnsi="Arial"/>
                <w:sz w:val="20"/>
                <w:szCs w:val="20"/>
                <w:b w:val="1"/>
                <w:bCs w:val="1"/>
                <w:color w:val="auto"/>
              </w:rPr>
              <w:t>Preferred Stock</w:t>
            </w:r>
          </w:p>
        </w:tc>
        <w:tc>
          <w:tcPr>
            <w:tcW w:w="80" w:type="dxa"/>
            <w:vAlign w:val="bottom"/>
          </w:tcPr>
          <w:p>
            <w:pPr>
              <w:spacing w:after="0"/>
              <w:rPr>
                <w:sz w:val="24"/>
                <w:szCs w:val="24"/>
                <w:color w:val="auto"/>
              </w:rPr>
            </w:pPr>
          </w:p>
        </w:tc>
        <w:tc>
          <w:tcPr>
            <w:tcW w:w="198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20"/>
                <w:szCs w:val="20"/>
                <w:b w:val="1"/>
                <w:bCs w:val="1"/>
                <w:color w:val="auto"/>
              </w:rPr>
              <w:t>Common Stock</w:t>
            </w:r>
          </w:p>
        </w:tc>
        <w:tc>
          <w:tcPr>
            <w:tcW w:w="8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Additional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980" w:type="dxa"/>
            <w:vAlign w:val="bottom"/>
            <w:gridSpan w:val="2"/>
            <w:vMerge w:val="restart"/>
          </w:tcPr>
          <w:p>
            <w:pPr>
              <w:jc w:val="right"/>
              <w:ind w:right="21"/>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1060" w:type="dxa"/>
            <w:vAlign w:val="bottom"/>
            <w:gridSpan w:val="2"/>
          </w:tcPr>
          <w:p>
            <w:pPr>
              <w:jc w:val="center"/>
              <w:spacing w:after="0" w:line="169" w:lineRule="exact"/>
              <w:rPr>
                <w:sz w:val="20"/>
                <w:szCs w:val="20"/>
                <w:color w:val="auto"/>
              </w:rPr>
            </w:pPr>
            <w:r>
              <w:rPr>
                <w:rFonts w:ascii="Arial" w:cs="Arial" w:eastAsia="Arial" w:hAnsi="Arial"/>
                <w:sz w:val="19"/>
                <w:szCs w:val="19"/>
                <w:b w:val="1"/>
                <w:bCs w:val="1"/>
                <w:color w:val="auto"/>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ind w:left="160"/>
              <w:spacing w:after="0" w:line="169" w:lineRule="exact"/>
              <w:rPr>
                <w:sz w:val="20"/>
                <w:szCs w:val="20"/>
                <w:color w:val="auto"/>
              </w:rPr>
            </w:pPr>
            <w:r>
              <w:rPr>
                <w:rFonts w:ascii="Arial" w:cs="Arial" w:eastAsia="Arial" w:hAnsi="Arial"/>
                <w:sz w:val="19"/>
                <w:szCs w:val="19"/>
                <w:b w:val="1"/>
                <w:bCs w:val="1"/>
                <w:color w:val="auto"/>
              </w:rPr>
              <w:t>Retained</w:t>
            </w:r>
          </w:p>
        </w:tc>
        <w:tc>
          <w:tcPr>
            <w:tcW w:w="2020" w:type="dxa"/>
            <w:vAlign w:val="bottom"/>
            <w:gridSpan w:val="2"/>
          </w:tcPr>
          <w:p>
            <w:pPr>
              <w:jc w:val="right"/>
              <w:ind w:right="1"/>
              <w:spacing w:after="0" w:line="169" w:lineRule="exact"/>
              <w:rPr>
                <w:sz w:val="20"/>
                <w:szCs w:val="20"/>
                <w:color w:val="auto"/>
              </w:rPr>
            </w:pPr>
            <w:r>
              <w:rPr>
                <w:rFonts w:ascii="Arial" w:cs="Arial" w:eastAsia="Arial" w:hAnsi="Arial"/>
                <w:sz w:val="19"/>
                <w:szCs w:val="19"/>
                <w:b w:val="1"/>
                <w:bCs w:val="1"/>
                <w:color w:val="auto"/>
              </w:rPr>
              <w:t>Total Stockholders’</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8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capital</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gridSpan w:val="4"/>
          </w:tcPr>
          <w:p>
            <w:pPr>
              <w:ind w:left="160"/>
              <w:spacing w:after="0"/>
              <w:rPr>
                <w:sz w:val="20"/>
                <w:szCs w:val="20"/>
                <w:color w:val="auto"/>
              </w:rPr>
            </w:pPr>
            <w:r>
              <w:rPr>
                <w:rFonts w:ascii="Arial" w:cs="Arial" w:eastAsia="Arial" w:hAnsi="Arial"/>
                <w:sz w:val="20"/>
                <w:szCs w:val="20"/>
                <w:b w:val="1"/>
                <w:bCs w:val="1"/>
                <w:color w:val="auto"/>
              </w:rPr>
              <w:t>earnings</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Deficit</w:t>
            </w: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Balance, March 31, 2021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148,370</w:t>
            </w: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20"/>
                <w:szCs w:val="20"/>
                <w:color w:val="auto"/>
              </w:rPr>
              <w:t>(218,612)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83"/>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(70,115)</w:t>
            </w:r>
          </w:p>
        </w:tc>
        <w:tc>
          <w:tcPr>
            <w:tcW w:w="0" w:type="dxa"/>
            <w:vAlign w:val="bottom"/>
          </w:tcPr>
          <w:p>
            <w:pPr>
              <w:spacing w:after="0"/>
              <w:rPr>
                <w:sz w:val="1"/>
                <w:szCs w:val="1"/>
                <w:color w:val="auto"/>
              </w:rPr>
            </w:pPr>
          </w:p>
        </w:tc>
      </w:tr>
      <w:tr>
        <w:trPr>
          <w:trHeight w:val="199"/>
        </w:trPr>
        <w:tc>
          <w:tcPr>
            <w:tcW w:w="2540" w:type="dxa"/>
            <w:vAlign w:val="bottom"/>
            <w:gridSpan w:val="2"/>
          </w:tcPr>
          <w:p>
            <w:pPr>
              <w:ind w:left="20"/>
              <w:spacing w:after="0" w:line="199" w:lineRule="exact"/>
              <w:rPr>
                <w:sz w:val="20"/>
                <w:szCs w:val="20"/>
                <w:color w:val="auto"/>
              </w:rPr>
            </w:pPr>
            <w:r>
              <w:rPr>
                <w:rFonts w:ascii="Arial" w:cs="Arial" w:eastAsia="Arial" w:hAnsi="Arial"/>
                <w:sz w:val="20"/>
                <w:szCs w:val="20"/>
                <w:color w:val="auto"/>
              </w:rPr>
              <w:t>Equity-based</w:t>
            </w:r>
          </w:p>
        </w:tc>
        <w:tc>
          <w:tcPr>
            <w:tcW w:w="1000" w:type="dxa"/>
            <w:vAlign w:val="bottom"/>
            <w:gridSpan w:val="2"/>
            <w:vMerge w:val="restart"/>
          </w:tcPr>
          <w:p>
            <w:pPr>
              <w:ind w:left="6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1060" w:type="dxa"/>
            <w:vAlign w:val="bottom"/>
            <w:gridSpan w:val="2"/>
            <w:vMerge w:val="restart"/>
          </w:tcPr>
          <w:p>
            <w:pPr>
              <w:ind w:left="700"/>
              <w:spacing w:after="0"/>
              <w:rPr>
                <w:sz w:val="20"/>
                <w:szCs w:val="20"/>
                <w:color w:val="auto"/>
              </w:rPr>
            </w:pPr>
            <w:r>
              <w:rPr>
                <w:rFonts w:ascii="Arial" w:cs="Arial" w:eastAsia="Arial" w:hAnsi="Arial"/>
                <w:sz w:val="20"/>
                <w:szCs w:val="20"/>
                <w:color w:val="auto"/>
              </w:rPr>
              <w:t>—</w:t>
            </w:r>
          </w:p>
        </w:tc>
        <w:tc>
          <w:tcPr>
            <w:tcW w:w="1000" w:type="dxa"/>
            <w:vAlign w:val="bottom"/>
            <w:gridSpan w:val="2"/>
            <w:vMerge w:val="restart"/>
          </w:tcPr>
          <w:p>
            <w:pPr>
              <w:ind w:left="64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7"/>
                <w:szCs w:val="1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1,523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4"/>
            <w:vMerge w:val="restart"/>
          </w:tcPr>
          <w:p>
            <w:pPr>
              <w:jc w:val="right"/>
              <w:ind w:right="160"/>
              <w:spacing w:after="0"/>
              <w:rPr>
                <w:sz w:val="20"/>
                <w:szCs w:val="20"/>
                <w:color w:val="auto"/>
              </w:rPr>
            </w:pPr>
            <w:r>
              <w:rPr>
                <w:rFonts w:ascii="Arial" w:cs="Arial" w:eastAsia="Arial" w:hAnsi="Arial"/>
                <w:sz w:val="20"/>
                <w:szCs w:val="20"/>
                <w:color w:val="auto"/>
                <w:w w:val="99"/>
              </w:rPr>
              <w:t>—</w:t>
            </w:r>
          </w:p>
        </w:tc>
        <w:tc>
          <w:tcPr>
            <w:tcW w:w="42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1,523</w:t>
            </w:r>
          </w:p>
        </w:tc>
        <w:tc>
          <w:tcPr>
            <w:tcW w:w="0" w:type="dxa"/>
            <w:vAlign w:val="bottom"/>
          </w:tcPr>
          <w:p>
            <w:pPr>
              <w:spacing w:after="0"/>
              <w:rPr>
                <w:sz w:val="1"/>
                <w:szCs w:val="1"/>
                <w:color w:val="auto"/>
              </w:rPr>
            </w:pP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20"/>
                <w:szCs w:val="20"/>
                <w:color w:val="auto"/>
              </w:rPr>
              <w:t>compensation</w:t>
            </w:r>
          </w:p>
        </w:tc>
        <w:tc>
          <w:tcPr>
            <w:tcW w:w="10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Balance, June 30, 2021</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  149,893</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  (218,629)</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183"/>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(68,609)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4740" w:type="dxa"/>
            <w:vAlign w:val="bottom"/>
            <w:gridSpan w:val="7"/>
          </w:tcPr>
          <w:p>
            <w:pPr>
              <w:spacing w:after="0"/>
              <w:rPr>
                <w:sz w:val="20"/>
                <w:szCs w:val="20"/>
                <w:color w:val="auto"/>
              </w:rPr>
            </w:pPr>
            <w:r>
              <w:rPr>
                <w:rFonts w:ascii="Arial" w:cs="Arial" w:eastAsia="Arial" w:hAnsi="Arial"/>
                <w:sz w:val="20"/>
                <w:szCs w:val="20"/>
                <w:b w:val="1"/>
                <w:bCs w:val="1"/>
                <w:i w:val="1"/>
                <w:iCs w:val="1"/>
                <w:color w:val="auto"/>
              </w:rPr>
              <w:t>For the Three Months Ended June 30, 2020</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4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20"/>
                <w:szCs w:val="20"/>
                <w:b w:val="1"/>
                <w:bCs w:val="1"/>
                <w:color w:val="auto"/>
                <w:w w:val="96"/>
              </w:rPr>
              <w:t>Units (*)</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Total Members’ Equity</w:t>
            </w:r>
          </w:p>
        </w:tc>
        <w:tc>
          <w:tcPr>
            <w:tcW w:w="0" w:type="dxa"/>
            <w:vAlign w:val="bottom"/>
          </w:tcPr>
          <w:p>
            <w:pPr>
              <w:spacing w:after="0"/>
              <w:rPr>
                <w:sz w:val="1"/>
                <w:szCs w:val="1"/>
                <w:color w:val="auto"/>
              </w:rPr>
            </w:pPr>
          </w:p>
        </w:tc>
      </w:tr>
      <w:tr>
        <w:trPr>
          <w:trHeight w:val="23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Balance, March 31, 2020</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380,594</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20"/>
                <w:szCs w:val="20"/>
                <w:color w:val="auto"/>
              </w:rPr>
              <w:t>Equity-based compensation</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653</w:t>
            </w: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2,392</w:t>
            </w:r>
          </w:p>
        </w:tc>
        <w:tc>
          <w:tcPr>
            <w:tcW w:w="0" w:type="dxa"/>
            <w:vAlign w:val="bottom"/>
          </w:tcPr>
          <w:p>
            <w:pPr>
              <w:spacing w:after="0"/>
              <w:rPr>
                <w:sz w:val="1"/>
                <w:szCs w:val="1"/>
                <w:color w:val="auto"/>
              </w:rPr>
            </w:pPr>
          </w:p>
        </w:tc>
      </w:tr>
      <w:tr>
        <w:trPr>
          <w:trHeight w:val="236"/>
        </w:trPr>
        <w:tc>
          <w:tcPr>
            <w:tcW w:w="2540" w:type="dxa"/>
            <w:vAlign w:val="bottom"/>
            <w:gridSpan w:val="2"/>
          </w:tcPr>
          <w:p>
            <w:pPr>
              <w:ind w:left="20"/>
              <w:spacing w:after="0"/>
              <w:rPr>
                <w:sz w:val="20"/>
                <w:szCs w:val="20"/>
                <w:color w:val="auto"/>
              </w:rPr>
            </w:pPr>
            <w:r>
              <w:rPr>
                <w:rFonts w:ascii="Arial" w:cs="Arial" w:eastAsia="Arial" w:hAnsi="Arial"/>
                <w:sz w:val="20"/>
                <w:szCs w:val="20"/>
                <w:b w:val="1"/>
                <w:bCs w:val="1"/>
                <w:color w:val="auto"/>
              </w:rPr>
              <w:t>Balance, June 30, 2020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1</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383,639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4"/>
          <w:szCs w:val="24"/>
          <w:b w:val="1"/>
          <w:bCs w:val="1"/>
          <w:color w:val="auto"/>
          <w:vertAlign w:val="superscript"/>
        </w:rPr>
      </w:pPr>
      <w:r>
        <w:rPr>
          <w:rFonts w:ascii="Arial" w:cs="Arial" w:eastAsia="Arial" w:hAnsi="Arial"/>
          <w:sz w:val="18"/>
          <w:szCs w:val="18"/>
          <w:color w:val="auto"/>
        </w:rPr>
        <w:t>See note 2 - Summary of Significant Accounting Policies - corporate conversion and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 w:name="page8"/>
    <w:bookmarkEnd w:id="7"/>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Condensed Consolidated Statements of Changes in Member’s Equity/Stockholders’ Deficit (continued)</w:t>
      </w:r>
    </w:p>
    <w:p>
      <w:pPr>
        <w:jc w:val="center"/>
        <w:spacing w:after="0" w:line="225" w:lineRule="auto"/>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20" w:type="dxa"/>
            <w:vAlign w:val="bottom"/>
            <w:gridSpan w:val="7"/>
          </w:tcPr>
          <w:p>
            <w:pPr>
              <w:spacing w:after="0"/>
              <w:rPr>
                <w:sz w:val="20"/>
                <w:szCs w:val="20"/>
                <w:color w:val="auto"/>
              </w:rPr>
            </w:pPr>
            <w:r>
              <w:rPr>
                <w:rFonts w:ascii="Arial" w:cs="Arial" w:eastAsia="Arial" w:hAnsi="Arial"/>
                <w:sz w:val="20"/>
                <w:szCs w:val="20"/>
                <w:b w:val="1"/>
                <w:bCs w:val="1"/>
                <w:i w:val="1"/>
                <w:iCs w:val="1"/>
                <w:color w:val="auto"/>
              </w:rPr>
              <w:t>For the Six Months Ended June 30, 2021</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ind w:left="260"/>
              <w:spacing w:after="0"/>
              <w:rPr>
                <w:sz w:val="20"/>
                <w:szCs w:val="20"/>
                <w:color w:val="auto"/>
              </w:rPr>
            </w:pPr>
            <w:r>
              <w:rPr>
                <w:rFonts w:ascii="Arial" w:cs="Arial" w:eastAsia="Arial" w:hAnsi="Arial"/>
                <w:sz w:val="20"/>
                <w:szCs w:val="20"/>
                <w:b w:val="1"/>
                <w:bCs w:val="1"/>
                <w:color w:val="auto"/>
              </w:rPr>
              <w:t>Preferred Stock</w:t>
            </w:r>
          </w:p>
        </w:tc>
        <w:tc>
          <w:tcPr>
            <w:tcW w:w="80" w:type="dxa"/>
            <w:vAlign w:val="bottom"/>
          </w:tcPr>
          <w:p>
            <w:pPr>
              <w:spacing w:after="0"/>
              <w:rPr>
                <w:sz w:val="23"/>
                <w:szCs w:val="23"/>
                <w:color w:val="auto"/>
              </w:rPr>
            </w:pPr>
          </w:p>
        </w:tc>
        <w:tc>
          <w:tcPr>
            <w:tcW w:w="200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20"/>
                <w:szCs w:val="20"/>
                <w:b w:val="1"/>
                <w:bCs w:val="1"/>
                <w:color w:val="auto"/>
              </w:rPr>
              <w:t>Common Stock</w:t>
            </w:r>
          </w:p>
        </w:tc>
        <w:tc>
          <w:tcPr>
            <w:tcW w:w="80" w:type="dxa"/>
            <w:vAlign w:val="bottom"/>
          </w:tcPr>
          <w:p>
            <w:pPr>
              <w:spacing w:after="0"/>
              <w:rPr>
                <w:sz w:val="23"/>
                <w:szCs w:val="23"/>
                <w:color w:val="auto"/>
              </w:rPr>
            </w:pPr>
          </w:p>
        </w:tc>
        <w:tc>
          <w:tcPr>
            <w:tcW w:w="1060" w:type="dxa"/>
            <w:vAlign w:val="bottom"/>
            <w:gridSpan w:val="3"/>
          </w:tcPr>
          <w:p>
            <w:pPr>
              <w:jc w:val="center"/>
              <w:spacing w:after="0"/>
              <w:rPr>
                <w:sz w:val="20"/>
                <w:szCs w:val="20"/>
                <w:color w:val="auto"/>
              </w:rPr>
            </w:pPr>
            <w:r>
              <w:rPr>
                <w:rFonts w:ascii="Arial" w:cs="Arial" w:eastAsia="Arial" w:hAnsi="Arial"/>
                <w:sz w:val="20"/>
                <w:szCs w:val="20"/>
                <w:b w:val="1"/>
                <w:bCs w:val="1"/>
                <w:color w:val="auto"/>
                <w:w w:val="98"/>
              </w:rPr>
              <w:t>Additional</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980" w:type="dxa"/>
            <w:vAlign w:val="bottom"/>
            <w:gridSpan w:val="2"/>
            <w:vMerge w:val="restart"/>
          </w:tcPr>
          <w:p>
            <w:pPr>
              <w:jc w:val="right"/>
              <w:ind w:right="21"/>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1"/>
              <w:spacing w:after="0" w:line="169" w:lineRule="exact"/>
              <w:rPr>
                <w:sz w:val="20"/>
                <w:szCs w:val="20"/>
                <w:color w:val="auto"/>
              </w:rPr>
            </w:pPr>
            <w:r>
              <w:rPr>
                <w:rFonts w:ascii="Arial" w:cs="Arial" w:eastAsia="Arial" w:hAnsi="Arial"/>
                <w:sz w:val="19"/>
                <w:szCs w:val="19"/>
                <w:b w:val="1"/>
                <w:bCs w:val="1"/>
                <w:color w:val="auto"/>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ind w:left="20"/>
              <w:spacing w:after="0" w:line="169" w:lineRule="exact"/>
              <w:rPr>
                <w:sz w:val="20"/>
                <w:szCs w:val="20"/>
                <w:color w:val="auto"/>
              </w:rPr>
            </w:pPr>
            <w:r>
              <w:rPr>
                <w:rFonts w:ascii="Arial" w:cs="Arial" w:eastAsia="Arial" w:hAnsi="Arial"/>
                <w:sz w:val="19"/>
                <w:szCs w:val="19"/>
                <w:b w:val="1"/>
                <w:bCs w:val="1"/>
                <w:color w:val="auto"/>
              </w:rPr>
              <w:t>Retained</w:t>
            </w:r>
          </w:p>
        </w:tc>
        <w:tc>
          <w:tcPr>
            <w:tcW w:w="2020" w:type="dxa"/>
            <w:vAlign w:val="bottom"/>
            <w:gridSpan w:val="2"/>
          </w:tcPr>
          <w:p>
            <w:pPr>
              <w:jc w:val="right"/>
              <w:ind w:right="1"/>
              <w:spacing w:after="0" w:line="169" w:lineRule="exact"/>
              <w:rPr>
                <w:sz w:val="20"/>
                <w:szCs w:val="20"/>
                <w:color w:val="auto"/>
              </w:rPr>
            </w:pPr>
            <w:r>
              <w:rPr>
                <w:rFonts w:ascii="Arial" w:cs="Arial" w:eastAsia="Arial" w:hAnsi="Arial"/>
                <w:sz w:val="19"/>
                <w:szCs w:val="19"/>
                <w:b w:val="1"/>
                <w:bCs w:val="1"/>
                <w:color w:val="auto"/>
              </w:rPr>
              <w:t>Total Stockholders’</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8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20"/>
                <w:szCs w:val="20"/>
                <w:b w:val="1"/>
                <w:bCs w:val="1"/>
                <w:color w:val="auto"/>
              </w:rPr>
              <w:t>capital</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deficit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Deficit</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December 31,</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4"/>
            <w:vMerge w:val="restart"/>
            <w:shd w:val="clear" w:color="auto" w:fill="CCEEFF"/>
          </w:tcPr>
          <w:p>
            <w:pPr>
              <w:jc w:val="right"/>
              <w:spacing w:after="0"/>
              <w:rPr>
                <w:sz w:val="20"/>
                <w:szCs w:val="20"/>
                <w:color w:val="auto"/>
              </w:rPr>
            </w:pPr>
            <w:r>
              <w:rPr>
                <w:rFonts w:ascii="Arial" w:cs="Arial" w:eastAsia="Arial" w:hAnsi="Arial"/>
                <w:sz w:val="20"/>
                <w:szCs w:val="20"/>
                <w:color w:val="auto"/>
              </w:rPr>
              <w:t>(221,499)</w:t>
            </w:r>
          </w:p>
        </w:tc>
        <w:tc>
          <w:tcPr>
            <w:tcW w:w="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183"/>
              <w:spacing w:after="0"/>
              <w:rPr>
                <w:sz w:val="20"/>
                <w:szCs w:val="20"/>
                <w:color w:val="auto"/>
              </w:rPr>
            </w:pPr>
            <w:r>
              <w:rPr>
                <w:rFonts w:ascii="Arial" w:cs="Arial" w:eastAsia="Arial" w:hAnsi="Arial"/>
                <w:sz w:val="20"/>
                <w:szCs w:val="20"/>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80" w:type="dxa"/>
            <w:vAlign w:val="bottom"/>
            <w:gridSpan w:val="3"/>
            <w:vMerge w:val="continue"/>
            <w:shd w:val="clear" w:color="auto" w:fill="CCEEFF"/>
          </w:tcPr>
          <w:p>
            <w:pPr>
              <w:spacing w:after="0"/>
              <w:rPr>
                <w:sz w:val="21"/>
                <w:szCs w:val="21"/>
                <w:color w:val="auto"/>
              </w:rPr>
            </w:pPr>
          </w:p>
        </w:tc>
        <w:tc>
          <w:tcPr>
            <w:tcW w:w="1000" w:type="dxa"/>
            <w:vAlign w:val="bottom"/>
            <w:gridSpan w:val="4"/>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540" w:type="dxa"/>
            <w:vAlign w:val="bottom"/>
            <w:gridSpan w:val="2"/>
          </w:tcPr>
          <w:p>
            <w:pPr>
              <w:ind w:left="20"/>
              <w:spacing w:after="0" w:line="199" w:lineRule="exact"/>
              <w:rPr>
                <w:sz w:val="20"/>
                <w:szCs w:val="20"/>
                <w:color w:val="auto"/>
              </w:rPr>
            </w:pPr>
            <w:r>
              <w:rPr>
                <w:rFonts w:ascii="Arial" w:cs="Arial" w:eastAsia="Arial" w:hAnsi="Arial"/>
                <w:sz w:val="20"/>
                <w:szCs w:val="20"/>
                <w:color w:val="auto"/>
              </w:rPr>
              <w:t>Equity-based</w:t>
            </w:r>
          </w:p>
        </w:tc>
        <w:tc>
          <w:tcPr>
            <w:tcW w:w="1000" w:type="dxa"/>
            <w:vAlign w:val="bottom"/>
            <w:gridSpan w:val="2"/>
            <w:vMerge w:val="restart"/>
          </w:tcPr>
          <w:p>
            <w:pPr>
              <w:ind w:left="6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7"/>
                <w:szCs w:val="1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20"/>
                <w:szCs w:val="20"/>
                <w:color w:val="auto"/>
              </w:rPr>
              <w:t>9,420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4"/>
            <w:vMerge w:val="restart"/>
          </w:tcPr>
          <w:p>
            <w:pPr>
              <w:jc w:val="right"/>
              <w:ind w:right="160"/>
              <w:spacing w:after="0"/>
              <w:rPr>
                <w:sz w:val="20"/>
                <w:szCs w:val="20"/>
                <w:color w:val="auto"/>
              </w:rPr>
            </w:pPr>
            <w:r>
              <w:rPr>
                <w:rFonts w:ascii="Arial" w:cs="Arial" w:eastAsia="Arial" w:hAnsi="Arial"/>
                <w:sz w:val="20"/>
                <w:szCs w:val="20"/>
                <w:color w:val="auto"/>
                <w:w w:val="89"/>
              </w:rPr>
              <w:t>—</w:t>
            </w:r>
          </w:p>
        </w:tc>
        <w:tc>
          <w:tcPr>
            <w:tcW w:w="42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9,420</w:t>
            </w:r>
          </w:p>
        </w:tc>
        <w:tc>
          <w:tcPr>
            <w:tcW w:w="0" w:type="dxa"/>
            <w:vAlign w:val="bottom"/>
          </w:tcPr>
          <w:p>
            <w:pPr>
              <w:spacing w:after="0"/>
              <w:rPr>
                <w:sz w:val="1"/>
                <w:szCs w:val="1"/>
                <w:color w:val="auto"/>
              </w:rPr>
            </w:pP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20"/>
                <w:szCs w:val="20"/>
                <w:color w:val="auto"/>
              </w:rPr>
              <w:t>compensation</w:t>
            </w:r>
          </w:p>
        </w:tc>
        <w:tc>
          <w:tcPr>
            <w:tcW w:w="10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gridSpan w:val="4"/>
            <w:vMerge w:val="continue"/>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20"/>
                <w:szCs w:val="20"/>
                <w:color w:val="auto"/>
              </w:rPr>
              <w:t>2,870</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2,870</w:t>
            </w:r>
          </w:p>
        </w:tc>
        <w:tc>
          <w:tcPr>
            <w:tcW w:w="0" w:type="dxa"/>
            <w:vAlign w:val="bottom"/>
          </w:tcPr>
          <w:p>
            <w:pPr>
              <w:spacing w:after="0"/>
              <w:rPr>
                <w:sz w:val="1"/>
                <w:szCs w:val="1"/>
                <w:color w:val="auto"/>
              </w:rPr>
            </w:pPr>
          </w:p>
        </w:tc>
      </w:tr>
      <w:tr>
        <w:trPr>
          <w:trHeight w:val="236"/>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Balance, June 30, 2021</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149,893</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(218,629)</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183"/>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(68,609)</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8"/>
        </w:trPr>
        <w:tc>
          <w:tcPr>
            <w:tcW w:w="4720" w:type="dxa"/>
            <w:vAlign w:val="bottom"/>
            <w:gridSpan w:val="7"/>
          </w:tcPr>
          <w:p>
            <w:pPr>
              <w:spacing w:after="0"/>
              <w:rPr>
                <w:sz w:val="20"/>
                <w:szCs w:val="20"/>
                <w:color w:val="auto"/>
              </w:rPr>
            </w:pPr>
            <w:r>
              <w:rPr>
                <w:rFonts w:ascii="Arial" w:cs="Arial" w:eastAsia="Arial" w:hAnsi="Arial"/>
                <w:sz w:val="20"/>
                <w:szCs w:val="20"/>
                <w:b w:val="1"/>
                <w:bCs w:val="1"/>
                <w:i w:val="1"/>
                <w:iCs w:val="1"/>
                <w:color w:val="auto"/>
              </w:rPr>
              <w:t>For the Six Months Ended June 30, 2020</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2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20"/>
                <w:szCs w:val="20"/>
                <w:b w:val="1"/>
                <w:bCs w:val="1"/>
                <w:color w:val="auto"/>
                <w:w w:val="96"/>
              </w:rPr>
              <w:t>Units (*)</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Total Members’ Equity</w:t>
            </w:r>
          </w:p>
        </w:tc>
        <w:tc>
          <w:tcPr>
            <w:tcW w:w="0" w:type="dxa"/>
            <w:vAlign w:val="bottom"/>
          </w:tcPr>
          <w:p>
            <w:pPr>
              <w:spacing w:after="0"/>
              <w:rPr>
                <w:sz w:val="1"/>
                <w:szCs w:val="1"/>
                <w:color w:val="auto"/>
              </w:rPr>
            </w:pPr>
          </w:p>
        </w:tc>
      </w:tr>
      <w:tr>
        <w:trPr>
          <w:trHeight w:val="236"/>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20"/>
                <w:szCs w:val="20"/>
                <w:b w:val="1"/>
                <w:bCs w:val="1"/>
                <w:color w:val="auto"/>
              </w:rPr>
              <w:t>Balance, December 31, 2019</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305,151</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20"/>
                <w:szCs w:val="20"/>
                <w:color w:val="auto"/>
              </w:rPr>
              <w:t>Equity-based compensation</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2,411</w:t>
            </w: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76,077</w:t>
            </w:r>
          </w:p>
        </w:tc>
        <w:tc>
          <w:tcPr>
            <w:tcW w:w="0" w:type="dxa"/>
            <w:vAlign w:val="bottom"/>
          </w:tcPr>
          <w:p>
            <w:pPr>
              <w:spacing w:after="0"/>
              <w:rPr>
                <w:sz w:val="1"/>
                <w:szCs w:val="1"/>
                <w:color w:val="auto"/>
              </w:rPr>
            </w:pPr>
          </w:p>
        </w:tc>
      </w:tr>
      <w:tr>
        <w:trPr>
          <w:trHeight w:val="237"/>
        </w:trPr>
        <w:tc>
          <w:tcPr>
            <w:tcW w:w="2540" w:type="dxa"/>
            <w:vAlign w:val="bottom"/>
            <w:gridSpan w:val="2"/>
          </w:tcPr>
          <w:p>
            <w:pPr>
              <w:ind w:left="20"/>
              <w:spacing w:after="0"/>
              <w:rPr>
                <w:sz w:val="20"/>
                <w:szCs w:val="20"/>
                <w:color w:val="auto"/>
              </w:rPr>
            </w:pPr>
            <w:r>
              <w:rPr>
                <w:rFonts w:ascii="Arial" w:cs="Arial" w:eastAsia="Arial" w:hAnsi="Arial"/>
                <w:sz w:val="20"/>
                <w:szCs w:val="20"/>
                <w:b w:val="1"/>
                <w:bCs w:val="1"/>
                <w:color w:val="auto"/>
              </w:rPr>
              <w:t>Balance, June 30, 2020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383,639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4"/>
          <w:szCs w:val="24"/>
          <w:b w:val="1"/>
          <w:bCs w:val="1"/>
          <w:color w:val="auto"/>
          <w:vertAlign w:val="superscript"/>
        </w:rPr>
      </w:pPr>
      <w:r>
        <w:rPr>
          <w:rFonts w:ascii="Arial" w:cs="Arial" w:eastAsia="Arial" w:hAnsi="Arial"/>
          <w:sz w:val="18"/>
          <w:szCs w:val="18"/>
          <w:color w:val="auto"/>
        </w:rPr>
        <w:t>See note 2 - Summary of Significant Accounting Policies - corporate conversion and stock split.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8" w:name="page9"/>
    <w:bookmarkEnd w:id="8"/>
    <w:p>
      <w:pPr>
        <w:jc w:val="center"/>
        <w:spacing w:after="0" w:line="253" w:lineRule="auto"/>
        <w:rPr>
          <w:sz w:val="20"/>
          <w:szCs w:val="20"/>
          <w:color w:val="auto"/>
        </w:rPr>
      </w:pPr>
      <w:r>
        <w:rPr>
          <w:rFonts w:ascii="Arial" w:cs="Arial" w:eastAsia="Arial" w:hAnsi="Arial"/>
          <w:sz w:val="20"/>
          <w:szCs w:val="20"/>
          <w:b w:val="1"/>
          <w:bCs w:val="1"/>
          <w:color w:val="auto"/>
        </w:rPr>
        <w:t xml:space="preserve">Array Technologies, Inc. and Subsidiaries 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thousands)</w:t>
      </w:r>
    </w:p>
    <w:p>
      <w:pPr>
        <w:jc w:val="center"/>
        <w:ind w:left="7540"/>
        <w:spacing w:after="0" w:line="224" w:lineRule="auto"/>
        <w:rPr>
          <w:sz w:val="20"/>
          <w:szCs w:val="20"/>
          <w:color w:val="auto"/>
        </w:rPr>
      </w:pPr>
      <w:r>
        <w:rPr>
          <w:rFonts w:ascii="Arial" w:cs="Arial" w:eastAsia="Arial" w:hAnsi="Arial"/>
          <w:sz w:val="20"/>
          <w:szCs w:val="20"/>
          <w:b w:val="1"/>
          <w:bCs w:val="1"/>
          <w:color w:val="auto"/>
        </w:rPr>
        <w:t>Six Months Ended</w:t>
      </w:r>
    </w:p>
    <w:p>
      <w:pPr>
        <w:jc w:val="center"/>
        <w:ind w:left="7540"/>
        <w:spacing w:after="0"/>
        <w:rPr>
          <w:sz w:val="20"/>
          <w:szCs w:val="20"/>
          <w:color w:val="auto"/>
        </w:rPr>
      </w:pPr>
      <w:r>
        <w:rPr>
          <w:rFonts w:ascii="Arial" w:cs="Arial" w:eastAsia="Arial" w:hAnsi="Arial"/>
          <w:sz w:val="20"/>
          <w:szCs w:val="20"/>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used in operating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2,870</w:t>
            </w:r>
          </w:p>
        </w:tc>
        <w:tc>
          <w:tcPr>
            <w:tcW w:w="80" w:type="dxa"/>
            <w:vAlign w:val="bottom"/>
          </w:tcPr>
          <w:p>
            <w:pPr>
              <w:spacing w:after="0"/>
              <w:rPr>
                <w:sz w:val="23"/>
                <w:szCs w:val="23"/>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76,077</w:t>
            </w:r>
          </w:p>
        </w:tc>
      </w:tr>
      <w:tr>
        <w:trPr>
          <w:trHeight w:val="270"/>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Adjustments to reconcile net income to net cash used in operating activities: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(recovery of) bad debts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(551)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223</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benefit</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(1,376)</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12,964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13,724</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2,160</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Interest paid-in-kind</w:t>
            </w:r>
          </w:p>
        </w:tc>
        <w:tc>
          <w:tcPr>
            <w:tcW w:w="4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3,073</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Equity-based compensation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9,467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2,411</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Contingent consideration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2,417</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Warranty provision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597</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inventory obsolescence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1,236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221</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Changes in operating assets and liabilities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Accounts receivable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(34,365)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(2,590)</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Inventories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(20,443)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42,523</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Income tax receivables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7,501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(18,689)</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Prepaid expenses and other</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7,183</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Accounts payable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(1,378)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(99,396)</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payable - related party</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Accrued expenses and other</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(10,541)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(4,365)</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payable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35,824</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Lease liabilities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revenue</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(98,363)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(307,917)</w:t>
            </w:r>
          </w:p>
        </w:tc>
      </w:tr>
      <w:tr>
        <w:trPr>
          <w:trHeight w:val="250"/>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used in operating activities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(134,109)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(247,900)</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used in investing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(265)</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Investment in equity security</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(13,175)</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from financing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102,000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4,330</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term loan facility</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(31,075)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(57,702)</w:t>
            </w: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Payments on related party loans</w:t>
            </w:r>
          </w:p>
        </w:tc>
        <w:tc>
          <w:tcPr>
            <w:tcW w:w="4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(21,736)</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(7,810)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Debt issuance costs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(6,590)</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756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provided by (used in) financing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56,525</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(75,108)</w:t>
            </w:r>
          </w:p>
        </w:tc>
      </w:tr>
      <w:tr>
        <w:trPr>
          <w:trHeight w:val="250"/>
        </w:trPr>
        <w:tc>
          <w:tcPr>
            <w:tcW w:w="7560" w:type="dxa"/>
            <w:vAlign w:val="bottom"/>
          </w:tcPr>
          <w:p>
            <w:pPr>
              <w:ind w:left="20"/>
              <w:spacing w:after="0"/>
              <w:rPr>
                <w:sz w:val="20"/>
                <w:szCs w:val="20"/>
                <w:color w:val="auto"/>
              </w:rPr>
            </w:pPr>
            <w:r>
              <w:rPr>
                <w:rFonts w:ascii="Arial" w:cs="Arial" w:eastAsia="Arial" w:hAnsi="Arial"/>
                <w:sz w:val="20"/>
                <w:szCs w:val="20"/>
                <w:color w:val="auto"/>
              </w:rPr>
              <w:t>Net decrease in cash, cash equivalents and restricted cash</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(90,759)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(323,273)</w:t>
            </w: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cash equivalents and restricted cash, beginning of period</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361,257</w:t>
            </w:r>
          </w:p>
        </w:tc>
      </w:tr>
      <w:tr>
        <w:trPr>
          <w:trHeight w:val="237"/>
        </w:trPr>
        <w:tc>
          <w:tcPr>
            <w:tcW w:w="7560" w:type="dxa"/>
            <w:vAlign w:val="bottom"/>
          </w:tcPr>
          <w:p>
            <w:pPr>
              <w:ind w:left="20"/>
              <w:spacing w:after="0"/>
              <w:rPr>
                <w:sz w:val="20"/>
                <w:szCs w:val="20"/>
                <w:color w:val="auto"/>
              </w:rPr>
            </w:pPr>
            <w:r>
              <w:rPr>
                <w:rFonts w:ascii="Arial" w:cs="Arial" w:eastAsia="Arial" w:hAnsi="Arial"/>
                <w:sz w:val="20"/>
                <w:szCs w:val="20"/>
                <w:color w:val="auto"/>
              </w:rPr>
              <w:t>Cash, cash equivalents, and restricted cash, end of period</w:t>
            </w: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17,682</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37,984</w:t>
            </w:r>
          </w:p>
        </w:tc>
      </w:tr>
      <w:tr>
        <w:trPr>
          <w:trHeight w:val="20"/>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9"/>
          <w:szCs w:val="19"/>
          <w:color w:val="auto"/>
        </w:rPr>
        <w:t>The accompanying notes are an integral part of these condensed consolidated financial statements.</w:t>
      </w:r>
    </w:p>
    <w:p>
      <w:pPr>
        <w:sectPr>
          <w:pgSz w:w="11900" w:h="16838" w:orient="portrait"/>
          <w:cols w:equalWidth="0" w:num="1">
            <w:col w:w="9019"/>
          </w:cols>
          <w:pgMar w:left="1440" w:top="13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51"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Holdings, Inc. (“ATI Investment”) owns two other subsidiaries through which it conducts substantially all operations; Array Tech, Inc. and Array Technologies Patent Holdings Co., LLC (collectively “AT”).</w:t>
      </w:r>
    </w:p>
    <w:p>
      <w:pPr>
        <w:spacing w:after="0" w:line="240"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accompanying unaudited condensed financial statements have been prepared in accordance with generally accepted accounting principles in the United States of America (“U.S. GAAP”), pursuant to the rules and regulations of the Securities and Exchange Commission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and six months ended June 30, 2021 are not necessarily indicative of results to be expected for the year ending December 31, 2021 or any other interim periods, or any future year or period. The balance sheet as of December 31, 2020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Company’s 10-K filed with SEC on March 10, 2021.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Certain prior year amounts have been reclassified to conform to the current year presentation.</w:t>
      </w:r>
    </w:p>
    <w:p>
      <w:pPr>
        <w:spacing w:after="0" w:line="200" w:lineRule="exact"/>
        <w:rPr>
          <w:sz w:val="20"/>
          <w:szCs w:val="20"/>
          <w:color w:val="auto"/>
        </w:rPr>
      </w:pPr>
    </w:p>
    <w:p>
      <w:pPr>
        <w:spacing w:after="0" w:line="275"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Pronouncements</w:t>
      </w:r>
    </w:p>
    <w:p>
      <w:pPr>
        <w:spacing w:after="0" w:line="280"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 xml:space="preserve">On January 1, 2021, the Company adopted Accounting Standards Update (“ASU”) No. 2016-02 (Topic 842) “Leases” which supersedes the lease recognition requirements in ASC Topic 840, </w:t>
      </w:r>
      <w:r>
        <w:rPr>
          <w:rFonts w:ascii="Arial" w:cs="Arial" w:eastAsia="Arial" w:hAnsi="Arial"/>
          <w:sz w:val="20"/>
          <w:szCs w:val="20"/>
          <w:i w:val="1"/>
          <w:iCs w:val="1"/>
          <w:color w:val="auto"/>
        </w:rPr>
        <w:t>“Leases”</w:t>
      </w:r>
      <w:r>
        <w:rPr>
          <w:rFonts w:ascii="Arial" w:cs="Arial" w:eastAsia="Arial" w:hAnsi="Arial"/>
          <w:sz w:val="20"/>
          <w:szCs w:val="20"/>
          <w:color w:val="auto"/>
        </w:rPr>
        <w:t>. Under ASU No. 2016-02, lessees are required to recognize assets and liabilities on the consolidated balance sheets for most leases and provide enhanced disclosures. For companies that are not emerging growth companies (“EGCs”), the ASU was effective for fiscal years beginning after December 15, 2018. For EGCs, the ASU is effective for fiscal years beginning after December 15, 2021. The Company early adopted the new standard using the modified retrospective method by recording a right-of-use asset of $13.2 million, short-term portion of lease liabilities of $6.3 million and long-term portion of lease liabilities of $7.2 million as of the effective date. Prior periods will not be restated and will continue to be reported under Topic 840 guidance in effect during those periods. The Company applied the package of practical expedients to leases that commenced before the effective date whereby the Company elected to not reassess the following: (i) whether any expired or existing contracts contain leases; (ii) the lease classification for any expired or existing leases; and (iii) initial direct costs for any existing leases. The adoption did not have a material impact on its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line="330"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operations or its consolidated statements of cash flows. See Note 13, Leases, for further information and disclosures related to the adoption of this standard.</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 xml:space="preserve">In December 2019, the FASB issued ASU No.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xml:space="preserve"> (“ASU No. 2019-12”), which is intended to simplify various aspects of the accounting for income taxes. ASU No. 2019-12 removes certain exceptions to the general principles in Topic 740 and clarifies and amends existing guidance to improve consistent application. This standard is effective for fiscal years and interim periods within those fiscal years, beginning after December 15, 2020. Early adoption is permitted. The Company has adopted the pronouncement and it did not have a material impact on its consolidated financial statements and related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Conversion and Stock Split</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On October 14, 2020, prior to the issuance of any of our shares of common stock in our initial public offering (the “IPO”), we converted from a Delaware limited liability company to a Delaware corporation. In connection with the corporate conversion, we converted all 1,000 of our outstanding member units into 100,000,000 shares of common stock and then completed a stock split of 1.19994-for-1. The corporate conversion and stock split representing 119,994,467 shares of common stock have been adjusted retroactively for the purposes of calculating basic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37" w:lineRule="exact"/>
        <w:rPr>
          <w:sz w:val="20"/>
          <w:szCs w:val="20"/>
          <w:color w:val="auto"/>
        </w:rPr>
      </w:pPr>
    </w:p>
    <w:p>
      <w:pPr>
        <w:ind w:right="540"/>
        <w:spacing w:after="0" w:line="261" w:lineRule="auto"/>
        <w:rPr>
          <w:sz w:val="20"/>
          <w:szCs w:val="20"/>
          <w:color w:val="auto"/>
        </w:rPr>
      </w:pPr>
      <w:r>
        <w:rPr>
          <w:rFonts w:ascii="Arial" w:cs="Arial" w:eastAsia="Arial" w:hAnsi="Arial"/>
          <w:sz w:val="20"/>
          <w:szCs w:val="20"/>
          <w:color w:val="auto"/>
        </w:rPr>
        <w:t>The condensed consolidated financial statements include the accounts of Array Technologies, Inc. and its Subsidiaries. All intercompany accounts and transactions have been eliminated upon consolidation.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37"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Significant estimates include impairment of goodwill, impairment of long-lived assets, fair value of contingent consideration, allowance for doubtful accounts, reserve for excess or obsolete inventories, valuation of deferred tax assets and warranty reserve. Due to the COVID-19 pandemic, there has been and will continue to be uncertainty and disruption in the global economy and financial markets. Management has made estimates and assumptions taking into consideration certain possible impacts due to COVID-19. These estimates may change, as new events occur, and additional information is obtained. Actual results may differ from previously estimated amounts, and such differences may be material to the condensed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COVID-19 Pandemic</w:t>
      </w:r>
    </w:p>
    <w:p>
      <w:pPr>
        <w:spacing w:after="0" w:line="3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causing us to experience temporary decreased margins and thus decreased cash from operations. We have taken, and continue to take, mitigating steps to overcome the economic challenges and, therefore, believe the impact to be temporary, but cannot be certain the timing of when we will achieve better margins. We have sufficient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liquidity and financing options available, and we expect to have sufficient liquidity to operate for the next 12 months.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The Company has implemented adjustments to its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Equity-Based Compensation</w:t>
      </w:r>
    </w:p>
    <w:p>
      <w:pPr>
        <w:spacing w:after="0" w:line="280"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On October 14, 2020, the Company’s 2020 Equity Incentive Plan (the “2020 Plan”) became effective. Under the 2020 Plan, the Company may grant (i) restricted stock units (RSU’s) to its employees and non-employee directors in connection with their service on the board of directors, and (ii) performance stock units (“PSUs”) to certain of its executive officers and members of management. The PSUs contain performance and market conditions. The RSUs are valued at the closing stock price on the date of grant and recognized on a straight-line basis over vesting term.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the case of Class B units (the “Class B Units”) and Class C units (the “Class C Units” and, together with the Class B Units, the “Units”) of the Former Parent granted to certain employees and directors of the Company, the determination of the fair value of equity awards issued to employees of the Company was based upon the underlying share price and a number of assumptions, including volatility, performance period, risk-free interest rate and expected dividends. The Class B Units fully vested upon the completion of the Company’s follow-on offering of its common stock in March 2021 (the “2021 Follow-on Offering”) as it was considered a sale of the Former Parent and the Company recognized the remaining unamortized compensation expense of $6.3 million.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Accounting Standards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 be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 xml:space="preserve">In June 2016, the FASB issued ASU No. 2016-13, </w:t>
      </w:r>
      <w:r>
        <w:rPr>
          <w:rFonts w:ascii="Arial" w:cs="Arial" w:eastAsia="Arial" w:hAnsi="Arial"/>
          <w:sz w:val="20"/>
          <w:szCs w:val="20"/>
          <w:i w:val="1"/>
          <w:iCs w:val="1"/>
          <w:color w:val="auto"/>
        </w:rPr>
        <w:t>Financial Instruments - Credit Losses</w:t>
      </w:r>
      <w:r>
        <w:rPr>
          <w:rFonts w:ascii="Arial" w:cs="Arial" w:eastAsia="Arial" w:hAnsi="Arial"/>
          <w:sz w:val="20"/>
          <w:szCs w:val="20"/>
          <w:color w:val="auto"/>
        </w:rPr>
        <w:t>, which was subsequently amended by ASU No. 2018-19 and ASU No. 2019-10,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standard is effective for EGCs the fiscal year beginning after December 15, 2022, or December 15, 2021 if we were to lose EGC status in 2021. The Company will continue to assess the possible impact of this standard, but currently does not expect the adoption of this standard will have a significant impact on its consolidated financial statements and its limited history of bad debt expense relating to trade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0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86"/>
        </w:trPr>
        <w:tc>
          <w:tcPr>
            <w:tcW w:w="70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7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w:t>
            </w:r>
          </w:p>
        </w:tc>
        <w:tc>
          <w:tcPr>
            <w:tcW w:w="300" w:type="dxa"/>
            <w:vAlign w:val="bottom"/>
          </w:tcPr>
          <w:p>
            <w:pPr>
              <w:spacing w:after="0"/>
              <w:rPr>
                <w:sz w:val="24"/>
                <w:szCs w:val="24"/>
                <w:color w:val="auto"/>
              </w:rPr>
            </w:pPr>
          </w:p>
        </w:tc>
        <w:tc>
          <w:tcPr>
            <w:tcW w:w="1780" w:type="dxa"/>
            <w:vAlign w:val="bottom"/>
          </w:tcPr>
          <w:p>
            <w:pPr>
              <w:jc w:val="right"/>
              <w:ind w:right="301"/>
              <w:spacing w:after="0"/>
              <w:rPr>
                <w:sz w:val="20"/>
                <w:szCs w:val="20"/>
                <w:color w:val="auto"/>
              </w:rPr>
            </w:pPr>
            <w:r>
              <w:rPr>
                <w:rFonts w:ascii="Arial" w:cs="Arial" w:eastAsia="Arial" w:hAnsi="Arial"/>
                <w:sz w:val="20"/>
                <w:szCs w:val="20"/>
                <w:b w:val="1"/>
                <w:bCs w:val="1"/>
                <w:color w:val="auto"/>
              </w:rPr>
              <w:t>December 31,</w:t>
            </w:r>
          </w:p>
        </w:tc>
      </w:tr>
      <w:tr>
        <w:trPr>
          <w:trHeight w:val="315"/>
        </w:trPr>
        <w:tc>
          <w:tcPr>
            <w:tcW w:w="70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2020</w:t>
            </w:r>
          </w:p>
        </w:tc>
      </w:tr>
      <w:tr>
        <w:trPr>
          <w:trHeight w:val="268"/>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4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46,993</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39,051</w:t>
            </w:r>
          </w:p>
        </w:tc>
      </w:tr>
      <w:tr>
        <w:trPr>
          <w:trHeight w:val="265"/>
        </w:trPr>
        <w:tc>
          <w:tcPr>
            <w:tcW w:w="70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4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98,096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85,833</w:t>
            </w:r>
          </w:p>
        </w:tc>
      </w:tr>
      <w:tr>
        <w:trPr>
          <w:trHeight w:val="27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4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(7,423)</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(6,425)</w:t>
            </w:r>
          </w:p>
        </w:tc>
      </w:tr>
      <w:tr>
        <w:trPr>
          <w:trHeight w:val="259"/>
        </w:trPr>
        <w:tc>
          <w:tcPr>
            <w:tcW w:w="7000" w:type="dxa"/>
            <w:vAlign w:val="bottom"/>
          </w:tcPr>
          <w:p>
            <w:pPr>
              <w:ind w:left="20"/>
              <w:spacing w:after="0"/>
              <w:rPr>
                <w:sz w:val="20"/>
                <w:szCs w:val="20"/>
                <w:color w:val="auto"/>
              </w:rPr>
            </w:pPr>
            <w:r>
              <w:rPr>
                <w:rFonts w:ascii="Arial" w:cs="Arial" w:eastAsia="Arial" w:hAnsi="Arial"/>
                <w:sz w:val="20"/>
                <w:szCs w:val="20"/>
                <w:color w:val="auto"/>
              </w:rPr>
              <w:t>Total</w:t>
            </w:r>
          </w:p>
        </w:tc>
        <w:tc>
          <w:tcPr>
            <w:tcW w:w="4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137,666</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118,459</w:t>
            </w:r>
          </w:p>
        </w:tc>
      </w:tr>
      <w:tr>
        <w:trPr>
          <w:trHeight w:val="25"/>
        </w:trPr>
        <w:tc>
          <w:tcPr>
            <w:tcW w:w="70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Property, Plant and Equipment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8"/>
              </w:rPr>
              <w:t>Estimated</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Useful Lives</w:t>
            </w:r>
          </w:p>
        </w:tc>
        <w:tc>
          <w:tcPr>
            <w:tcW w:w="46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w:t>
            </w:r>
          </w:p>
        </w:tc>
        <w:tc>
          <w:tcPr>
            <w:tcW w:w="360" w:type="dxa"/>
            <w:vAlign w:val="bottom"/>
          </w:tcPr>
          <w:p>
            <w:pPr>
              <w:spacing w:after="0"/>
              <w:rPr>
                <w:sz w:val="19"/>
                <w:szCs w:val="19"/>
                <w:color w:val="auto"/>
              </w:rPr>
            </w:pPr>
          </w:p>
        </w:tc>
        <w:tc>
          <w:tcPr>
            <w:tcW w:w="1760" w:type="dxa"/>
            <w:vAlign w:val="bottom"/>
          </w:tcPr>
          <w:p>
            <w:pPr>
              <w:jc w:val="right"/>
              <w:ind w:right="321"/>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61"/>
        </w:trPr>
        <w:tc>
          <w:tcPr>
            <w:tcW w:w="5280" w:type="dxa"/>
            <w:vAlign w:val="bottom"/>
          </w:tcPr>
          <w:p>
            <w:pPr>
              <w:spacing w:after="0"/>
              <w:rPr>
                <w:sz w:val="22"/>
                <w:szCs w:val="2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7"/>
              </w:rPr>
              <w:t>(Years)</w:t>
            </w:r>
          </w:p>
        </w:tc>
        <w:tc>
          <w:tcPr>
            <w:tcW w:w="460" w:type="dxa"/>
            <w:vAlign w:val="bottom"/>
          </w:tcPr>
          <w:p>
            <w:pPr>
              <w:spacing w:after="0"/>
              <w:rPr>
                <w:sz w:val="22"/>
                <w:szCs w:val="22"/>
                <w:color w:val="auto"/>
              </w:rPr>
            </w:pPr>
          </w:p>
        </w:tc>
        <w:tc>
          <w:tcPr>
            <w:tcW w:w="1640" w:type="dxa"/>
            <w:vAlign w:val="bottom"/>
            <w:vMerge w:val="restart"/>
          </w:tcPr>
          <w:p>
            <w:pPr>
              <w:jc w:val="right"/>
              <w:ind w:right="74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60" w:type="dxa"/>
            <w:vAlign w:val="bottom"/>
            <w:vMerge w:val="restart"/>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72"/>
        </w:trPr>
        <w:tc>
          <w:tcPr>
            <w:tcW w:w="528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rPr>
              <w:t>N/A</w:t>
            </w:r>
          </w:p>
        </w:tc>
        <w:tc>
          <w:tcPr>
            <w:tcW w:w="4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580" w:type="dxa"/>
            <w:vAlign w:val="bottom"/>
          </w:tcPr>
          <w:p>
            <w:pPr>
              <w:jc w:val="center"/>
              <w:spacing w:after="0"/>
              <w:rPr>
                <w:sz w:val="20"/>
                <w:szCs w:val="20"/>
                <w:color w:val="auto"/>
              </w:rPr>
            </w:pPr>
            <w:r>
              <w:rPr>
                <w:rFonts w:ascii="Arial" w:cs="Arial" w:eastAsia="Arial" w:hAnsi="Arial"/>
                <w:sz w:val="20"/>
                <w:szCs w:val="20"/>
                <w:color w:val="auto"/>
                <w:w w:val="97"/>
              </w:rPr>
              <w:t>15-39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2,486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2,486</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13,513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13,261</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580" w:type="dxa"/>
            <w:vAlign w:val="bottom"/>
          </w:tcPr>
          <w:p>
            <w:pPr>
              <w:jc w:val="center"/>
              <w:spacing w:after="0"/>
              <w:rPr>
                <w:sz w:val="20"/>
                <w:szCs w:val="20"/>
                <w:color w:val="auto"/>
              </w:rPr>
            </w:pPr>
            <w:r>
              <w:rPr>
                <w:rFonts w:ascii="Arial" w:cs="Arial" w:eastAsia="Arial" w:hAnsi="Arial"/>
                <w:sz w:val="20"/>
                <w:szCs w:val="20"/>
                <w:color w:val="auto"/>
              </w:rPr>
              <w:t>5-7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477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443</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1580" w:type="dxa"/>
            <w:vAlign w:val="bottom"/>
          </w:tcPr>
          <w:p>
            <w:pPr>
              <w:jc w:val="center"/>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1,603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887</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Machinery in progress</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178</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280" w:type="dxa"/>
            <w:vAlign w:val="bottom"/>
          </w:tcPr>
          <w:p>
            <w:pPr>
              <w:ind w:left="240"/>
              <w:spacing w:after="0"/>
              <w:rPr>
                <w:sz w:val="20"/>
                <w:szCs w:val="20"/>
                <w:color w:val="auto"/>
              </w:rPr>
            </w:pPr>
            <w:r>
              <w:rPr>
                <w:rFonts w:ascii="Arial" w:cs="Arial" w:eastAsia="Arial" w:hAnsi="Arial"/>
                <w:sz w:val="20"/>
                <w:szCs w:val="20"/>
                <w:color w:val="auto"/>
              </w:rPr>
              <w:t>Total</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19,758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18,557</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(9,995)</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(8,783)</w:t>
            </w:r>
          </w:p>
        </w:tc>
        <w:tc>
          <w:tcPr>
            <w:tcW w:w="0" w:type="dxa"/>
            <w:vAlign w:val="bottom"/>
          </w:tcPr>
          <w:p>
            <w:pPr>
              <w:spacing w:after="0"/>
              <w:rPr>
                <w:sz w:val="1"/>
                <w:szCs w:val="1"/>
                <w:color w:val="auto"/>
              </w:rPr>
            </w:pPr>
          </w:p>
        </w:tc>
      </w:tr>
      <w:tr>
        <w:trPr>
          <w:trHeight w:val="259"/>
        </w:trPr>
        <w:tc>
          <w:tcPr>
            <w:tcW w:w="528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9,763</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Depreciation expense was $0.6 million and $0.6 million for the three months ended June 30, 2021 and 2020, respectively, of which $0.5 million and $0.5 million, respectively, has been allocated to cost of revenue and $0.1 million and $0.1 million, respectively, is included in depreciation and amortization in the accompanying condensed consolidated statements of operations for the three months ended June 30, 2021 and 2020.</w:t>
      </w: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Depreciation expense was $1.2 million and $1.2 million for the six months ended June 30, 2021 and 2020, respectively, of which $1.0 million and $1.0 million, respectively, has been allocated to cost of revenue and $0.2 million and $0.2 million, respectively, is included in depreciation and amortization in the accompanying consolidated statements of operations for the six months ended June 30, 2021 and 2020.</w:t>
      </w:r>
    </w:p>
    <w:p>
      <w:pPr>
        <w:spacing w:after="0" w:line="21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80"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Goodwill relates to the Former Parent’s acquisition of AT (the “Acquisition”) in 2016. As of July 8, 2016 (the “Acquisition Date”), goodwill was $121.6 million. As of June 30, 2021 and December 31, 2020 goodwill totaled $69.7 million, net of accumulated impairment of $51.9 million and is not deductible for tax purposes.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Intangible Assets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Amortizable:</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Costs: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Developed technology</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Customer relationships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Internal-use software modification</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Total amortizable intangibles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8"/>
              </w:rPr>
              <w:t>Estimated</w:t>
            </w:r>
          </w:p>
        </w:tc>
        <w:tc>
          <w:tcPr>
            <w:tcW w:w="420" w:type="dxa"/>
            <w:vAlign w:val="bottom"/>
          </w:tcPr>
          <w:p>
            <w:pPr>
              <w:spacing w:after="0"/>
              <w:rPr>
                <w:sz w:val="19"/>
                <w:szCs w:val="19"/>
                <w:color w:val="auto"/>
              </w:rPr>
            </w:pPr>
          </w:p>
        </w:tc>
        <w:tc>
          <w:tcPr>
            <w:tcW w:w="1660" w:type="dxa"/>
            <w:vAlign w:val="bottom"/>
            <w:gridSpan w:val="2"/>
            <w:vMerge w:val="restart"/>
          </w:tcPr>
          <w:p>
            <w:pPr>
              <w:ind w:left="200"/>
              <w:spacing w:after="0"/>
              <w:rPr>
                <w:sz w:val="20"/>
                <w:szCs w:val="20"/>
                <w:color w:val="auto"/>
              </w:rPr>
            </w:pPr>
            <w:r>
              <w:rPr>
                <w:rFonts w:ascii="Arial" w:cs="Arial" w:eastAsia="Arial" w:hAnsi="Arial"/>
                <w:sz w:val="20"/>
                <w:szCs w:val="20"/>
                <w:b w:val="1"/>
                <w:bCs w:val="1"/>
                <w:color w:val="auto"/>
              </w:rPr>
              <w:t>June 30,</w:t>
            </w:r>
          </w:p>
        </w:tc>
        <w:tc>
          <w:tcPr>
            <w:tcW w:w="320" w:type="dxa"/>
            <w:vAlign w:val="bottom"/>
          </w:tcPr>
          <w:p>
            <w:pPr>
              <w:spacing w:after="0"/>
              <w:rPr>
                <w:sz w:val="19"/>
                <w:szCs w:val="19"/>
                <w:color w:val="auto"/>
              </w:rPr>
            </w:pPr>
          </w:p>
        </w:tc>
        <w:tc>
          <w:tcPr>
            <w:tcW w:w="1760" w:type="dxa"/>
            <w:vAlign w:val="bottom"/>
            <w:vMerge w:val="restart"/>
          </w:tcPr>
          <w:p>
            <w:pPr>
              <w:jc w:val="right"/>
              <w:ind w:right="301"/>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126"/>
        </w:trPr>
        <w:tc>
          <w:tcPr>
            <w:tcW w:w="1660" w:type="dxa"/>
            <w:vAlign w:val="bottom"/>
            <w:gridSpan w:val="2"/>
            <w:vMerge w:val="restart"/>
          </w:tcPr>
          <w:p>
            <w:pPr>
              <w:jc w:val="center"/>
              <w:ind w:right="80"/>
              <w:spacing w:after="0" w:line="203" w:lineRule="exact"/>
              <w:rPr>
                <w:sz w:val="20"/>
                <w:szCs w:val="20"/>
                <w:color w:val="auto"/>
              </w:rPr>
            </w:pPr>
            <w:r>
              <w:rPr>
                <w:rFonts w:ascii="Arial" w:cs="Arial" w:eastAsia="Arial" w:hAnsi="Arial"/>
                <w:sz w:val="20"/>
                <w:szCs w:val="20"/>
                <w:b w:val="1"/>
                <w:bCs w:val="1"/>
                <w:color w:val="auto"/>
              </w:rPr>
              <w:t>Useful Lives</w:t>
            </w:r>
          </w:p>
        </w:tc>
        <w:tc>
          <w:tcPr>
            <w:tcW w:w="42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6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7"/>
              </w:rPr>
              <w:t>(Years)</w:t>
            </w:r>
          </w:p>
        </w:tc>
        <w:tc>
          <w:tcPr>
            <w:tcW w:w="420" w:type="dxa"/>
            <w:vAlign w:val="bottom"/>
          </w:tcPr>
          <w:p>
            <w:pPr>
              <w:spacing w:after="0"/>
              <w:rPr>
                <w:sz w:val="23"/>
                <w:szCs w:val="23"/>
                <w:color w:val="auto"/>
              </w:rPr>
            </w:pPr>
          </w:p>
        </w:tc>
        <w:tc>
          <w:tcPr>
            <w:tcW w:w="1580" w:type="dxa"/>
            <w:vAlign w:val="bottom"/>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72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780"/>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14</w:t>
            </w:r>
          </w:p>
        </w:tc>
        <w:tc>
          <w:tcPr>
            <w:tcW w:w="80" w:type="dxa"/>
            <w:vAlign w:val="bottom"/>
          </w:tcPr>
          <w:p>
            <w:pPr>
              <w:spacing w:after="0"/>
              <w:rPr>
                <w:sz w:val="24"/>
                <w:szCs w:val="24"/>
                <w:color w:val="auto"/>
              </w:rPr>
            </w:pPr>
          </w:p>
        </w:tc>
        <w:tc>
          <w:tcPr>
            <w:tcW w:w="42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4"/>
                <w:szCs w:val="24"/>
                <w:color w:val="auto"/>
              </w:rPr>
            </w:pPr>
          </w:p>
        </w:tc>
        <w:tc>
          <w:tcPr>
            <w:tcW w:w="3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70"/>
        </w:trPr>
        <w:tc>
          <w:tcPr>
            <w:tcW w:w="1580" w:type="dxa"/>
            <w:vAlign w:val="bottom"/>
          </w:tcPr>
          <w:p>
            <w:pPr>
              <w:jc w:val="center"/>
              <w:spacing w:after="0"/>
              <w:rPr>
                <w:sz w:val="20"/>
                <w:szCs w:val="20"/>
                <w:color w:val="auto"/>
              </w:rPr>
            </w:pPr>
            <w:r>
              <w:rPr>
                <w:rFonts w:ascii="Arial" w:cs="Arial" w:eastAsia="Arial" w:hAnsi="Arial"/>
                <w:sz w:val="20"/>
                <w:szCs w:val="20"/>
                <w:color w:val="auto"/>
                <w:w w:val="98"/>
              </w:rPr>
              <w:t>10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89,500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89,500</w:t>
            </w:r>
          </w:p>
        </w:tc>
        <w:tc>
          <w:tcPr>
            <w:tcW w:w="0" w:type="dxa"/>
            <w:vAlign w:val="bottom"/>
          </w:tcPr>
          <w:p>
            <w:pPr>
              <w:spacing w:after="0"/>
              <w:rPr>
                <w:sz w:val="1"/>
                <w:szCs w:val="1"/>
                <w:color w:val="auto"/>
              </w:rPr>
            </w:pPr>
          </w:p>
        </w:tc>
      </w:tr>
      <w:tr>
        <w:trPr>
          <w:trHeight w:val="275"/>
        </w:trPr>
        <w:tc>
          <w:tcPr>
            <w:tcW w:w="1580" w:type="dxa"/>
            <w:vAlign w:val="bottom"/>
          </w:tcPr>
          <w:p>
            <w:pPr>
              <w:jc w:val="center"/>
              <w:spacing w:after="0"/>
              <w:rPr>
                <w:sz w:val="20"/>
                <w:szCs w:val="20"/>
                <w:color w:val="auto"/>
              </w:rPr>
            </w:pPr>
            <w:r>
              <w:rPr>
                <w:rFonts w:ascii="Arial" w:cs="Arial" w:eastAsia="Arial" w:hAnsi="Arial"/>
                <w:sz w:val="20"/>
                <w:szCs w:val="20"/>
                <w:color w:val="auto"/>
                <w:w w:val="93"/>
              </w:rPr>
              <w:t>2.5</w:t>
            </w:r>
          </w:p>
        </w:tc>
        <w:tc>
          <w:tcPr>
            <w:tcW w:w="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-1045210</wp:posOffset>
            </wp:positionV>
            <wp:extent cx="70891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-702310</wp:posOffset>
            </wp:positionV>
            <wp:extent cx="70891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-359410</wp:posOffset>
            </wp:positionV>
            <wp:extent cx="70891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-7620</wp:posOffset>
            </wp:positionV>
            <wp:extent cx="70891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720"/>
            <w:col w:w="5840"/>
          </w:cols>
          <w:pgMar w:left="320" w:top="1440" w:right="37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020" w:type="dxa"/>
            <w:vAlign w:val="bottom"/>
          </w:tcPr>
          <w:p>
            <w:pPr>
              <w:ind w:left="240"/>
              <w:spacing w:after="0"/>
              <w:rPr>
                <w:sz w:val="20"/>
                <w:szCs w:val="20"/>
                <w:color w:val="auto"/>
              </w:rPr>
            </w:pPr>
            <w:r>
              <w:rPr>
                <w:rFonts w:ascii="Arial" w:cs="Arial" w:eastAsia="Arial" w:hAnsi="Arial"/>
                <w:sz w:val="20"/>
                <w:szCs w:val="20"/>
                <w:color w:val="auto"/>
              </w:rPr>
              <w:t>Accumulated amortization:</w:t>
            </w: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5"/>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7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72,510</w:t>
            </w: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65,233</w:t>
            </w:r>
          </w:p>
        </w:tc>
      </w:tr>
      <w:tr>
        <w:trPr>
          <w:trHeight w:val="265"/>
        </w:trPr>
        <w:tc>
          <w:tcPr>
            <w:tcW w:w="702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7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44,583</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40,107</w:t>
            </w:r>
          </w:p>
        </w:tc>
      </w:tr>
      <w:tr>
        <w:trPr>
          <w:trHeight w:val="275"/>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Internal-use software modification costs</w:t>
            </w:r>
          </w:p>
        </w:tc>
        <w:tc>
          <w:tcPr>
            <w:tcW w:w="7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c>
          <w:tcPr>
            <w:tcW w:w="8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r>
      <w:tr>
        <w:trPr>
          <w:trHeight w:val="259"/>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accumulated amortization</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121,449</w:t>
            </w:r>
          </w:p>
        </w:tc>
        <w:tc>
          <w:tcPr>
            <w:tcW w:w="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109,696</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176,207</w:t>
            </w:r>
          </w:p>
        </w:tc>
        <w:tc>
          <w:tcPr>
            <w:tcW w:w="8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187,960</w:t>
            </w:r>
          </w:p>
        </w:tc>
      </w:tr>
      <w:tr>
        <w:trPr>
          <w:trHeight w:val="255"/>
        </w:trPr>
        <w:tc>
          <w:tcPr>
            <w:tcW w:w="7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 costs:</w:t>
            </w:r>
          </w:p>
        </w:tc>
        <w:tc>
          <w:tcPr>
            <w:tcW w:w="7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5"/>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Trade name</w:t>
            </w:r>
          </w:p>
        </w:tc>
        <w:tc>
          <w:tcPr>
            <w:tcW w:w="7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10,300</w:t>
            </w:r>
          </w:p>
        </w:tc>
      </w:tr>
      <w:tr>
        <w:trPr>
          <w:trHeight w:val="28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other intangible assets, net</w:t>
            </w:r>
          </w:p>
        </w:tc>
        <w:tc>
          <w:tcPr>
            <w:tcW w:w="72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186,507</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198,260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Amortization expense related to intangible assets amounted to $5.9 million for the three months ended June 30, 2021 and 2020, and $11.8 million for the six months ended June 30, 2021 and 2020, respectively.</w:t>
      </w:r>
    </w:p>
    <w:p>
      <w:pPr>
        <w:spacing w:after="0" w:line="200" w:lineRule="exact"/>
        <w:rPr>
          <w:sz w:val="20"/>
          <w:szCs w:val="20"/>
          <w:color w:val="auto"/>
        </w:rPr>
      </w:pPr>
    </w:p>
    <w:p>
      <w:pPr>
        <w:spacing w:after="0" w:line="261" w:lineRule="exact"/>
        <w:rPr>
          <w:sz w:val="20"/>
          <w:szCs w:val="20"/>
          <w:color w:val="auto"/>
        </w:rPr>
      </w:pPr>
    </w:p>
    <w:p>
      <w:pPr>
        <w:ind w:left="420" w:hanging="412"/>
        <w:spacing w:after="0"/>
        <w:tabs>
          <w:tab w:leader="none" w:pos="4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in Equity Security</w:t>
      </w:r>
    </w:p>
    <w:p>
      <w:pPr>
        <w:spacing w:after="0" w:line="267"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The Company made a $ 10.0 million and $2.0 million investment in preferred stock of a private company in February 2021 and April 2021, respectively. The investment is accounted for in accordance with ASC 321 at its cost less any impairment. The investment balance as of June 30, 2021 is $12.0 million and is recorded in other assets on the condensed consolidated balance sheet. There is no impairment recorded for the three and six months ended June 30, 2021.</w:t>
      </w:r>
    </w:p>
    <w:p>
      <w:pPr>
        <w:spacing w:after="0" w:line="227"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80"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The Company follows guidance under ASC Topic 740-270, Interim Reporting, which requires that an estimated annual effective tax rate is applied to year-to-date ordinary income. At the end of each interim period, the Company estimates the effective tax rate expected to be applicable for the full fiscal year. The tax effect of discrete items is recorded in the quarter in which the discrete events occur.</w:t>
      </w:r>
    </w:p>
    <w:p>
      <w:pPr>
        <w:spacing w:after="0" w:line="220" w:lineRule="exact"/>
        <w:rPr>
          <w:sz w:val="20"/>
          <w:szCs w:val="20"/>
          <w:color w:val="auto"/>
        </w:rPr>
      </w:pPr>
    </w:p>
    <w:p>
      <w:pPr>
        <w:ind w:right="220"/>
        <w:spacing w:after="0" w:line="229" w:lineRule="auto"/>
        <w:rPr>
          <w:sz w:val="20"/>
          <w:szCs w:val="20"/>
          <w:color w:val="auto"/>
        </w:rPr>
      </w:pPr>
      <w:r>
        <w:rPr>
          <w:rFonts w:ascii="Arial" w:cs="Arial" w:eastAsia="Arial" w:hAnsi="Arial"/>
          <w:sz w:val="20"/>
          <w:szCs w:val="20"/>
          <w:color w:val="auto"/>
        </w:rPr>
        <w:t>The Company recorded income tax expense (benefit) of $(1.1) million and $(5.8) million for the three months ended June 30, 2021 and 2020, respectively, and income tax expense of $ 29 thousand and $16.7 million for the six months ended June 30, 2021 and 2020. The tax benefit in the three months ended June 30, 2021 is unfavorably impacted by non-deductible amounts for equity-based compensation and Follow-on Offering costs. The tax benefit in the three months ended June 30, 2020 was favorably impacted by a tax benefit related to an</w:t>
      </w:r>
    </w:p>
    <w:p>
      <w:pPr>
        <w:sectPr>
          <w:pgSz w:w="11900" w:h="16838" w:orient="portrait"/>
          <w:cols w:equalWidth="0" w:num="1">
            <w:col w:w="1120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6" w:name="page17"/>
    <w:bookmarkEnd w:id="16"/>
    <w:p>
      <w:pPr>
        <w:spacing w:after="0" w:line="316" w:lineRule="exact"/>
        <w:rPr>
          <w:sz w:val="20"/>
          <w:szCs w:val="20"/>
          <w:color w:val="auto"/>
        </w:rPr>
      </w:pPr>
    </w:p>
    <w:p>
      <w:pPr>
        <w:ind w:right="260"/>
        <w:spacing w:after="0" w:line="230" w:lineRule="auto"/>
        <w:rPr>
          <w:sz w:val="20"/>
          <w:szCs w:val="20"/>
          <w:color w:val="auto"/>
        </w:rPr>
      </w:pPr>
      <w:r>
        <w:rPr>
          <w:rFonts w:ascii="Arial" w:cs="Arial" w:eastAsia="Arial" w:hAnsi="Arial"/>
          <w:sz w:val="20"/>
          <w:szCs w:val="20"/>
          <w:color w:val="auto"/>
        </w:rPr>
        <w:t>NOL carryback as a result of the CARES Act. The tax expense in the six months ended June 30, 2021 was unfavorably impacted by non-deductible amounts for equity-based compensation and Follow-on Offering costs. The tax expense in the six months ended June 30, 2020 was favorably impacted by a tax benefit related to an NOL carryback as a result of the CARES Act.</w:t>
      </w:r>
    </w:p>
    <w:p>
      <w:pPr>
        <w:spacing w:after="0" w:line="225"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For the three and six months ended June 30, 2021 and 2020, no reserves for uncertain tax positions have been recorded. The Company will continue to monitor this position each interim period.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80" w:type="dxa"/>
            <w:vAlign w:val="bottom"/>
          </w:tcPr>
          <w:p>
            <w:pPr>
              <w:spacing w:after="0"/>
              <w:rPr>
                <w:sz w:val="20"/>
                <w:szCs w:val="20"/>
                <w:color w:val="auto"/>
              </w:rPr>
            </w:pPr>
            <w:r>
              <w:rPr>
                <w:rFonts w:ascii="Arial" w:cs="Arial" w:eastAsia="Arial" w:hAnsi="Arial"/>
                <w:sz w:val="20"/>
                <w:szCs w:val="20"/>
                <w:b w:val="1"/>
                <w:bCs w:val="1"/>
                <w:color w:val="auto"/>
              </w:rPr>
              <w:t>8.  Long-Term Debt</w:t>
            </w: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518"/>
        </w:trPr>
        <w:tc>
          <w:tcPr>
            <w:tcW w:w="6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June 30,</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December 31,</w:t>
            </w:r>
          </w:p>
        </w:tc>
      </w:tr>
      <w:tr>
        <w:trPr>
          <w:trHeight w:val="255"/>
        </w:trPr>
        <w:tc>
          <w:tcPr>
            <w:tcW w:w="6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2020</w:t>
            </w:r>
          </w:p>
        </w:tc>
      </w:tr>
      <w:tr>
        <w:trPr>
          <w:trHeight w:val="264"/>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428,925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Revolving credit facility</w:t>
            </w:r>
          </w:p>
        </w:tc>
        <w:tc>
          <w:tcPr>
            <w:tcW w:w="3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102,000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8"/>
        </w:trPr>
        <w:tc>
          <w:tcPr>
            <w:tcW w:w="6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530,925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discount and issuance costs</w:t>
            </w:r>
          </w:p>
        </w:tc>
        <w:tc>
          <w:tcPr>
            <w:tcW w:w="3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(32,680)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(31,717)</w:t>
            </w:r>
          </w:p>
        </w:tc>
      </w:tr>
      <w:tr>
        <w:trPr>
          <w:trHeight w:val="268"/>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 term debt, net of debt discount and issuance costs</w:t>
            </w:r>
          </w:p>
        </w:tc>
        <w:tc>
          <w:tcPr>
            <w:tcW w:w="38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498,245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428,283</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current portion of long-term debt</w:t>
            </w:r>
          </w:p>
        </w:tc>
        <w:tc>
          <w:tcPr>
            <w:tcW w:w="3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(4,313)</w:t>
            </w:r>
          </w:p>
        </w:tc>
      </w:tr>
      <w:tr>
        <w:trPr>
          <w:trHeight w:val="28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debt, net of current portion, debt discount and issuance costs</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493,945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423,970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Credit Facility</w:t>
      </w:r>
    </w:p>
    <w:p>
      <w:pPr>
        <w:spacing w:after="0" w:line="24"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On October 14, 2020, the Company entered into a senior secured credit facility consisting of (i) a $575 million senior secured seven-year term loan facility (the “Term Loan Facility”) and (ii) a $150 million senior secured 5-year revolving credit facility (the “Revolving Credit Facility” and, together with the Term Loan Facility, the “Senior Secured Credit Facility”). As of June 30, 2021, the Term Loan Facility had a balance of $428.9 million. On February 23, 2021 the Company entered into the First Amendment (“First Amendment”) to its Senior Secured Credit Facility. The First Amendment, in the case of the Eurocurrency borrowings, lowers the London interbank offered rate floor to 50 basis points from 100 basis points and lowers the applicable margin to 325 basis points from 400 basis points per annum. This resulted in the current rate on the Term Loan Facility of 3.75%. On February 26, 2021, we entered into the incremental facility amendment No. 2 (the “Second Amendment”) to the Senior Secured Credit Facility. The Second Amendment increases the $150.0 million Revolving Credit Facility from $150.0 million to $200.0 million. The balance of the Term Loan Facility is presented in the accompanying condensed consolidated balance sheets net of debt discount and issuance costs of $32.7 million at June 30, 2021. The debt discount and issuance costs are being amortized using the effective interest method and the rate as of June 30, 2021 is 5.01%. The Term Loan Facility has an annual excess cash flow calculation beginning with the year ended December 31, 2021 which could require the Company to make advance principal payments.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24"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Under the Revolving Credit Facility, the Company had $102.0 million outstanding balance, $11.0 million in standby letters of credit and availability of $87.0 million as of June 30, 2021.</w:t>
      </w:r>
    </w:p>
    <w:p>
      <w:pPr>
        <w:spacing w:after="0" w:line="200" w:lineRule="exact"/>
        <w:rPr>
          <w:sz w:val="20"/>
          <w:szCs w:val="20"/>
          <w:color w:val="auto"/>
        </w:rPr>
      </w:pPr>
    </w:p>
    <w:p>
      <w:pPr>
        <w:spacing w:after="0" w:line="26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9</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Related Party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30"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color w:val="auto"/>
        </w:rPr>
        <w:t>The Company had a senior secured promissory note, as amended, with a unit holder of Former Parent that had a balance, net of debt discount and issuance costs as of June 30, 2020 of $41.8 million for which the Company paid interest expense for the three and six months ended June 30, 2020 of $1.7 million and $3.5 million, which consisted of cash interest, PIK interest and amortization of the debt discount. The note was no longer outstanding as of June 30, 2021 and had no balance or interest expense for the three months ended June 30, 2021.</w:t>
      </w:r>
    </w:p>
    <w:p>
      <w:pPr>
        <w:spacing w:after="0" w:line="21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8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Based on Topic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44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240" w:type="dxa"/>
            <w:vAlign w:val="bottom"/>
            <w:gridSpan w:val="4"/>
          </w:tcPr>
          <w:p>
            <w:pPr>
              <w:jc w:val="right"/>
              <w:ind w:right="861"/>
              <w:spacing w:after="0"/>
              <w:rPr>
                <w:sz w:val="20"/>
                <w:szCs w:val="20"/>
                <w:color w:val="auto"/>
              </w:rPr>
            </w:pPr>
            <w:r>
              <w:rPr>
                <w:rFonts w:ascii="Arial" w:cs="Arial" w:eastAsia="Arial" w:hAnsi="Arial"/>
                <w:sz w:val="20"/>
                <w:szCs w:val="20"/>
                <w:b w:val="1"/>
                <w:bCs w:val="1"/>
                <w:color w:val="auto"/>
              </w:rPr>
              <w:t>Six Months Ended</w:t>
            </w:r>
          </w:p>
        </w:tc>
      </w:tr>
      <w:tr>
        <w:trPr>
          <w:trHeight w:val="243"/>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1"/>
                <w:szCs w:val="2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r>
      <w:tr>
        <w:trPr>
          <w:trHeight w:val="263"/>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189,622</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98,637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421,475</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516,598</w:t>
            </w:r>
          </w:p>
        </w:tc>
      </w:tr>
      <w:tr>
        <w:trPr>
          <w:trHeight w:val="26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13,174</w:t>
            </w: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16,279</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27,253</w:t>
            </w: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36,036</w:t>
            </w:r>
          </w:p>
        </w:tc>
      </w:tr>
      <w:tr>
        <w:trPr>
          <w:trHeight w:val="283"/>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202,796</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114,916</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448,728</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552,634</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33"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 Contract assets consisting of unbilled receivables are recorded within accounts receivable on the consolidated balance sheets on a contract-by-contract basis at the end of the reporting period and consisted of the following (in thousands):</w:t>
      </w:r>
    </w:p>
    <w:tbl>
      <w:tblPr>
        <w:tblLayout w:type="fixed"/>
        <w:tblInd w:w="0" w:type="dxa"/>
        <w:tblCellMar>
          <w:top w:w="0" w:type="dxa"/>
          <w:left w:w="0" w:type="dxa"/>
          <w:bottom w:w="0" w:type="dxa"/>
          <w:right w:w="0" w:type="dxa"/>
        </w:tblCellMar>
      </w:tblPr>
      <w:tr>
        <w:trPr>
          <w:trHeight w:val="211"/>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June 30, 2021</w:t>
            </w:r>
          </w:p>
        </w:tc>
        <w:tc>
          <w:tcPr>
            <w:tcW w:w="160" w:type="dxa"/>
            <w:vAlign w:val="bottom"/>
          </w:tcPr>
          <w:p>
            <w:pPr>
              <w:spacing w:after="0"/>
              <w:rPr>
                <w:sz w:val="18"/>
                <w:szCs w:val="18"/>
                <w:color w:val="auto"/>
              </w:rPr>
            </w:pPr>
          </w:p>
        </w:tc>
        <w:tc>
          <w:tcPr>
            <w:tcW w:w="1480" w:type="dxa"/>
            <w:vAlign w:val="bottom"/>
          </w:tcPr>
          <w:p>
            <w:pPr>
              <w:jc w:val="center"/>
              <w:ind w:right="61"/>
              <w:spacing w:after="0" w:line="210" w:lineRule="exact"/>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0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62"/>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37,567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460"/>
        <w:spacing w:after="0" w:line="254"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(i.e. deferred revenue) relate to advanced orders and payments received by the Company. Contract liabilities consisting of deferred revenue recorded on a contract-by-contract basis at the end of each reporting period were as follows (in thousands):</w:t>
      </w: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June 30, 2021</w:t>
            </w:r>
          </w:p>
        </w:tc>
        <w:tc>
          <w:tcPr>
            <w:tcW w:w="180" w:type="dxa"/>
            <w:vAlign w:val="bottom"/>
          </w:tcPr>
          <w:p>
            <w:pPr>
              <w:spacing w:after="0"/>
              <w:rPr>
                <w:sz w:val="17"/>
                <w:szCs w:val="17"/>
                <w:color w:val="auto"/>
              </w:rPr>
            </w:pPr>
          </w:p>
        </w:tc>
        <w:tc>
          <w:tcPr>
            <w:tcW w:w="1580" w:type="dxa"/>
            <w:vAlign w:val="bottom"/>
          </w:tcPr>
          <w:p>
            <w:pPr>
              <w:jc w:val="center"/>
              <w:ind w:right="81"/>
              <w:spacing w:after="0" w:line="205" w:lineRule="exact"/>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43"/>
        </w:trPr>
        <w:tc>
          <w:tcPr>
            <w:tcW w:w="7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62"/>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51,458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149,821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30" w:lineRule="exact"/>
        <w:rPr>
          <w:sz w:val="20"/>
          <w:szCs w:val="20"/>
          <w:color w:val="auto"/>
        </w:rPr>
      </w:pPr>
    </w:p>
    <w:p>
      <w:pPr>
        <w:ind w:right="800"/>
        <w:spacing w:after="0" w:line="261" w:lineRule="auto"/>
        <w:rPr>
          <w:sz w:val="20"/>
          <w:szCs w:val="20"/>
          <w:color w:val="auto"/>
        </w:rPr>
      </w:pPr>
      <w:r>
        <w:rPr>
          <w:rFonts w:ascii="Arial" w:cs="Arial" w:eastAsia="Arial" w:hAnsi="Arial"/>
          <w:sz w:val="20"/>
          <w:szCs w:val="20"/>
          <w:color w:val="auto"/>
        </w:rPr>
        <w:t>During the six months ended June 30, 2021, the Company converted $149.8 million deferred revenue to revenue which represented 100.0% of the prior years deferred revenue balance.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33" w:lineRule="exact"/>
        <w:rPr>
          <w:sz w:val="20"/>
          <w:szCs w:val="20"/>
          <w:color w:val="auto"/>
        </w:rPr>
      </w:pPr>
    </w:p>
    <w:p>
      <w:pPr>
        <w:ind w:right="900"/>
        <w:spacing w:after="0" w:line="261" w:lineRule="auto"/>
        <w:rPr>
          <w:sz w:val="20"/>
          <w:szCs w:val="20"/>
          <w:color w:val="auto"/>
        </w:rPr>
      </w:pPr>
      <w:r>
        <w:rPr>
          <w:rFonts w:ascii="Arial" w:cs="Arial" w:eastAsia="Arial" w:hAnsi="Arial"/>
          <w:sz w:val="20"/>
          <w:szCs w:val="20"/>
          <w:color w:val="auto"/>
        </w:rPr>
        <w:t>As of June 30, 2021, the Company had $197.5 million of remaining performance obligations. The Company expects to recognize revenue on 100% of these performance obligations in the next twelve months.</w:t>
      </w:r>
    </w:p>
    <w:p>
      <w:pPr>
        <w:spacing w:after="0" w:line="200" w:lineRule="exact"/>
        <w:rPr>
          <w:sz w:val="20"/>
          <w:szCs w:val="20"/>
          <w:color w:val="auto"/>
        </w:rPr>
      </w:pPr>
    </w:p>
    <w:p>
      <w:pPr>
        <w:spacing w:after="0" w:line="248"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Earnings (loss) per Share</w:t>
      </w:r>
    </w:p>
    <w:p>
      <w:pPr>
        <w:spacing w:after="0" w:line="280" w:lineRule="exact"/>
        <w:rPr>
          <w:sz w:val="20"/>
          <w:szCs w:val="20"/>
          <w:color w:val="auto"/>
        </w:rPr>
      </w:pPr>
    </w:p>
    <w:p>
      <w:pPr>
        <w:ind w:right="420"/>
        <w:spacing w:after="0" w:line="261" w:lineRule="auto"/>
        <w:rPr>
          <w:sz w:val="20"/>
          <w:szCs w:val="20"/>
          <w:color w:val="auto"/>
        </w:rPr>
      </w:pPr>
      <w:r>
        <w:rPr>
          <w:rFonts w:ascii="Arial" w:cs="Arial" w:eastAsia="Arial" w:hAnsi="Arial"/>
          <w:sz w:val="20"/>
          <w:szCs w:val="20"/>
          <w:color w:val="auto"/>
        </w:rPr>
        <w:t>The following table sets forth the computation of basic and diluted earnings (loss) per share (in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440"/>
              <w:spacing w:after="0"/>
              <w:rPr>
                <w:sz w:val="20"/>
                <w:szCs w:val="20"/>
                <w:color w:val="auto"/>
              </w:rPr>
            </w:pPr>
            <w:r>
              <w:rPr>
                <w:rFonts w:ascii="Arial" w:cs="Arial" w:eastAsia="Arial" w:hAnsi="Arial"/>
                <w:sz w:val="20"/>
                <w:szCs w:val="20"/>
                <w:b w:val="1"/>
                <w:bCs w:val="1"/>
                <w:color w:val="auto"/>
              </w:rPr>
              <w:t>Three Months Ended</w:t>
            </w:r>
          </w:p>
        </w:tc>
        <w:tc>
          <w:tcPr>
            <w:tcW w:w="400" w:type="dxa"/>
            <w:vAlign w:val="bottom"/>
          </w:tcPr>
          <w:p>
            <w:pPr>
              <w:spacing w:after="0"/>
              <w:rPr>
                <w:sz w:val="19"/>
                <w:szCs w:val="19"/>
                <w:color w:val="auto"/>
              </w:rPr>
            </w:pPr>
          </w:p>
        </w:tc>
        <w:tc>
          <w:tcPr>
            <w:tcW w:w="3220" w:type="dxa"/>
            <w:vAlign w:val="bottom"/>
            <w:gridSpan w:val="4"/>
          </w:tcPr>
          <w:p>
            <w:pPr>
              <w:jc w:val="right"/>
              <w:ind w:right="861"/>
              <w:spacing w:after="0"/>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2,392</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2,870</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76,077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Weighted-average shares</w:t>
            </w: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Earnings (loss)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vMerge w:val="continue"/>
          </w:tcPr>
          <w:p>
            <w:pPr>
              <w:spacing w:after="0"/>
              <w:rPr>
                <w:sz w:val="20"/>
                <w:szCs w:val="20"/>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8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0"/>
                <w:szCs w:val="20"/>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0.02</w:t>
            </w:r>
          </w:p>
        </w:tc>
        <w:tc>
          <w:tcPr>
            <w:tcW w:w="58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0.63</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20"/>
                <w:szCs w:val="20"/>
                <w:color w:val="auto"/>
              </w:rPr>
              <w:t>Weighted-average shares</w:t>
            </w:r>
          </w:p>
        </w:tc>
        <w:tc>
          <w:tcPr>
            <w:tcW w:w="40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119,994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90"/>
        </w:trPr>
        <w:tc>
          <w:tcPr>
            <w:tcW w:w="39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Equity compensation dilutive securities</w:t>
            </w: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209</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Weighted average dilutive shares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127,203</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83"/>
        </w:trPr>
        <w:tc>
          <w:tcPr>
            <w:tcW w:w="39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Earnings (loss) per share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0.02</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0.63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right="440"/>
        <w:spacing w:after="0" w:line="261" w:lineRule="auto"/>
        <w:rPr>
          <w:sz w:val="20"/>
          <w:szCs w:val="20"/>
          <w:color w:val="auto"/>
        </w:rPr>
      </w:pPr>
      <w:r>
        <w:rPr>
          <w:rFonts w:ascii="Arial" w:cs="Arial" w:eastAsia="Arial" w:hAnsi="Arial"/>
          <w:sz w:val="20"/>
          <w:szCs w:val="20"/>
          <w:color w:val="auto"/>
        </w:rPr>
        <w:t>Potentially dilutive common shares issuable pursuant to equity-based awards were not included for the three months ended June 30, 2021 as their potential effect was anti-dilutive as the Company generated a net loss.</w:t>
      </w:r>
    </w:p>
    <w:p>
      <w:pPr>
        <w:spacing w:after="0" w:line="200" w:lineRule="exact"/>
        <w:rPr>
          <w:sz w:val="20"/>
          <w:szCs w:val="20"/>
          <w:color w:val="auto"/>
        </w:rPr>
      </w:pPr>
    </w:p>
    <w:p>
      <w:pPr>
        <w:spacing w:after="0" w:line="248"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w:t>
      </w:r>
    </w:p>
    <w:p>
      <w:pPr>
        <w:spacing w:after="0" w:line="37" w:lineRule="exact"/>
        <w:rPr>
          <w:sz w:val="20"/>
          <w:szCs w:val="20"/>
          <w:color w:val="auto"/>
        </w:rPr>
      </w:pPr>
    </w:p>
    <w:p>
      <w:pPr>
        <w:ind w:right="420"/>
        <w:spacing w:after="0" w:line="277" w:lineRule="auto"/>
        <w:rPr>
          <w:sz w:val="20"/>
          <w:szCs w:val="20"/>
          <w:color w:val="auto"/>
        </w:rPr>
      </w:pPr>
      <w:r>
        <w:rPr>
          <w:rFonts w:ascii="Arial" w:cs="Arial" w:eastAsia="Arial" w:hAnsi="Arial"/>
          <w:sz w:val="19"/>
          <w:szCs w:val="19"/>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On May 14, 2021, a putative class action was filed in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330"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offering, the Company’s December 2020 offering, and the Company’s March 2021 offering during the putative class period of October 14, 2020 through May 11, 2021. Lead plaintiff motions were filed on July 13, 2021, and the Court is expected to appoint a lead plaintiff by August 12, 2021. The Court has not yet set a schedule for the filing of an amended complaint or defendants’ anticipated motion to dismiss.</w:t>
      </w:r>
    </w:p>
    <w:p>
      <w:pPr>
        <w:spacing w:after="0" w:line="23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alleging misstatements and/or omissions in certain of the Company’s registration statements and prospectuses related to the Company’s October 2020 initial public offering, the Company’s December 2020 offering, and the Company’s March 2021 offering during the putative class period of October 14, 2020 through May 11, 2021. On July 6, 2021, the Court entered an order, based on the record before the Court, that this action was in all material respects substantially similar to the Plymouth Action and both actions arise out of the same or similar operative facts, and that the parties are substantially the same parties. The Court consolidated this action with the Plymouth Action for all pretrial purposes, ordered all filings in connection with this Action to be made in the Plymouth Action, and removed this action from the docket.</w:t>
      </w:r>
    </w:p>
    <w:p>
      <w:pPr>
        <w:spacing w:after="0" w:line="239"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On July 16, 2021, a verified derivative complaint was filed against certain officers and directors of the Company.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 On July 21, 2021, the Court entered an order, based on the record before the Court, that this action was in all material respects substantially similar to the Plymouth Action and both actions arise out of the same or similar operative facts, and that the parties are substantially the same parties. The Court consolidated this action with the Plymouth Action for all pretrial purposes, ordered all filings in connection with this Action to be made in the Plymouth Action, and removed this action from the docket.</w:t>
      </w:r>
    </w:p>
    <w:p>
      <w:pPr>
        <w:spacing w:after="0" w:line="228"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On July 30, 2021, a second and related verified derivative complaint was filed against certain officers and directors of the Company. The complaint alleges: (1) violations of Section 14(a) of the Securities Exchange Act of 1934 for causing the issuance of a false/misleading proxy statement, (2) breach of fiduciary duty, and (3) aiding and abetting breaches of fiduciary duty. The Court has not yet entered an order consolidating this case with the Plymouth case.</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June 30, 2021.</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Taxes Receivable Agreement</w:t>
      </w:r>
    </w:p>
    <w:p>
      <w:pPr>
        <w:spacing w:after="0" w:line="1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Concurrent with the Acquisition, Array Tech, Inc. (f/k/a Array Technologies, Inc.) entered into a Taxes Receivable Agreement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from the use of certain deductions generated by the increase in the tax value of the developed technology. The TRA is accounted for as contingent consideration and subsequent changes in fair value of the contingent liability are recognized in contingent consideration in the accompanying consolidated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30"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statements of operations. As of June 30, 2021 and December 31, 2020, the fair value of the TRA was $12.0 million and $19.7 million, respectively.</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Liability</w:t>
      </w:r>
    </w:p>
    <w:p>
      <w:pPr>
        <w:spacing w:after="0" w:line="3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The Company had a liability to the selling stockholders of Array for contingent consideration consisting of earn-out payments in the form of cash upon the occurrence of certain events, including the sale, transfer, assignment, pledge, encumbrance, distribution or disposition of shares held by the acquirer to a third party; initial public offering of the equity securities of Former Parent, acquirer or the Company; the sale of equity securities or assets of Former Parent, acquirer or the Company to a third-party; or a merger, consolidation, recapitalization or reorganization of Former Parent, acquirer or the Company. The maximum aggregate earn-out consideration was $25.0 million. The earn-out liability was paid off in the fourth quarter of the fiscal year ended December 31, 2020.</w:t>
      </w: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fair value of the earn-out liability was initially determined as of the Acquisition Date using unobservable inputs. These inputs include the estimated amount and timing of future cash flows, the probability of a qualifying event occurring, and a risk-free rate used to adjust the probability-weighted cash flows to their present value. Subsequent to the Acquisition Date, at each reporting period, the earn-out liability was re-measured to fair value with changes in fair value recorded in contingent consideration in the accompanying condensed consolidated statements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contingent consideration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9"/>
              </w:rPr>
              <w:t>Earn-Out Liability</w:t>
            </w:r>
          </w:p>
        </w:tc>
        <w:tc>
          <w:tcPr>
            <w:tcW w:w="8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381"/>
              <w:spacing w:after="0"/>
              <w:rPr>
                <w:sz w:val="20"/>
                <w:szCs w:val="20"/>
                <w:color w:val="auto"/>
              </w:rPr>
            </w:pPr>
            <w:r>
              <w:rPr>
                <w:rFonts w:ascii="Arial" w:cs="Arial" w:eastAsia="Arial" w:hAnsi="Arial"/>
                <w:sz w:val="20"/>
                <w:szCs w:val="20"/>
                <w:b w:val="1"/>
                <w:bCs w:val="1"/>
                <w:color w:val="auto"/>
              </w:rPr>
              <w:t>Contingent</w:t>
            </w:r>
          </w:p>
        </w:tc>
        <w:tc>
          <w:tcPr>
            <w:tcW w:w="0" w:type="dxa"/>
            <w:vAlign w:val="bottom"/>
          </w:tcPr>
          <w:p>
            <w:pPr>
              <w:spacing w:after="0"/>
              <w:rPr>
                <w:sz w:val="1"/>
                <w:szCs w:val="1"/>
                <w:color w:val="auto"/>
              </w:rPr>
            </w:pPr>
          </w:p>
        </w:tc>
      </w:tr>
      <w:tr>
        <w:trPr>
          <w:trHeight w:val="266"/>
        </w:trPr>
        <w:tc>
          <w:tcPr>
            <w:tcW w:w="43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Consideration</w:t>
            </w:r>
          </w:p>
        </w:tc>
        <w:tc>
          <w:tcPr>
            <w:tcW w:w="0" w:type="dxa"/>
            <w:vAlign w:val="bottom"/>
          </w:tcPr>
          <w:p>
            <w:pPr>
              <w:spacing w:after="0"/>
              <w:rPr>
                <w:sz w:val="1"/>
                <w:szCs w:val="1"/>
                <w:color w:val="auto"/>
              </w:rPr>
            </w:pPr>
          </w:p>
        </w:tc>
      </w:tr>
      <w:tr>
        <w:trPr>
          <w:trHeight w:val="268"/>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March 31, 2021</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19,839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19,839</w:t>
            </w: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(7,810)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(7,810)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June 30, 2021</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12,016</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12,016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20"/>
                <w:szCs w:val="20"/>
                <w:color w:val="auto"/>
              </w:rPr>
              <w:t>Balance, March 31, 2020</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17,113</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Pr>
          <w:p>
            <w:pPr>
              <w:jc w:val="right"/>
              <w:ind w:right="1"/>
              <w:spacing w:after="0"/>
              <w:rPr>
                <w:sz w:val="20"/>
                <w:szCs w:val="20"/>
                <w:color w:val="auto"/>
              </w:rPr>
            </w:pPr>
            <w:r>
              <w:rPr>
                <w:rFonts w:ascii="Arial" w:cs="Arial" w:eastAsia="Arial" w:hAnsi="Arial"/>
                <w:sz w:val="20"/>
                <w:szCs w:val="20"/>
                <w:color w:val="auto"/>
              </w:rPr>
              <w:t>124</w:t>
            </w:r>
          </w:p>
        </w:tc>
        <w:tc>
          <w:tcPr>
            <w:tcW w:w="8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17,237</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1,732</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1,698</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3,430</w:t>
            </w: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June 30, 2020</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18,845</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1,822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20,667</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9"/>
              </w:rPr>
              <w:t>Earn-Out Liability</w:t>
            </w:r>
          </w:p>
        </w:tc>
        <w:tc>
          <w:tcPr>
            <w:tcW w:w="8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381"/>
              <w:spacing w:after="0"/>
              <w:rPr>
                <w:sz w:val="20"/>
                <w:szCs w:val="20"/>
                <w:color w:val="auto"/>
              </w:rPr>
            </w:pPr>
            <w:r>
              <w:rPr>
                <w:rFonts w:ascii="Arial" w:cs="Arial" w:eastAsia="Arial" w:hAnsi="Arial"/>
                <w:sz w:val="20"/>
                <w:szCs w:val="20"/>
                <w:b w:val="1"/>
                <w:bCs w:val="1"/>
                <w:color w:val="auto"/>
              </w:rPr>
              <w:t>Contingent</w:t>
            </w:r>
          </w:p>
        </w:tc>
        <w:tc>
          <w:tcPr>
            <w:tcW w:w="0" w:type="dxa"/>
            <w:vAlign w:val="bottom"/>
          </w:tcPr>
          <w:p>
            <w:pPr>
              <w:spacing w:after="0"/>
              <w:rPr>
                <w:sz w:val="1"/>
                <w:szCs w:val="1"/>
                <w:color w:val="auto"/>
              </w:rPr>
            </w:pPr>
          </w:p>
        </w:tc>
      </w:tr>
      <w:tr>
        <w:trPr>
          <w:trHeight w:val="266"/>
        </w:trPr>
        <w:tc>
          <w:tcPr>
            <w:tcW w:w="43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Consideration</w:t>
            </w:r>
          </w:p>
        </w:tc>
        <w:tc>
          <w:tcPr>
            <w:tcW w:w="0" w:type="dxa"/>
            <w:vAlign w:val="bottom"/>
          </w:tcPr>
          <w:p>
            <w:pPr>
              <w:spacing w:after="0"/>
              <w:rPr>
                <w:sz w:val="1"/>
                <w:szCs w:val="1"/>
                <w:color w:val="auto"/>
              </w:rPr>
            </w:pPr>
          </w:p>
        </w:tc>
      </w:tr>
      <w:tr>
        <w:trPr>
          <w:trHeight w:val="268"/>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December 31, 2020</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(7,810)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(7,810)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adjustments</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63"/>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June 30, 2021</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12,016</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12,016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20"/>
                <w:szCs w:val="20"/>
                <w:color w:val="auto"/>
              </w:rPr>
              <w:t>Balance, December 31, 2019</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17,808</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18,250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1,037</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1,380</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2,417</w:t>
            </w: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June 30, 2020</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18,845</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1,822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20,667</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The TRA and earn-out liabilities require significant judgment and are classified as Level 3 in the fair value hierarchy.</w:t>
      </w:r>
    </w:p>
    <w:p>
      <w:pPr>
        <w:spacing w:after="0" w:line="200" w:lineRule="exact"/>
        <w:rPr>
          <w:sz w:val="20"/>
          <w:szCs w:val="20"/>
          <w:color w:val="auto"/>
        </w:rPr>
      </w:pPr>
    </w:p>
    <w:p>
      <w:pPr>
        <w:spacing w:after="0" w:line="27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Incentive Plan</w:t>
      </w:r>
    </w:p>
    <w:p>
      <w:pPr>
        <w:spacing w:after="0" w:line="37"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On October 14, 2020, the Company’s 2020 Plan became effective. The 2020 Plan authorized 6,683,919 new shares, subject to adjustments pursuant to the 2020 Plan.</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In the six months ended June 30, 2021, the Company granted an aggregate of 513,463 RSU’s to employees and board of director members and 177,472 Performance Stock Units (PSUs) to certain executives. The PSUs cliff vest after three years and upon meeting certain revenue and adjusted EPS targets. The PSUs also contain a modifier based on the total stock return (TSR) compared to a certain Index which modifies the number of PSUs that vest.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Activity under the 2020 Plan was as follows: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2" w:name="page23"/>
    <w:bookmarkEnd w:id="22"/>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03"/>
        </w:trPr>
        <w:tc>
          <w:tcPr>
            <w:tcW w:w="7180" w:type="dxa"/>
            <w:vAlign w:val="bottom"/>
          </w:tcPr>
          <w:p>
            <w:pPr>
              <w:spacing w:after="0"/>
              <w:rPr>
                <w:sz w:val="17"/>
                <w:szCs w:val="17"/>
                <w:color w:val="auto"/>
              </w:rPr>
            </w:pPr>
          </w:p>
        </w:tc>
        <w:tc>
          <w:tcPr>
            <w:tcW w:w="206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Number of Shares</w:t>
            </w:r>
          </w:p>
        </w:tc>
        <w:tc>
          <w:tcPr>
            <w:tcW w:w="120" w:type="dxa"/>
            <w:vAlign w:val="bottom"/>
          </w:tcPr>
          <w:p>
            <w:pPr>
              <w:spacing w:after="0"/>
              <w:rPr>
                <w:sz w:val="17"/>
                <w:szCs w:val="17"/>
                <w:color w:val="auto"/>
              </w:rPr>
            </w:pPr>
          </w:p>
        </w:tc>
        <w:tc>
          <w:tcPr>
            <w:tcW w:w="1880" w:type="dxa"/>
            <w:vAlign w:val="bottom"/>
          </w:tcPr>
          <w:p>
            <w:pPr>
              <w:jc w:val="center"/>
              <w:ind w:right="21"/>
              <w:spacing w:after="0" w:line="203"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7180" w:type="dxa"/>
            <w:vAlign w:val="bottom"/>
          </w:tcPr>
          <w:p>
            <w:pPr>
              <w:spacing w:after="0"/>
              <w:rPr>
                <w:sz w:val="23"/>
                <w:szCs w:val="23"/>
                <w:color w:val="auto"/>
              </w:rPr>
            </w:pPr>
          </w:p>
        </w:tc>
        <w:tc>
          <w:tcPr>
            <w:tcW w:w="20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27"/>
        </w:trPr>
        <w:tc>
          <w:tcPr>
            <w:tcW w:w="7180" w:type="dxa"/>
            <w:vAlign w:val="bottom"/>
            <w:tcBorders>
              <w:top w:val="single" w:sz="8" w:color="CCEEFF"/>
            </w:tcBorders>
            <w:shd w:val="clear" w:color="auto" w:fill="CCEEFF"/>
          </w:tcPr>
          <w:p>
            <w:pPr>
              <w:ind w:left="20"/>
              <w:spacing w:after="0" w:line="228" w:lineRule="exact"/>
              <w:rPr>
                <w:sz w:val="20"/>
                <w:szCs w:val="20"/>
                <w:color w:val="auto"/>
              </w:rPr>
            </w:pPr>
            <w:r>
              <w:rPr>
                <w:rFonts w:ascii="Arial" w:cs="Arial" w:eastAsia="Arial" w:hAnsi="Arial"/>
                <w:sz w:val="20"/>
                <w:szCs w:val="20"/>
                <w:color w:val="auto"/>
              </w:rPr>
              <w:t>RSU</w:t>
            </w:r>
          </w:p>
        </w:tc>
        <w:tc>
          <w:tcPr>
            <w:tcW w:w="1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140"/>
              <w:spacing w:after="0"/>
              <w:rPr>
                <w:sz w:val="20"/>
                <w:szCs w:val="20"/>
                <w:color w:val="auto"/>
              </w:rPr>
            </w:pPr>
            <w:r>
              <w:rPr>
                <w:rFonts w:ascii="Arial" w:cs="Arial" w:eastAsia="Arial" w:hAnsi="Arial"/>
                <w:sz w:val="20"/>
                <w:szCs w:val="20"/>
                <w:color w:val="auto"/>
              </w:rPr>
              <w:t>Unvested, December 31, 2020</w:t>
            </w:r>
          </w:p>
        </w:tc>
        <w:tc>
          <w:tcPr>
            <w:tcW w:w="1980" w:type="dxa"/>
            <w:vAlign w:val="bottom"/>
          </w:tcPr>
          <w:p>
            <w:pPr>
              <w:jc w:val="right"/>
              <w:spacing w:after="0"/>
              <w:rPr>
                <w:sz w:val="20"/>
                <w:szCs w:val="20"/>
                <w:color w:val="auto"/>
              </w:rPr>
            </w:pPr>
            <w:r>
              <w:rPr>
                <w:rFonts w:ascii="Arial" w:cs="Arial" w:eastAsia="Arial" w:hAnsi="Arial"/>
                <w:sz w:val="20"/>
                <w:szCs w:val="20"/>
                <w:color w:val="auto"/>
              </w:rPr>
              <w:t>500,006</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Granted</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513,463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25.35</w:t>
            </w:r>
          </w:p>
        </w:tc>
        <w:tc>
          <w:tcPr>
            <w:tcW w:w="0" w:type="dxa"/>
            <w:vAlign w:val="bottom"/>
          </w:tcPr>
          <w:p>
            <w:pPr>
              <w:spacing w:after="0"/>
              <w:rPr>
                <w:sz w:val="1"/>
                <w:szCs w:val="1"/>
                <w:color w:val="auto"/>
              </w:rPr>
            </w:pPr>
          </w:p>
        </w:tc>
      </w:tr>
      <w:tr>
        <w:trPr>
          <w:trHeight w:val="270"/>
        </w:trPr>
        <w:tc>
          <w:tcPr>
            <w:tcW w:w="7180" w:type="dxa"/>
            <w:vAlign w:val="bottom"/>
          </w:tcPr>
          <w:p>
            <w:pPr>
              <w:ind w:left="140"/>
              <w:spacing w:after="0"/>
              <w:rPr>
                <w:sz w:val="20"/>
                <w:szCs w:val="20"/>
                <w:color w:val="auto"/>
              </w:rPr>
            </w:pPr>
            <w:r>
              <w:rPr>
                <w:rFonts w:ascii="Arial" w:cs="Arial" w:eastAsia="Arial" w:hAnsi="Arial"/>
                <w:sz w:val="20"/>
                <w:szCs w:val="20"/>
                <w:color w:val="auto"/>
              </w:rPr>
              <w:t>Vested</w:t>
            </w: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Forfeited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(43,045)</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28.36</w:t>
            </w:r>
          </w:p>
        </w:tc>
        <w:tc>
          <w:tcPr>
            <w:tcW w:w="0" w:type="dxa"/>
            <w:vAlign w:val="bottom"/>
          </w:tcPr>
          <w:p>
            <w:pPr>
              <w:spacing w:after="0"/>
              <w:rPr>
                <w:sz w:val="1"/>
                <w:szCs w:val="1"/>
                <w:color w:val="auto"/>
              </w:rPr>
            </w:pPr>
          </w:p>
        </w:tc>
      </w:tr>
      <w:tr>
        <w:trPr>
          <w:trHeight w:val="263"/>
        </w:trPr>
        <w:tc>
          <w:tcPr>
            <w:tcW w:w="7180" w:type="dxa"/>
            <w:vAlign w:val="bottom"/>
          </w:tcPr>
          <w:p>
            <w:pPr>
              <w:ind w:left="20"/>
              <w:spacing w:after="0"/>
              <w:rPr>
                <w:sz w:val="20"/>
                <w:szCs w:val="20"/>
                <w:color w:val="auto"/>
              </w:rPr>
            </w:pPr>
            <w:r>
              <w:rPr>
                <w:rFonts w:ascii="Arial" w:cs="Arial" w:eastAsia="Arial" w:hAnsi="Arial"/>
                <w:sz w:val="20"/>
                <w:szCs w:val="20"/>
                <w:b w:val="1"/>
                <w:bCs w:val="1"/>
                <w:color w:val="auto"/>
              </w:rPr>
              <w:t>Unvested, June 30, 2021</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970,424</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23.49</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462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41"/>
              <w:spacing w:after="0" w:line="215" w:lineRule="exact"/>
              <w:rPr>
                <w:sz w:val="20"/>
                <w:szCs w:val="20"/>
                <w:color w:val="auto"/>
              </w:rPr>
            </w:pPr>
            <w:r>
              <w:rPr>
                <w:rFonts w:ascii="Arial" w:cs="Arial" w:eastAsia="Arial" w:hAnsi="Arial"/>
                <w:sz w:val="20"/>
                <w:szCs w:val="20"/>
                <w:b w:val="1"/>
                <w:bCs w:val="1"/>
                <w:color w:val="auto"/>
                <w:w w:val="97"/>
              </w:rPr>
              <w:t>Weighted Average</w:t>
            </w:r>
          </w:p>
        </w:tc>
      </w:tr>
      <w:tr>
        <w:trPr>
          <w:trHeight w:val="216"/>
        </w:trPr>
        <w:tc>
          <w:tcPr>
            <w:tcW w:w="7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r>
      <w:tr>
        <w:trPr>
          <w:trHeight w:val="271"/>
        </w:trPr>
        <w:tc>
          <w:tcPr>
            <w:tcW w:w="7180" w:type="dxa"/>
            <w:vAlign w:val="bottom"/>
          </w:tcPr>
          <w:p>
            <w:pPr>
              <w:ind w:left="20"/>
              <w:spacing w:after="0"/>
              <w:rPr>
                <w:sz w:val="20"/>
                <w:szCs w:val="20"/>
                <w:color w:val="auto"/>
              </w:rPr>
            </w:pPr>
            <w:r>
              <w:rPr>
                <w:rFonts w:ascii="Arial" w:cs="Arial" w:eastAsia="Arial" w:hAnsi="Arial"/>
                <w:sz w:val="20"/>
                <w:szCs w:val="20"/>
                <w:color w:val="auto"/>
              </w:rPr>
              <w:t>PSU</w:t>
            </w:r>
          </w:p>
        </w:tc>
        <w:tc>
          <w:tcPr>
            <w:tcW w:w="19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r>
      <w:tr>
        <w:trPr>
          <w:trHeight w:val="263"/>
        </w:trPr>
        <w:tc>
          <w:tcPr>
            <w:tcW w:w="7180" w:type="dxa"/>
            <w:vAlign w:val="bottom"/>
          </w:tcPr>
          <w:p>
            <w:pPr>
              <w:ind w:left="140"/>
              <w:spacing w:after="0"/>
              <w:rPr>
                <w:sz w:val="20"/>
                <w:szCs w:val="20"/>
                <w:color w:val="auto"/>
              </w:rPr>
            </w:pPr>
            <w:r>
              <w:rPr>
                <w:rFonts w:ascii="Arial" w:cs="Arial" w:eastAsia="Arial" w:hAnsi="Arial"/>
                <w:sz w:val="20"/>
                <w:szCs w:val="20"/>
                <w:color w:val="auto"/>
              </w:rPr>
              <w:t>Unvested, December 31, 2020</w:t>
            </w: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1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Granted</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177,472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28.25</w:t>
            </w:r>
          </w:p>
        </w:tc>
      </w:tr>
      <w:tr>
        <w:trPr>
          <w:trHeight w:val="270"/>
        </w:trPr>
        <w:tc>
          <w:tcPr>
            <w:tcW w:w="7180" w:type="dxa"/>
            <w:vAlign w:val="bottom"/>
          </w:tcPr>
          <w:p>
            <w:pPr>
              <w:ind w:left="140"/>
              <w:spacing w:after="0"/>
              <w:rPr>
                <w:sz w:val="20"/>
                <w:szCs w:val="20"/>
                <w:color w:val="auto"/>
              </w:rPr>
            </w:pPr>
            <w:r>
              <w:rPr>
                <w:rFonts w:ascii="Arial" w:cs="Arial" w:eastAsia="Arial" w:hAnsi="Arial"/>
                <w:sz w:val="20"/>
                <w:szCs w:val="20"/>
                <w:color w:val="auto"/>
              </w:rPr>
              <w:t>Vested</w:t>
            </w: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1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Forfeited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(14,379)</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30.74</w:t>
            </w:r>
          </w:p>
        </w:tc>
      </w:tr>
      <w:tr>
        <w:trPr>
          <w:trHeight w:val="263"/>
        </w:trPr>
        <w:tc>
          <w:tcPr>
            <w:tcW w:w="7180" w:type="dxa"/>
            <w:vAlign w:val="bottom"/>
          </w:tcPr>
          <w:p>
            <w:pPr>
              <w:ind w:left="20"/>
              <w:spacing w:after="0"/>
              <w:rPr>
                <w:sz w:val="20"/>
                <w:szCs w:val="20"/>
                <w:color w:val="auto"/>
              </w:rPr>
            </w:pPr>
            <w:r>
              <w:rPr>
                <w:rFonts w:ascii="Arial" w:cs="Arial" w:eastAsia="Arial" w:hAnsi="Arial"/>
                <w:sz w:val="20"/>
                <w:szCs w:val="20"/>
                <w:b w:val="1"/>
                <w:bCs w:val="1"/>
                <w:color w:val="auto"/>
              </w:rPr>
              <w:t>Unvested, June 30, 2021</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163,093</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28.03</w:t>
            </w:r>
          </w:p>
        </w:tc>
      </w:tr>
      <w:tr>
        <w:trPr>
          <w:trHeight w:val="20"/>
        </w:trPr>
        <w:tc>
          <w:tcPr>
            <w:tcW w:w="71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B Units</w:t>
      </w:r>
    </w:p>
    <w:p>
      <w:pPr>
        <w:spacing w:after="0" w:line="37"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 xml:space="preserve">The Company accounted for equity grants to employees of Class B Units of Former Parent (the “Units”)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contained vesting provisions as defined in the agreement. Equity-based compensation cost was measured at the grant date fair value and recognized on a straight-line basis over the requisite service period, including those units 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23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The Units issued to employees were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6" w:lineRule="exact"/>
        <w:rPr>
          <w:sz w:val="20"/>
          <w:szCs w:val="20"/>
          <w:color w:val="auto"/>
        </w:rPr>
      </w:pPr>
    </w:p>
    <w:p>
      <w:pPr>
        <w:jc w:val="both"/>
        <w:ind w:right="40"/>
        <w:spacing w:after="0" w:line="257" w:lineRule="auto"/>
        <w:rPr>
          <w:sz w:val="20"/>
          <w:szCs w:val="20"/>
          <w:color w:val="auto"/>
        </w:rPr>
      </w:pPr>
      <w:r>
        <w:rPr>
          <w:rFonts w:ascii="Arial" w:cs="Arial" w:eastAsia="Arial" w:hAnsi="Arial"/>
          <w:sz w:val="20"/>
          <w:szCs w:val="20"/>
          <w:color w:val="auto"/>
        </w:rPr>
        <w:t>On March 23, 2021, in connection with the closing of the 2021 Follow-on Offering, all of the outstanding Class B Units of Former Parent were immediately vested per the terms of the equity awards, resulting in the Company accelerating the recognition of the remaining unamortized compensation expense of $6.3 million in the three months ended March 31, 2021.</w:t>
      </w:r>
    </w:p>
    <w:p>
      <w:pPr>
        <w:spacing w:after="0" w:line="233"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For the three and six months ended June 30, 2021, the Company recognized $4.1 million and $12.0 million in equity-based compensation, respectively. For the three and six months ended June 30, 2020, the Company recognized $0.7 million and $2.4 million in equity-based compensation, respectively. As of June 30, 2021, the Company had $19.1 million of unrecognized compensation costs which is expected to be recognized over a period of 2.5 years. There were 57,424 forfeitures during both of the three and six months ended June 30, 2021 and no forfeitures during the three and six month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0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Effective January 1, 2021, the Company adopted ASC 842 Leases using the modified retrospective approach. The Company elected the use of the package of practical expedients permitted under the transition guidance which allows the Company not to reassess whether a contract contains a lease, carry forward the historical lease classification and not reassess initial direct lease costs. The Company also elected to apply the short-term measurement and recognition exemption in which the right-of-use (“ROU”) assets and lease liabilities are not recognized for short-term leases. Adoption of this standard resulted in recording of net operating lease ROU assets and corresponding operating lease liabilities of $13.2 million and $13.5 million, respectively. The standard did not materially affect the condensed consolidated statements of income and had no impact on the condensed consolidated statements of cash flows.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balances as it relates to leases at the end of the period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80" w:type="dxa"/>
            <w:vAlign w:val="bottom"/>
            <w:tcBorders>
              <w:bottom w:val="single" w:sz="8" w:color="CCEEFF"/>
            </w:tcBorders>
          </w:tcPr>
          <w:p>
            <w:pPr>
              <w:spacing w:after="0"/>
              <w:rPr>
                <w:sz w:val="22"/>
                <w:szCs w:val="22"/>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June 30, 2021</w:t>
            </w: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ROU Asset</w:t>
            </w:r>
          </w:p>
        </w:tc>
        <w:tc>
          <w:tcPr>
            <w:tcW w:w="4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8"/>
              </w:rPr>
              <w:t>Other assets</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10,537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liability, current portion</w:t>
            </w:r>
          </w:p>
        </w:tc>
        <w:tc>
          <w:tcPr>
            <w:tcW w:w="456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8"/>
              </w:rPr>
              <w:t>Other current liabilities</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6,379</w:t>
            </w:r>
          </w:p>
        </w:tc>
      </w:tr>
      <w:tr>
        <w:trPr>
          <w:trHeight w:val="24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Lease liability, long-term portion</w:t>
            </w:r>
          </w:p>
        </w:tc>
        <w:tc>
          <w:tcPr>
            <w:tcW w:w="45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20"/>
                <w:szCs w:val="20"/>
                <w:color w:val="auto"/>
                <w:w w:val="99"/>
              </w:rPr>
              <w:t>Other long-term liabilities</w:t>
            </w: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4,227</w:t>
            </w: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lease liability</w:t>
            </w:r>
          </w:p>
        </w:tc>
        <w:tc>
          <w:tcPr>
            <w:tcW w:w="4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10,606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 Location on the condensed consolidated balance sheet</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Company determines if an arrangement is a lease at its inception. Operating lease 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the Company’s leases generally do not provide an implicit rate, the Company uses its collateralized incremental borrowing rate based on the information available at the lease commencement date, including lease term, in determining the present value of lease payments. Lease expense for these leases is recognized on a straight-line basis over the lease term.</w:t>
      </w:r>
    </w:p>
    <w:p>
      <w:pPr>
        <w:spacing w:after="0" w:line="240"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Operating lease arrangements are comprised primarily of real estate and equipment agreements for which the right-of-use assets are included in other assets and the corresponding lease liabilities, depending on their maturity, are included in accrued liabilities or other long-term liabilities in the condensed consolidated balance sheets.</w:t>
      </w:r>
    </w:p>
    <w:p>
      <w:pPr>
        <w:sectPr>
          <w:pgSz w:w="11900" w:h="16838" w:orient="portrait"/>
          <w:cols w:equalWidth="0" w:num="1">
            <w:col w:w="11240"/>
          </w:cols>
          <w:pgMar w:left="320" w:top="1440" w:right="3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details of the Company’s operating leases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Operating lease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Short-term lease expense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Total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Three Months Ended</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June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0" w:type="dxa"/>
            <w:vAlign w:val="bottom"/>
            <w:tcBorders>
              <w:top w:val="single" w:sz="8" w:color="auto"/>
            </w:tcBorders>
          </w:tcPr>
          <w:p>
            <w:pPr>
              <w:jc w:val="right"/>
              <w:ind w:right="78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1,651</w:t>
            </w:r>
          </w:p>
        </w:tc>
      </w:tr>
      <w:tr>
        <w:trPr>
          <w:trHeight w:val="243"/>
        </w:trPr>
        <w:tc>
          <w:tcPr>
            <w:tcW w:w="10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39"/>
        </w:trPr>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6"/>
        </w:trPr>
        <w:tc>
          <w:tcPr>
            <w:tcW w:w="100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1,742</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720"/>
            <w:col w:w="24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40" w:type="dxa"/>
            <w:vAlign w:val="bottom"/>
          </w:tcPr>
          <w:p>
            <w:pPr>
              <w:spacing w:after="0"/>
              <w:rPr>
                <w:sz w:val="20"/>
                <w:szCs w:val="20"/>
                <w:color w:val="auto"/>
              </w:rPr>
            </w:pPr>
            <w:r>
              <w:rPr>
                <w:rFonts w:ascii="Arial" w:cs="Arial" w:eastAsia="Arial" w:hAnsi="Arial"/>
                <w:sz w:val="20"/>
                <w:szCs w:val="20"/>
                <w:color w:val="auto"/>
              </w:rPr>
              <w:t>The following table presents the maturities of lease liabilities as of June 30, 2021 (in thousands):</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66"/>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8"/>
              </w:rPr>
              <w:t>Fiscal year ending June 30,</w:t>
            </w:r>
          </w:p>
        </w:tc>
        <w:tc>
          <w:tcPr>
            <w:tcW w:w="2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Operating Leases</w:t>
            </w:r>
          </w:p>
        </w:tc>
      </w:tr>
      <w:tr>
        <w:trPr>
          <w:trHeight w:val="237"/>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3,333</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2022</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6,071</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2023</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896</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2024</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794</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2025</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Thereafter</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7"/>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Total lease payments</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11,113</w:t>
            </w:r>
          </w:p>
        </w:tc>
      </w:tr>
      <w:tr>
        <w:trPr>
          <w:trHeight w:val="24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Less: Imputed lease interest</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w:t>
            </w:r>
          </w:p>
        </w:tc>
      </w:tr>
      <w:tr>
        <w:trPr>
          <w:trHeight w:val="262"/>
        </w:trPr>
        <w:tc>
          <w:tcPr>
            <w:tcW w:w="9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8"/>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10,606</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The following table represents future minimum lease obligations under non-cancelable operating leases as of December 31, 2020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8"/>
              </w:rPr>
              <w:t>Fiscal year ending December 31,</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Operating Leases</w:t>
            </w:r>
          </w:p>
        </w:tc>
      </w:tr>
      <w:tr>
        <w:trPr>
          <w:trHeight w:val="237"/>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6,663</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2022</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6,073</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2023</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2024</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791</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2025</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4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Thereafter</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2"/>
        </w:trPr>
        <w:tc>
          <w:tcPr>
            <w:tcW w:w="9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4"/>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14,435</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The Company’s weighted-average remaining lease-term and weighted-average discount rate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20" w:type="dxa"/>
            <w:vAlign w:val="bottom"/>
          </w:tcPr>
          <w:p>
            <w:pPr>
              <w:spacing w:after="0"/>
              <w:rPr>
                <w:sz w:val="21"/>
                <w:szCs w:val="21"/>
                <w:color w:val="auto"/>
              </w:rPr>
            </w:pPr>
          </w:p>
        </w:tc>
        <w:tc>
          <w:tcPr>
            <w:tcW w:w="2720" w:type="dxa"/>
            <w:vAlign w:val="bottom"/>
          </w:tcPr>
          <w:p>
            <w:pPr>
              <w:jc w:val="right"/>
              <w:ind w:right="281"/>
              <w:spacing w:after="0"/>
              <w:rPr>
                <w:sz w:val="20"/>
                <w:szCs w:val="20"/>
                <w:color w:val="auto"/>
              </w:rPr>
            </w:pPr>
            <w:r>
              <w:rPr>
                <w:rFonts w:ascii="Arial" w:cs="Arial" w:eastAsia="Arial" w:hAnsi="Arial"/>
                <w:sz w:val="20"/>
                <w:szCs w:val="20"/>
                <w:b w:val="1"/>
                <w:bCs w:val="1"/>
                <w:color w:val="auto"/>
              </w:rPr>
              <w:t>Three Months Ended</w:t>
            </w:r>
          </w:p>
        </w:tc>
      </w:tr>
      <w:tr>
        <w:trPr>
          <w:trHeight w:val="257"/>
        </w:trPr>
        <w:tc>
          <w:tcPr>
            <w:tcW w:w="8520" w:type="dxa"/>
            <w:vAlign w:val="bottom"/>
            <w:tcBorders>
              <w:bottom w:val="single" w:sz="8" w:color="CCEEFF"/>
            </w:tcBorders>
          </w:tcPr>
          <w:p>
            <w:pPr>
              <w:spacing w:after="0"/>
              <w:rPr>
                <w:sz w:val="22"/>
                <w:szCs w:val="22"/>
                <w:color w:val="auto"/>
              </w:rPr>
            </w:pPr>
          </w:p>
        </w:tc>
        <w:tc>
          <w:tcPr>
            <w:tcW w:w="27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June 30, 2021</w:t>
            </w:r>
          </w:p>
        </w:tc>
      </w:tr>
      <w:tr>
        <w:trPr>
          <w:trHeight w:val="236"/>
        </w:trPr>
        <w:tc>
          <w:tcPr>
            <w:tcW w:w="8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Weighted average remaining lease-term</w:t>
            </w:r>
          </w:p>
        </w:tc>
        <w:tc>
          <w:tcPr>
            <w:tcW w:w="2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 years</w:t>
            </w:r>
          </w:p>
        </w:tc>
      </w:tr>
      <w:tr>
        <w:trPr>
          <w:trHeight w:val="247"/>
        </w:trPr>
        <w:tc>
          <w:tcPr>
            <w:tcW w:w="8520" w:type="dxa"/>
            <w:vAlign w:val="bottom"/>
          </w:tcPr>
          <w:p>
            <w:pPr>
              <w:ind w:left="20"/>
              <w:spacing w:after="0"/>
              <w:rPr>
                <w:sz w:val="20"/>
                <w:szCs w:val="20"/>
                <w:color w:val="auto"/>
              </w:rPr>
            </w:pPr>
            <w:r>
              <w:rPr>
                <w:rFonts w:ascii="Arial" w:cs="Arial" w:eastAsia="Arial" w:hAnsi="Arial"/>
                <w:sz w:val="20"/>
                <w:szCs w:val="20"/>
                <w:color w:val="auto"/>
              </w:rPr>
              <w:t>Weighted average discount rate</w:t>
            </w:r>
          </w:p>
        </w:tc>
        <w:tc>
          <w:tcPr>
            <w:tcW w:w="2720" w:type="dxa"/>
            <w:vAlign w:val="bottom"/>
          </w:tcPr>
          <w:p>
            <w:pPr>
              <w:jc w:val="right"/>
              <w:spacing w:after="0"/>
              <w:rPr>
                <w:sz w:val="20"/>
                <w:szCs w:val="20"/>
                <w:color w:val="auto"/>
              </w:rPr>
            </w:pPr>
            <w:r>
              <w:rPr>
                <w:rFonts w:ascii="Arial" w:cs="Arial" w:eastAsia="Arial" w:hAnsi="Arial"/>
                <w:sz w:val="20"/>
                <w:szCs w:val="20"/>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and other information related to operating leases are as follows: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jc w:val="right"/>
              <w:ind w:right="181"/>
              <w:spacing w:after="0"/>
              <w:rPr>
                <w:sz w:val="20"/>
                <w:szCs w:val="20"/>
                <w:color w:val="auto"/>
              </w:rPr>
            </w:pPr>
            <w:r>
              <w:rPr>
                <w:rFonts w:ascii="Arial" w:cs="Arial" w:eastAsia="Arial" w:hAnsi="Arial"/>
                <w:sz w:val="20"/>
                <w:szCs w:val="20"/>
                <w:b w:val="1"/>
                <w:bCs w:val="1"/>
                <w:color w:val="auto"/>
              </w:rPr>
              <w:t>Three Months Ended</w:t>
            </w:r>
          </w:p>
        </w:tc>
      </w:tr>
      <w:tr>
        <w:trPr>
          <w:trHeight w:val="257"/>
        </w:trPr>
        <w:tc>
          <w:tcPr>
            <w:tcW w:w="87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June 30, 2021</w:t>
            </w:r>
          </w:p>
        </w:tc>
      </w:tr>
      <w:tr>
        <w:trPr>
          <w:trHeight w:val="237"/>
        </w:trPr>
        <w:tc>
          <w:tcPr>
            <w:tcW w:w="8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cash flows from operating leases</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1,465</w:t>
            </w:r>
          </w:p>
        </w:tc>
      </w:tr>
      <w:tr>
        <w:trPr>
          <w:trHeight w:val="243"/>
        </w:trPr>
        <w:tc>
          <w:tcPr>
            <w:tcW w:w="8720" w:type="dxa"/>
            <w:vAlign w:val="bottom"/>
          </w:tcPr>
          <w:p>
            <w:pPr>
              <w:ind w:left="20"/>
              <w:spacing w:after="0"/>
              <w:rPr>
                <w:sz w:val="20"/>
                <w:szCs w:val="20"/>
                <w:color w:val="auto"/>
              </w:rPr>
            </w:pPr>
            <w:r>
              <w:rPr>
                <w:rFonts w:ascii="Arial" w:cs="Arial" w:eastAsia="Arial" w:hAnsi="Arial"/>
                <w:sz w:val="20"/>
                <w:szCs w:val="20"/>
                <w:color w:val="auto"/>
              </w:rPr>
              <w:t>Non cash investing activities:</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liabilities arising from obtaining right-of-use assets as of January 1, 2021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13,464</w:t>
            </w:r>
          </w:p>
        </w:tc>
      </w:tr>
      <w:tr>
        <w:trPr>
          <w:trHeight w:val="585"/>
        </w:trPr>
        <w:tc>
          <w:tcPr>
            <w:tcW w:w="8720" w:type="dxa"/>
            <w:vAlign w:val="bottom"/>
          </w:tcPr>
          <w:p>
            <w:pPr>
              <w:spacing w:after="0"/>
              <w:rPr>
                <w:sz w:val="20"/>
                <w:szCs w:val="20"/>
                <w:color w:val="auto"/>
              </w:rPr>
            </w:pPr>
            <w:r>
              <w:rPr>
                <w:rFonts w:ascii="Arial" w:cs="Arial" w:eastAsia="Arial" w:hAnsi="Arial"/>
                <w:sz w:val="20"/>
                <w:szCs w:val="20"/>
                <w:b w:val="1"/>
                <w:bCs w:val="1"/>
                <w:color w:val="auto"/>
              </w:rPr>
              <w:t>15.  Related Party Transactions</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Payable-Related Party</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Company had $0.6 million and $2.2 million as of June 30, 2021 and December 31, 2020, respectively, of accounts payable - related party with the former shareholders of Array. The payables relate to a federal tax refund related to the pre-Acquisition periods, restricted cash at Acquisition Date which were due to the sellers of Array upon release of the restriction offset by a receivable related to a sales/use tax audit from the pre-Acquisition period for which the seller provided the Company with indemnification.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Loan - see Note 9</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 - see Note 12</w:t>
      </w:r>
    </w:p>
    <w:p>
      <w:pPr>
        <w:spacing w:after="0" w:line="24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20"/>
          <w:szCs w:val="20"/>
          <w:b w:val="1"/>
          <w:bCs w:val="1"/>
          <w:i w:val="1"/>
          <w:iCs w:val="1"/>
          <w:color w:val="auto"/>
        </w:rPr>
        <w:t>ecurities Purchase Agreement</w:t>
      </w:r>
    </w:p>
    <w:p>
      <w:pPr>
        <w:spacing w:after="0" w:line="10" w:lineRule="exact"/>
        <w:rPr>
          <w:sz w:val="20"/>
          <w:szCs w:val="20"/>
          <w:color w:val="auto"/>
        </w:rPr>
      </w:pPr>
    </w:p>
    <w:p>
      <w:pPr>
        <w:ind w:right="120"/>
        <w:spacing w:after="0" w:line="226"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the Company issued and sold to the Purchaser 350,000 shares of a newly designated Series A Perpetual Preferred Stock of the Company, par value $0.001 per share (the “Series A Perpetual Preferred Stock”), having the powers, designations, preferences, and other rights set forth in the Certificate of Designations (as defined below), and 7,098,765 shares of the Company’s common stock, par value $0.001 per share (“Common Stock”), for an aggregate purchase price of $346.0 million (the “Initial Closing”). Further, pursuant to the Securities Purchase Agreement, and subject to the terms and conditions set forth therein, including the expiry or termination of the waiting period under the Hart-Scott-Rodino Antitrust Improvements Act of 1976, as amended, the Company has agreed to issue and sell to the Purchaser 776,235 shares of Common Stock for an aggregate purchase price of $776</w:t>
      </w:r>
      <w:r>
        <w:rPr>
          <w:rFonts w:ascii="Arial" w:cs="Arial" w:eastAsia="Arial" w:hAnsi="Arial"/>
          <w:sz w:val="17"/>
          <w:szCs w:val="17"/>
          <w:color w:val="auto"/>
        </w:rPr>
        <w:t>.</w:t>
      </w:r>
      <w:r>
        <w:rPr>
          <w:rFonts w:ascii="Arial" w:cs="Arial" w:eastAsia="Arial" w:hAnsi="Arial"/>
          <w:sz w:val="20"/>
          <w:szCs w:val="20"/>
          <w:color w:val="auto"/>
        </w:rPr>
        <w:t xml:space="preserve"> The Company intends to use the net proceeds from the Initial Closing to repay all of the outstanding amounts under the Company’s existing revolving credit facility and to prepay at least $100 million under the Company’s term loan and for general corporate purposes. Pursuant to the Securities Purchase Agreement, the Purchaser is entitled to designate one representative (the “Series A Director”) to be appointed to the Company’s board of directors (the “Board”), and to appoint three non-voting observers to the Board, in each case until such time as the Purchaser and its Permitted Transferees (as defined in the Securities Purchase Agreement) no longer beneficially own shares of the Series A Perpetual Preferred Stock with at least $100 million aggregate Liquidation Preference (as defined below).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249"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Perpetual Preferred Stock either in cash at the then-applicable Cash Regular Dividend Rate, through accrual to the Liquidation Preference at the Accrued Regular Dividend Rate (the “Permitted Accrued Dividends”), or a combination thereof. Folloing the fifth anniversary of the Initial Closing, dividends shall be payable only in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6"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cash. To the extent the Comany does not declare such dividends and pay in cash following the fifth anniversary of the Initial Closing, such dividends shall accrue to the Liquidation Preference (“Default Accrued Dividends”, and together with Permitted Accrued Dividends, “Accrued Dividends”) at the then-applicable Cash Regular Dividend Rate plus 200 basis points. In the event there are Default Accrued Dividends outstanding for six consecutive quarters, the Company, at the option of the holder of the Series A Perpetual Preferred Stock (each a “holder”), will pay 100% of the amount of Default Accrued Dividends by delivering to the Holder a number of shares of Common Stock equal to the quotient of (i) the amount of Default Accrued Dividends) divided by (ii) 95% of the 30-day VWAP of the Common Stock (“Non-Cash Dividend”).</w:t>
      </w:r>
    </w:p>
    <w:p>
      <w:pPr>
        <w:spacing w:after="0" w:line="228" w:lineRule="auto"/>
        <w:rPr>
          <w:sz w:val="20"/>
          <w:szCs w:val="20"/>
          <w:color w:val="auto"/>
        </w:rPr>
      </w:pPr>
      <w:r>
        <w:rPr>
          <w:rFonts w:ascii="Arial" w:cs="Arial" w:eastAsia="Arial" w:hAnsi="Arial"/>
          <w:sz w:val="20"/>
          <w:szCs w:val="20"/>
          <w:color w:val="auto"/>
        </w:rPr>
        <w:t>As used herein, “Cash Regular Dividend Rate” with respect to the Series A Perpetual Preferred Stock means (i)</w:t>
      </w:r>
    </w:p>
    <w:p>
      <w:pPr>
        <w:jc w:val="both"/>
        <w:ind w:right="180"/>
        <w:spacing w:after="0" w:line="241" w:lineRule="auto"/>
        <w:rPr>
          <w:sz w:val="20"/>
          <w:szCs w:val="20"/>
          <w:color w:val="auto"/>
        </w:rPr>
      </w:pPr>
      <w:r>
        <w:rPr>
          <w:rFonts w:ascii="Arial" w:cs="Arial" w:eastAsia="Arial" w:hAnsi="Arial"/>
          <w:sz w:val="20"/>
          <w:szCs w:val="20"/>
          <w:color w:val="auto"/>
        </w:rPr>
        <w:t>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with respect to the Series A Perpetual Preferred Stock means 6.25% per annum on the Liquidation Preference.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Closings</w:t>
      </w:r>
    </w:p>
    <w:p>
      <w:pPr>
        <w:spacing w:after="0" w:line="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Pursuant to the Securities Purchase Agreement, until June 30, 2023, the Company, subject to the terms and conditions set forth therein, shall have the option to require the Purchaser to purchase, in the aggregate, in one or more additional closings (the “Additional Closings”), up to 150,000 shares (the “Delayed Draw Commitment”) of the Series A Perpetual Preferred Stock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6"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Until June 30, 2023, the Company will pay the Purchaser a cash commitment premium on the unpurchased portion of Delayed Draw Commitment as follows:</w:t>
      </w:r>
    </w:p>
    <w:p>
      <w:pPr>
        <w:ind w:left="640" w:hanging="308"/>
        <w:spacing w:after="0" w:line="226"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0% through the six-month anniversary of the Initial Closing;</w:t>
      </w: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Customary Covenants</w:t>
      </w:r>
    </w:p>
    <w:p>
      <w:pPr>
        <w:spacing w:after="0" w:line="6"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The Securities Purchase Agreement, Certificate of Designations and Registration Rights Agreement (as defined below) contain other customary covenants and agreements, including certain standstill provisions and customary preemptive rights. The Delayed Draw Commitment is subject to certain customary anti-dilution adjustments provided under the Securities Purchase Agreement and Certificate of Designations, including for stock splits, reclassifications, combination’s and dividends or distributions made by the Company on the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Transfer Restrictions</w:t>
      </w:r>
    </w:p>
    <w:p>
      <w:pPr>
        <w:spacing w:after="0" w:line="6" w:lineRule="exact"/>
        <w:rPr>
          <w:sz w:val="20"/>
          <w:szCs w:val="20"/>
          <w:color w:val="auto"/>
        </w:rPr>
      </w:pPr>
    </w:p>
    <w:p>
      <w:pPr>
        <w:jc w:val="both"/>
        <w:ind w:right="160"/>
        <w:spacing w:after="0" w:line="232" w:lineRule="auto"/>
        <w:rPr>
          <w:sz w:val="20"/>
          <w:szCs w:val="20"/>
          <w:color w:val="auto"/>
        </w:rPr>
      </w:pPr>
      <w:r>
        <w:rPr>
          <w:rFonts w:ascii="Arial" w:cs="Arial" w:eastAsia="Arial" w:hAnsi="Arial"/>
          <w:sz w:val="20"/>
          <w:szCs w:val="20"/>
          <w:color w:val="auto"/>
        </w:rPr>
        <w:t>After the Initial Closing, subject to certain customary exceptions including transfers to Permitted Transferees (as defined in the Securities Purchase Agreement), the Purchaser will be restricted from transferring the Series A Perpetual Preferred Stock and Common Stock until the one-year anniversary of the Initial Closing.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Ranking and Liquidation Preference</w:t>
      </w:r>
    </w:p>
    <w:p>
      <w:pPr>
        <w:spacing w:after="0" w:line="6"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The Series A Perpetual Preferred Stock ranks senior to the Common Stock with respect to dividend rights and rights upon the voluntary or involuntary liquidation, dissolution or winding up of the affairs of the Company (a “Liquidation”). Upon a Liquidation, each share of Series A Perpetual Preferred Stock would be entitled to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spacing w:after="0" w:line="316"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receive an amount per share (the “Liquidation, Redemption or Repurchase Amount”) equal to the greater of (i) the Liquidation Preference of such share, plus all accrued and unpaid dividends (including any Accrued Dividends) thereon and (ii) an amount in cash equal to the sum of (a) 130.0% of the Initial Liquidation Preference of such share, minus (b) the cumulative amount of cash dividends paid in respect of such share prior to such payment. As used herein, “Liquidation Preference” means, with respect to any share of the Series A Perpetual Preferred Stock, the initial liquidation preference of $1,000 per share (the “Initial Liquidation Preference”) plus any Accrued Dividends of such share as of the time of determination.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 Rights</w:t>
      </w:r>
    </w:p>
    <w:p>
      <w:pPr>
        <w:spacing w:after="0" w:line="231" w:lineRule="auto"/>
        <w:rPr>
          <w:sz w:val="20"/>
          <w:szCs w:val="20"/>
          <w:color w:val="auto"/>
        </w:rPr>
      </w:pPr>
      <w:r>
        <w:rPr>
          <w:rFonts w:ascii="Arial" w:cs="Arial" w:eastAsia="Arial" w:hAnsi="Arial"/>
          <w:sz w:val="20"/>
          <w:szCs w:val="20"/>
          <w:color w:val="auto"/>
        </w:rPr>
        <w:t>The Company may redeem all or any portion of the Series A Perpetual Preferred Stock (in increments of not less than</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9"/>
          <w:szCs w:val="19"/>
          <w:color w:val="auto"/>
        </w:rPr>
        <w:t>$200 million based on the Liquidation Preference of such shares of Series A Perpetual Preferred Stock to be redeemed at such time (or such lesser amount to the extent the Company chooses to redeem all of the outstanding shares of Series A Perpetual Preferred Stock)) for an amount in cash equal to the Liquidation, Redemption or Repurchase Amount. Upon a “Fundamental Change” (involving a change of control, bankruptcy, insolvency or liquidation of the Company as further described in the Certificate of Designations), each Holder shall have the right to require the Company to redeem all or any part of the Holder’s Series A Perpetual Preferred Stock for an amount in cash equal to the Liquidation, Redemption or Repurchase Amount.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and Consent Rights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Each Holder of Series A Perpetual Preferred Stock will have one vote per share on any matter on which Holders of Series A Perpetual Preferred Stock are entitled to vote separately as a class (as described below), whether at a meeting or by written consent. The Holders of shares of Series A Perpetual Preferred Stock do not otherwise have any voting rights. The consent of the Holders of a majority of the outstanding shares of Series A Perpetual Preferred Stock will be required for so long as the Threshold Amount remains outstanding for (i) amendments to the Company’s organizational documents that have an adverse effect on the holders of Series A Perpetual Preferred Stock, (ii) issuances by the Company of securities that are senior to, or equal in priority with, the Series A Perpetual Preferred Stock, (iii) entrance into, or amendments to, transactions with affiliates of the Company, (iv) incurrence by the Company of indebtedness, unless the Consolidated Total Leverage Ratio (as defined in the Certificate of Designations) would not exceed 8.5-to-1 after giving effect to such incurrence (other than drawdowns by the Company under the Company’s current revolving credit facility) or (v) any payment of dividends or making of distributions on equity securities of the Company ranking junior to the Series A Perpetual Preferred Stock or redemptions, purchases or direct or indirect acquisitions of such equity securities ranking junior to or parity with the Series A Perpetual Preferred Stock by the Company, unless the Consolidated Total Leverage Ratio (as defined in the Certificate of Designations) would not exceed 8.5-to-1 after giving effect to such dividends, distributions, redemptions, purchases or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 Agreement</w:t>
      </w:r>
    </w:p>
    <w:p>
      <w:pPr>
        <w:spacing w:after="0" w:line="10"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In connection with the Securities Purchase Agreement, on August 10, 2021, the Company and the Purchaser entered into a Registration Rights Agreement (the “Registration Rights Agreement”) pursuant to which, among other things, the Company granted the Purchaser certain registration rights with respect to Common Stock purchased pursuant to the Securities Purchase Agreement and Non-Cash Dividend pursuant to the Certificate of Designations, including customary shelf registration rights and “piggyback”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ind w:right="2080"/>
        <w:spacing w:after="0" w:line="536"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spacing w:after="0" w:line="270"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should be read in conjunction with our unaudited condensed financial statements and the related notes and other financial information included in this Quarterly Report on Form 10-Q and our audited financial statements and notes thereto as of and for the years ended December 31, 2020, 2019 and 2018 and the related Management’s Discussion and Analysis of Financial Condition and Results of Operations, including Critical Accounting Policies and Significant Judgements and Estimates, included in our Annual Report on Form 10-K for the fiscal year ended December 31, 2020 filed with the Securities and Exchange Commission, or the SEC, on March 10, 2021.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on Form 10-Q and our Annual Report on Form 10-K for the fiscal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8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Important factors that could cause actual results to differ materially from our expectations include:</w:t>
      </w:r>
    </w:p>
    <w:p>
      <w:pPr>
        <w:spacing w:after="0" w:line="270" w:lineRule="exact"/>
        <w:rPr>
          <w:sz w:val="20"/>
          <w:szCs w:val="20"/>
          <w:color w:val="auto"/>
        </w:rPr>
      </w:pPr>
    </w:p>
    <w:p>
      <w:pPr>
        <w:ind w:left="1220" w:right="540" w:hanging="321"/>
        <w:spacing w:after="0" w:line="231" w:lineRule="auto"/>
        <w:tabs>
          <w:tab w:leader="none" w:pos="1215" w:val="left"/>
        </w:tabs>
        <w:numPr>
          <w:ilvl w:val="0"/>
          <w:numId w:val="18"/>
        </w:numPr>
        <w:rPr>
          <w:rFonts w:ascii="Arial" w:cs="Arial" w:eastAsia="Arial" w:hAnsi="Arial"/>
          <w:sz w:val="22"/>
          <w:szCs w:val="22"/>
          <w:color w:val="auto"/>
        </w:rPr>
      </w:pPr>
      <w:r>
        <w:rPr>
          <w:rFonts w:ascii="Arial" w:cs="Arial" w:eastAsia="Arial" w:hAnsi="Arial"/>
          <w:sz w:val="20"/>
          <w:szCs w:val="20"/>
          <w:color w:val="auto"/>
        </w:rPr>
        <w:t>the impacts on our business due to component shortages, disruptions in transportation or other supply chain related constraints including as a result of the COVID-19 pandemic;</w:t>
      </w:r>
    </w:p>
    <w:p>
      <w:pPr>
        <w:sectPr>
          <w:pgSz w:w="11900" w:h="16838" w:orient="portrait"/>
          <w:cols w:equalWidth="0" w:num="1">
            <w:col w:w="11220"/>
          </w:cols>
          <w:pgMar w:left="320" w:top="1097" w:right="359" w:bottom="1440" w:gutter="0" w:footer="0" w:header="0"/>
        </w:sectPr>
      </w:pPr>
    </w:p>
    <w:p>
      <w:pPr>
        <w:spacing w:after="0" w:line="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9020" w:val="left"/>
        </w:tabs>
        <w:rPr>
          <w:sz w:val="20"/>
          <w:szCs w:val="20"/>
          <w:color w:val="auto"/>
        </w:rPr>
      </w:pPr>
      <w:r>
        <w:rPr>
          <w:rFonts w:ascii="Arial" w:cs="Arial" w:eastAsia="Arial" w:hAnsi="Arial"/>
          <w:sz w:val="20"/>
          <w:szCs w:val="20"/>
          <w:color w:val="auto"/>
        </w:rPr>
        <w:t>if demand for solar energy projects does not continue to grow or grows at a slower rate than we</w:t>
      </w:r>
      <w:r>
        <w:rPr>
          <w:sz w:val="20"/>
          <w:szCs w:val="20"/>
          <w:color w:val="auto"/>
        </w:rPr>
        <w:tab/>
      </w:r>
      <w:r>
        <w:rPr>
          <w:rFonts w:ascii="Arial" w:cs="Arial" w:eastAsia="Arial" w:hAnsi="Arial"/>
          <w:sz w:val="19"/>
          <w:szCs w:val="19"/>
          <w:color w:val="auto"/>
        </w:rPr>
        <w:t>anticipate,</w:t>
      </w:r>
    </w:p>
    <w:p>
      <w:pPr>
        <w:spacing w:after="0"/>
        <w:rPr>
          <w:sz w:val="20"/>
          <w:szCs w:val="20"/>
          <w:color w:val="auto"/>
        </w:rPr>
      </w:pPr>
      <w:r>
        <w:rPr>
          <w:rFonts w:ascii="Arial" w:cs="Arial" w:eastAsia="Arial" w:hAnsi="Arial"/>
          <w:sz w:val="20"/>
          <w:szCs w:val="20"/>
          <w:color w:val="auto"/>
        </w:rPr>
        <w:t>our business will suffer;</w:t>
      </w:r>
    </w:p>
    <w:p>
      <w:pPr>
        <w:spacing w:after="0" w:line="7" w:lineRule="exact"/>
        <w:rPr>
          <w:sz w:val="20"/>
          <w:szCs w:val="20"/>
          <w:color w:val="auto"/>
        </w:rPr>
      </w:pPr>
    </w:p>
    <w:p>
      <w:pPr>
        <w:sectPr>
          <w:pgSz w:w="11900" w:h="16838" w:orient="portrait"/>
          <w:cols w:equalWidth="0" w:num="2">
            <w:col w:w="960" w:space="260"/>
            <w:col w:w="10000"/>
          </w:cols>
          <w:pgMar w:left="320" w:top="1097" w:right="359" w:bottom="1440" w:gutter="0" w:footer="0" w:header="0"/>
          <w:type w:val="continuous"/>
        </w:sectPr>
      </w:pPr>
    </w:p>
    <w:p>
      <w:pPr>
        <w:ind w:left="1220" w:right="480" w:hanging="321"/>
        <w:spacing w:after="0" w:line="235" w:lineRule="auto"/>
        <w:tabs>
          <w:tab w:leader="none" w:pos="1208"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1" w:lineRule="exact"/>
        <w:rPr>
          <w:rFonts w:ascii="Arial" w:cs="Arial" w:eastAsia="Arial" w:hAnsi="Arial"/>
          <w:sz w:val="20"/>
          <w:szCs w:val="20"/>
          <w:color w:val="auto"/>
        </w:rPr>
      </w:pPr>
    </w:p>
    <w:p>
      <w:pPr>
        <w:ind w:left="1220" w:right="80" w:hanging="321"/>
        <w:spacing w:after="0" w:line="239" w:lineRule="auto"/>
        <w:tabs>
          <w:tab w:leader="none" w:pos="120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ind w:left="1220" w:right="620" w:hanging="321"/>
        <w:spacing w:after="0" w:line="246" w:lineRule="auto"/>
        <w:tabs>
          <w:tab w:leader="none" w:pos="120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29" w:name="page30"/>
    <w:bookmarkEnd w:id="29"/>
    <w:p>
      <w:pPr>
        <w:jc w:val="both"/>
        <w:ind w:left="1220" w:right="58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1" w:lineRule="exact"/>
        <w:rPr>
          <w:rFonts w:ascii="Arial" w:cs="Arial" w:eastAsia="Arial" w:hAnsi="Arial"/>
          <w:sz w:val="20"/>
          <w:szCs w:val="20"/>
          <w:color w:val="auto"/>
        </w:rPr>
      </w:pPr>
    </w:p>
    <w:p>
      <w:pPr>
        <w:ind w:left="1220" w:right="2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1" w:lineRule="exact"/>
        <w:rPr>
          <w:rFonts w:ascii="Arial" w:cs="Arial" w:eastAsia="Arial" w:hAnsi="Arial"/>
          <w:sz w:val="20"/>
          <w:szCs w:val="20"/>
          <w:color w:val="auto"/>
        </w:rPr>
      </w:pPr>
    </w:p>
    <w:p>
      <w:pPr>
        <w:ind w:left="1220" w:right="34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on imports and exports;</w:t>
      </w:r>
    </w:p>
    <w:p>
      <w:pPr>
        <w:ind w:left="1220" w:right="6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could adversely affect the amount or timing of our revenues, results of operations or cash flows;</w:t>
      </w:r>
    </w:p>
    <w:p>
      <w:pPr>
        <w:ind w:left="1220" w:right="50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1" w:lineRule="exact"/>
        <w:rPr>
          <w:rFonts w:ascii="Arial" w:cs="Arial" w:eastAsia="Arial" w:hAnsi="Arial"/>
          <w:sz w:val="20"/>
          <w:szCs w:val="20"/>
          <w:color w:val="auto"/>
        </w:rPr>
      </w:pPr>
    </w:p>
    <w:p>
      <w:pPr>
        <w:ind w:left="1220" w:right="660" w:hanging="321"/>
        <w:spacing w:after="0" w:line="252" w:lineRule="auto"/>
        <w:tabs>
          <w:tab w:leader="none" w:pos="1208"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we fail to, or incur significant costs in order to, obtain, maintain, protect, defend or enforce, our intellectual property and other proprietary rights, our business and results of operations could be materially harmed;</w:t>
      </w:r>
    </w:p>
    <w:p>
      <w:pPr>
        <w:ind w:left="1220" w:right="22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1" w:lineRule="exact"/>
        <w:rPr>
          <w:rFonts w:ascii="Arial" w:cs="Arial" w:eastAsia="Arial" w:hAnsi="Arial"/>
          <w:sz w:val="20"/>
          <w:szCs w:val="20"/>
          <w:color w:val="auto"/>
        </w:rPr>
      </w:pPr>
    </w:p>
    <w:p>
      <w:pPr>
        <w:ind w:left="1220" w:hanging="321"/>
        <w:spacing w:after="0"/>
        <w:tabs>
          <w:tab w:leader="none" w:pos="12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jc w:val="both"/>
        <w:ind w:left="1220" w:right="58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are dependent on transportation and logistics providers to deliver our products in a cost efficient manner. Disruptions to transportation and logistics, including increases in shipping costs, could adversely impact our financial condition and results of operations;</w:t>
      </w:r>
    </w:p>
    <w:p>
      <w:pPr>
        <w:spacing w:after="0" w:line="1" w:lineRule="exact"/>
        <w:rPr>
          <w:rFonts w:ascii="Arial" w:cs="Arial" w:eastAsia="Arial" w:hAnsi="Arial"/>
          <w:sz w:val="20"/>
          <w:szCs w:val="20"/>
          <w:color w:val="auto"/>
        </w:rPr>
      </w:pPr>
    </w:p>
    <w:p>
      <w:pPr>
        <w:ind w:left="1220" w:right="28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requirements of being a public company may strain our resources, divert management’s attention and affect our ability to attract and retain qualified board members and officers;</w:t>
      </w:r>
    </w:p>
    <w:p>
      <w:pPr>
        <w:ind w:left="1220" w:right="70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face risks related to actual or threatened health epidemics, such as the COVID-19 pandemic, and other outbreaks, which could significantly disrupt our manufacturing and operations; and</w:t>
      </w:r>
    </w:p>
    <w:p>
      <w:pPr>
        <w:ind w:left="1220" w:hanging="321"/>
        <w:spacing w:after="0"/>
        <w:tabs>
          <w:tab w:leader="none" w:pos="12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certain provisions in our certificate of incorporation and our bylaws may delay or prevent a change of control.</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80"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up to 25% more energy than projects that use “fixed tilt” mounting systems, which do not move.</w:t>
      </w:r>
    </w:p>
    <w:p>
      <w:pPr>
        <w:spacing w:after="0" w:line="23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0" w:name="page31"/>
    <w:bookmarkEnd w:id="30"/>
    <w:p>
      <w:pPr>
        <w:spacing w:after="0" w:line="256"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In the six months ended June 30, 2021, we derived 99% and 1% of our revenues from customers in the U.S. and rest of the world, respectively.</w:t>
      </w:r>
    </w:p>
    <w:p>
      <w:pPr>
        <w:spacing w:after="0" w:line="234"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June 30, 2021, we had 387 full-time employees.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Purchase Agreement</w:t>
      </w:r>
    </w:p>
    <w:p>
      <w:pPr>
        <w:spacing w:after="0" w:line="253" w:lineRule="exact"/>
        <w:rPr>
          <w:sz w:val="20"/>
          <w:szCs w:val="20"/>
          <w:color w:val="auto"/>
        </w:rPr>
      </w:pPr>
    </w:p>
    <w:p>
      <w:pPr>
        <w:ind w:right="60"/>
        <w:spacing w:after="0" w:line="226"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the Company issued and sold to the Purchaser 350,000 shares of a newly designated Series A Perpetual Preferred Stock of the Company, par value $0.001 per share (the “Series A Perpetual Preferred Stock”), having the powers, designations, preferences, and other rights set forth in the Certificate of Designations (as defined below), and 7,098,765 shares of the Company’s common stock, par value $0.001 per share (“Common Stock”), for an aggregate purchase price of $346.0 million (the “Initial Closing”). Further, pursuant to the Securities Purchase Agreement, and subject to the terms and conditions set forth therein, including the expiry or termination of the waiting period under the Hart-Scott-Rodino Antitrust Improvements Act of 1976, as amended, the Company has agreed to issue and sell to the Purchaser 776,235 shares of Common Stock for an aggregate purchase price of $776</w:t>
      </w:r>
      <w:r>
        <w:rPr>
          <w:rFonts w:ascii="Arial" w:cs="Arial" w:eastAsia="Arial" w:hAnsi="Arial"/>
          <w:sz w:val="17"/>
          <w:szCs w:val="17"/>
          <w:color w:val="auto"/>
        </w:rPr>
        <w:t>.</w:t>
      </w:r>
      <w:r>
        <w:rPr>
          <w:rFonts w:ascii="Arial" w:cs="Arial" w:eastAsia="Arial" w:hAnsi="Arial"/>
          <w:sz w:val="20"/>
          <w:szCs w:val="20"/>
          <w:color w:val="auto"/>
        </w:rPr>
        <w:t xml:space="preserve"> The Company intends to use the net proceeds from the Initial Closing to repay all of the outstanding amounts under the Company’s existing revolving credit facility and to prepay at least $100 million under the Company’s term loan and for general corporate purposes. Pursuant to the Securities Purchase Agreement, the Purchaser is entitled to designate one representative (the “Series A Director”) to be appointed to the Company’s board of directors (the “Board”), and to appoint three non-voting observers to the Board, in each case until such time as the Purchaser and its Permitted Transferees (as defined in the Securities Purchase Agreement) no longer beneficially own shares of the Series A Perpetual Preferred Stock with at least $100 million aggregate Liquidation Preference (as defined below).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249"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color w:val="auto"/>
        </w:rPr>
        <w:t>On or prior to the fifth anniversary of the Initial Closing, the Company may pay dividends on the Series A Perpetual Preferred Stock either in cash at the then-applicable Cash Regular Dividend Rate, through accrual to the Liquidation Preference at the Accrued Regular Dividend Rate (the “Permitted Accrued Dividends”), or a combination thereof. Folloing the fifth anniversary of the Initial Closing, dividends shall be payable only in cash. To the extent the Comany does not declare such dividends and pay in cash following the fifth anniversary of the Initial Closing, such dividends shall accrue to the Liquidation Preference (“Default Accrued Dividends”, and together with Permitted Accrued Dividends, “Accrued Dividends”) at the then-applicable Cash Regular Dividend Rate plus 200 basis points. In the event there are Default Accrued Dividends outstanding for six consecutive quarters, the Company, at the option of the holder of the Series A Perpetual Preferred Stock (each a “holder”), will pay 100% of the amount of Default Accrued Dividends by delivering to the Holder a number of shares of Common Stock equal to the quotient of</w:t>
      </w:r>
    </w:p>
    <w:p>
      <w:pPr>
        <w:spacing w:after="0" w:line="2" w:lineRule="exact"/>
        <w:rPr>
          <w:sz w:val="20"/>
          <w:szCs w:val="20"/>
          <w:color w:val="auto"/>
        </w:rPr>
      </w:pPr>
    </w:p>
    <w:p>
      <w:pPr>
        <w:ind w:right="740" w:firstLine="8"/>
        <w:spacing w:after="0" w:line="225" w:lineRule="auto"/>
        <w:tabs>
          <w:tab w:leader="none" w:pos="231"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amount of Default Accrued Dividends) divided by (ii) 95% of the 30-day VWAP of the Common Stock (“Non-Cash Dividend”).</w:t>
      </w:r>
    </w:p>
    <w:p>
      <w:pPr>
        <w:spacing w:after="0" w:line="225" w:lineRule="auto"/>
        <w:rPr>
          <w:rFonts w:ascii="Arial" w:cs="Arial" w:eastAsia="Arial" w:hAnsi="Arial"/>
          <w:sz w:val="20"/>
          <w:szCs w:val="20"/>
          <w:color w:val="auto"/>
        </w:rPr>
      </w:pPr>
      <w:r>
        <w:rPr>
          <w:rFonts w:ascii="Arial" w:cs="Arial" w:eastAsia="Arial" w:hAnsi="Arial"/>
          <w:sz w:val="20"/>
          <w:szCs w:val="20"/>
          <w:color w:val="auto"/>
        </w:rPr>
        <w:t>As used herein, “Cash Regular Dividend Rate” with respect to the Series A Perpetual Preferred Stock means (i)</w:t>
      </w:r>
    </w:p>
    <w:p>
      <w:pPr>
        <w:jc w:val="both"/>
        <w:ind w:right="180"/>
        <w:spacing w:after="0" w:line="241" w:lineRule="auto"/>
        <w:rPr>
          <w:rFonts w:ascii="Arial" w:cs="Arial" w:eastAsia="Arial" w:hAnsi="Arial"/>
          <w:sz w:val="20"/>
          <w:szCs w:val="20"/>
          <w:color w:val="auto"/>
        </w:rPr>
      </w:pPr>
      <w:r>
        <w:rPr>
          <w:rFonts w:ascii="Arial" w:cs="Arial" w:eastAsia="Arial" w:hAnsi="Arial"/>
          <w:sz w:val="20"/>
          <w:szCs w:val="20"/>
          <w:color w:val="auto"/>
        </w:rPr>
        <w:t>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with respect to the Series A Perpetual Preferred Stock means 6.25% per annum on the Liquidation Preference.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4" w:right="399" w:bottom="1440" w:gutter="0" w:footer="0" w:header="0"/>
        </w:sectPr>
      </w:pPr>
    </w:p>
    <w:bookmarkStart w:id="31" w:name="page32"/>
    <w:bookmarkEnd w:id="31"/>
    <w:p>
      <w:pPr>
        <w:ind w:right="40"/>
        <w:spacing w:after="0" w:line="229" w:lineRule="auto"/>
        <w:rPr>
          <w:sz w:val="20"/>
          <w:szCs w:val="20"/>
          <w:color w:val="auto"/>
        </w:rPr>
      </w:pPr>
      <w:r>
        <w:rPr>
          <w:rFonts w:ascii="Arial" w:cs="Arial" w:eastAsia="Arial" w:hAnsi="Arial"/>
          <w:sz w:val="20"/>
          <w:szCs w:val="20"/>
          <w:color w:val="auto"/>
        </w:rPr>
        <w:t>Pursuant to the Securities Purchase Agreement, until June 30, 2023, the Company, subject to the terms and conditions set forth therein, shall have the option to require the Purchaser to purchase, in the aggregate, in one or more additional closings (the “Additional Closings”), up to 150,000 shares (the “Delayed Draw Commitment”) of the Series A Perpetual Preferred Stock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6" w:lineRule="exact"/>
        <w:rPr>
          <w:sz w:val="20"/>
          <w:szCs w:val="20"/>
          <w:color w:val="auto"/>
        </w:rPr>
      </w:pPr>
    </w:p>
    <w:p>
      <w:pPr>
        <w:ind w:right="160"/>
        <w:spacing w:after="0" w:line="225" w:lineRule="auto"/>
        <w:rPr>
          <w:sz w:val="20"/>
          <w:szCs w:val="20"/>
          <w:color w:val="auto"/>
        </w:rPr>
      </w:pPr>
      <w:r>
        <w:rPr>
          <w:rFonts w:ascii="Arial" w:cs="Arial" w:eastAsia="Arial" w:hAnsi="Arial"/>
          <w:sz w:val="20"/>
          <w:szCs w:val="20"/>
          <w:color w:val="auto"/>
        </w:rPr>
        <w:t>Until June 30, 2023, the Company will pay the Purchaser a cash commitment premium on the unpurchased portion of Delayed Draw Commitment as follows:</w:t>
      </w:r>
    </w:p>
    <w:p>
      <w:pPr>
        <w:ind w:left="640" w:hanging="308"/>
        <w:spacing w:after="0" w:line="226" w:lineRule="auto"/>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0% through the six-month anniversary of the Initial Closing;</w:t>
      </w:r>
    </w:p>
    <w:p>
      <w:pPr>
        <w:ind w:left="640" w:hanging="308"/>
        <w:spacing w:after="0" w:line="225" w:lineRule="auto"/>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 Agreement</w:t>
      </w:r>
    </w:p>
    <w:p>
      <w:pPr>
        <w:spacing w:after="0" w:line="10"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In connection with the Securities Purchase Agreement, on August [9], 2021, the Company and the Purchaser entered into a Registration Rights Agreement pursuant to which, among other things, the Company granted the Purchaser certain registration rights with respect to Common Stock purchased pursuant to the Securities Purchase Agreement, including customary shelf registration rights and “piggyback” registration rights.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the Impact of COVID-19</w:t>
      </w:r>
    </w:p>
    <w:p>
      <w:pPr>
        <w:spacing w:after="0" w:line="28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With the second wave of the pandemic including follow-on variants of COVID-19, we continue to closely monitor the situation in all the locations where we operate. Our priority remains the welfare of our employees. We expect persistent waves of COVID-19 to remain a headwind into the near future. Refer to “Risk Factors - The ongoing COVID-19 pandemic has materially and adversely affected our business and results of operations. The duration and extent to which it will continue to adversely impact our business and results of operations remains uncertain and could be material,” as disclosed in Part II, “Item 1A. Risk Factors.”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continuously evaluating our capital structure in response to the current environment and expect that our current financial condition, including our liquidity sources are adequate to fund future commitments. See additional discussion in the Liquidity and Capital Resources section below.</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28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is measured for each individual project and is calculated based on the expected output of that project once installed and fully operational.</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generate revenue from the sale of solar tracking systems and parts.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36"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 our global footprint to new evolving markets, grow our production capabilities to meet demand and to continue to develop and introduce new and innovative products that address the changing technology and performance requirements of our customers.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Revenue and Gross Profit</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Cost of revenue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We do not currently hedge against changes in the price of raw materials. Some of these costs, primarily personnel and depreciation of test and manufacturing equipment, are not directly affected by sales volume.</w:t>
      </w:r>
    </w:p>
    <w:p>
      <w:pPr>
        <w:spacing w:after="0" w:line="239" w:lineRule="exact"/>
        <w:rPr>
          <w:sz w:val="20"/>
          <w:szCs w:val="20"/>
          <w:color w:val="auto"/>
        </w:rPr>
      </w:pPr>
    </w:p>
    <w:p>
      <w:pPr>
        <w:ind w:right="240"/>
        <w:spacing w:after="0" w:line="261"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37"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Operating expenses consist of general and administrative costs, contingent consideration, as well as depreciation and amortization expense. Personnel-related costs are the most significant component of our operating expenses and include salaries, benefits, payroll taxes and commissions. Our full-time employee headcount in our general and administrative departments has grown from approximately 150 as of December 31, 2019 to approximately 177 as of December 31, 2020 and 175 at June 30, 2021,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continued technological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sectPr>
      </w:pPr>
    </w:p>
    <w:bookmarkStart w:id="33" w:name="page34"/>
    <w:bookmarkEnd w:id="33"/>
    <w:p>
      <w:pPr>
        <w:ind w:right="80"/>
        <w:spacing w:after="0" w:line="261" w:lineRule="auto"/>
        <w:rPr>
          <w:sz w:val="20"/>
          <w:szCs w:val="20"/>
          <w:color w:val="auto"/>
        </w:rPr>
      </w:pPr>
      <w:r>
        <w:rPr>
          <w:rFonts w:ascii="Arial" w:cs="Arial" w:eastAsia="Arial" w:hAnsi="Arial"/>
          <w:sz w:val="20"/>
          <w:szCs w:val="20"/>
          <w:color w:val="auto"/>
        </w:rPr>
        <w:t>advancement and anticipate that general and administrative and depreciation expenses will increase in absolute dollar amounts for the foreseeable future.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33"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General and administrative expenses consist primarily of salaries, equity-based compensation, employee benefits and payroll taxes related to our executives, sales, finance, human resources, information technology, engineering and legal organizations, as well as travel, facilities costs, marketing, bad debt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2020 were in the U.S.; however, during the year we expanded our international presence with additional global sales staff. We currently have a sales presence in the U.S., Australia, the U.K. and Brazil. We intend to continue to expand our sales presence and marketing efforts to additional countries. We also expect that as a public company we will incur additional audit, tax, accounting, legal and other costs related to compliance with applicable securities and other regulations, as well as additional insurance, investor relations and other costs associated with being a public company. We also anticipate an increase in our spend related to product innovation as we hire additional engineering resources and increase our external research &amp; development spend.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200"/>
        <w:spacing w:after="0" w:line="277" w:lineRule="auto"/>
        <w:rPr>
          <w:sz w:val="20"/>
          <w:szCs w:val="20"/>
          <w:color w:val="auto"/>
        </w:rPr>
      </w:pPr>
      <w:r>
        <w:rPr>
          <w:rFonts w:ascii="Arial" w:cs="Arial" w:eastAsia="Arial" w:hAnsi="Arial"/>
          <w:sz w:val="19"/>
          <w:szCs w:val="19"/>
          <w:color w:val="auto"/>
        </w:rPr>
        <w:t>Contingent consideration consists of the changes in fair value of the earn-out and the Tax Receivable Agreement (“TRA”) entered into with Ron P. Corio, a former indirect stockholder, concurrent with the Acquisition of Array Technologies Patent Holdings Co., LLC (“Patent LLC”) by ATI Investment Parent, LLC (“Former Parent”) Former Parent’s acquisition of Patent LLC.</w:t>
      </w:r>
    </w:p>
    <w:p>
      <w:pPr>
        <w:spacing w:after="0" w:line="215"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The earn-out liability was recorded at fair value as of July 8, 2016 (the “Acquisition Date”) and subsequent changes in the fair value are recognized in earnings. Fair value of the earn-out liability is measured based upon the expected return of investment of Former Parent, among other things. Cash payments related to the earn-out liability are required to be evaluated upon the occurrence of certain events, including the consummation of an initial public offering; the sale, transfer, assignment, pledge, encumbrance, distribution or disposition of shares of Former Parent held by Oaktree Power Opportunities Fund IV (Delaware) Holdings, L.P. and Oaktree ATI Investors, L.P. to a third party; the sale of equity securities or assets of Former Parent, ATI Investment Sub, Inc. (“Investment Sub”) or the Company to a third-party; or a merger, consolidation, recapitalization or reorganization of Former Parent, Investment Sub, or the Company. Our initial public offering of common stock (“IPO”), the cash distribution of $589 million that we paid to ATI Investment Parent, LLC upon the closing of our IPO and our Follow-on Offering of common stock in December 2020 (the “2020 Follow-on Offering”) required the Company to make a cash payment of $9.1 million in October 2020 and $15.9 million in December 2020. As a result of these payments our earn-out liability has been paid in full.</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TRA liability was recorded at fair value at the Acquisition Date and subsequent changes in the fair value are recognized in earnings. The TRA will generally provide for the payment by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4" w:name="page35"/>
    <w:bookmarkEnd w:id="34"/>
    <w:p>
      <w:pPr>
        <w:jc w:val="both"/>
        <w:ind w:right="440"/>
        <w:spacing w:after="0" w:line="277" w:lineRule="auto"/>
        <w:rPr>
          <w:sz w:val="20"/>
          <w:szCs w:val="20"/>
          <w:color w:val="auto"/>
        </w:rPr>
      </w:pPr>
      <w:r>
        <w:rPr>
          <w:rFonts w:ascii="Arial" w:cs="Arial" w:eastAsia="Arial" w:hAnsi="Arial"/>
          <w:sz w:val="19"/>
          <w:szCs w:val="19"/>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Amortization of intangibles consist of developed technology, customer relationships and internal-use software modifications over their expected period of use.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Expenses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9"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and our Senior ABL Facility, interest on the Senior Secured Promissory Note, and interest on our Prior Term Loan Facility (as defined below), which was fully repaid on February 2,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33"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We are subject to federal and state income taxes in the United States. As we expand into foreign markets, we may be subject to foreign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set forth our consolidated statement of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20"/>
                <w:szCs w:val="20"/>
                <w:b w:val="1"/>
                <w:bCs w:val="1"/>
                <w:color w:val="auto"/>
                <w:w w:val="99"/>
              </w:rPr>
              <w:t>Three Months Ended</w:t>
            </w:r>
          </w:p>
        </w:tc>
        <w:tc>
          <w:tcPr>
            <w:tcW w:w="140" w:type="dxa"/>
            <w:vAlign w:val="bottom"/>
          </w:tcPr>
          <w:p>
            <w:pPr>
              <w:spacing w:after="0"/>
              <w:rPr>
                <w:sz w:val="19"/>
                <w:szCs w:val="19"/>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20"/>
                <w:szCs w:val="20"/>
                <w:b w:val="1"/>
                <w:bCs w:val="1"/>
                <w:color w:val="auto"/>
              </w:rPr>
              <w:t>Increase/Decrease</w:t>
            </w:r>
          </w:p>
        </w:tc>
        <w:tc>
          <w:tcPr>
            <w:tcW w:w="2380" w:type="dxa"/>
            <w:vAlign w:val="bottom"/>
            <w:gridSpan w:val="6"/>
          </w:tcPr>
          <w:p>
            <w:pPr>
              <w:jc w:val="right"/>
              <w:ind w:right="120"/>
              <w:spacing w:after="0"/>
              <w:rPr>
                <w:sz w:val="20"/>
                <w:szCs w:val="20"/>
                <w:color w:val="auto"/>
              </w:rPr>
            </w:pPr>
            <w:r>
              <w:rPr>
                <w:rFonts w:ascii="Arial" w:cs="Arial" w:eastAsia="Arial" w:hAnsi="Arial"/>
                <w:sz w:val="20"/>
                <w:szCs w:val="20"/>
                <w:b w:val="1"/>
                <w:bCs w:val="1"/>
                <w:color w:val="auto"/>
                <w:w w:val="99"/>
              </w:rPr>
              <w:t>Six Months Ended June</w:t>
            </w:r>
          </w:p>
        </w:tc>
        <w:tc>
          <w:tcPr>
            <w:tcW w:w="180" w:type="dxa"/>
            <w:vAlign w:val="bottom"/>
          </w:tcPr>
          <w:p>
            <w:pPr>
              <w:spacing w:after="0"/>
              <w:rPr>
                <w:sz w:val="19"/>
                <w:szCs w:val="19"/>
                <w:color w:val="auto"/>
              </w:rPr>
            </w:pPr>
          </w:p>
        </w:tc>
        <w:tc>
          <w:tcPr>
            <w:tcW w:w="2100" w:type="dxa"/>
            <w:vAlign w:val="bottom"/>
            <w:gridSpan w:val="3"/>
            <w:vMerge w:val="restart"/>
          </w:tcPr>
          <w:p>
            <w:pPr>
              <w:jc w:val="right"/>
              <w:ind w:right="181"/>
              <w:spacing w:after="0"/>
              <w:rPr>
                <w:sz w:val="20"/>
                <w:szCs w:val="20"/>
                <w:color w:val="auto"/>
              </w:rPr>
            </w:pPr>
            <w:r>
              <w:rPr>
                <w:rFonts w:ascii="Arial" w:cs="Arial" w:eastAsia="Arial" w:hAnsi="Arial"/>
                <w:sz w:val="20"/>
                <w:szCs w:val="20"/>
                <w:b w:val="1"/>
                <w:bCs w:val="1"/>
                <w:color w:val="auto"/>
              </w:rPr>
              <w:t>Increase/Decrease</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20"/>
                <w:szCs w:val="20"/>
                <w:b w:val="1"/>
                <w:bCs w:val="1"/>
                <w:color w:val="auto"/>
                <w:w w:val="97"/>
              </w:rPr>
              <w:t>June 30,</w:t>
            </w:r>
          </w:p>
        </w:tc>
        <w:tc>
          <w:tcPr>
            <w:tcW w:w="140" w:type="dxa"/>
            <w:vAlign w:val="bottom"/>
          </w:tcPr>
          <w:p>
            <w:pPr>
              <w:spacing w:after="0"/>
              <w:rPr>
                <w:sz w:val="21"/>
                <w:szCs w:val="21"/>
                <w:color w:val="auto"/>
              </w:rPr>
            </w:pPr>
          </w:p>
        </w:tc>
        <w:tc>
          <w:tcPr>
            <w:tcW w:w="2000" w:type="dxa"/>
            <w:vAlign w:val="bottom"/>
            <w:gridSpan w:val="4"/>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3"/>
          </w:tcPr>
          <w:p>
            <w:pPr>
              <w:jc w:val="right"/>
              <w:ind w:right="41"/>
              <w:spacing w:after="0"/>
              <w:rPr>
                <w:sz w:val="20"/>
                <w:szCs w:val="20"/>
                <w:color w:val="auto"/>
              </w:rPr>
            </w:pPr>
            <w:r>
              <w:rPr>
                <w:rFonts w:ascii="Arial" w:cs="Arial" w:eastAsia="Arial" w:hAnsi="Arial"/>
                <w:sz w:val="20"/>
                <w:szCs w:val="20"/>
                <w:b w:val="1"/>
                <w:bCs w:val="1"/>
                <w:color w:val="auto"/>
              </w:rPr>
              <w:t>30,</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202,796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114,916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87,880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76 %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448,728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552,634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(103,906)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176,009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92,714</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83,295</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90 %</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378,083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412,016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(33,933)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26,787</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22,202</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21 %</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70,645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140,618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(69,973)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line="199" w:lineRule="exact"/>
              <w:rPr>
                <w:sz w:val="20"/>
                <w:szCs w:val="20"/>
                <w:color w:val="auto"/>
              </w:rPr>
            </w:pPr>
            <w:r>
              <w:rPr>
                <w:rFonts w:ascii="Arial" w:cs="Arial" w:eastAsia="Arial" w:hAnsi="Arial"/>
                <w:sz w:val="20"/>
                <w:szCs w:val="20"/>
                <w:color w:val="auto"/>
              </w:rPr>
              <w:t>General and</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15,113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11,192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3,921</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35 %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39,786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22,899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16,887</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74 %</w:t>
            </w:r>
          </w:p>
        </w:tc>
        <w:tc>
          <w:tcPr>
            <w:tcW w:w="0" w:type="dxa"/>
            <w:vAlign w:val="bottom"/>
          </w:tcPr>
          <w:p>
            <w:pPr>
              <w:spacing w:after="0"/>
              <w:rPr>
                <w:sz w:val="1"/>
                <w:szCs w:val="1"/>
                <w:color w:val="auto"/>
              </w:rPr>
            </w:pPr>
          </w:p>
        </w:tc>
      </w:tr>
      <w:tr>
        <w:trPr>
          <w:trHeight w:val="233"/>
        </w:trPr>
        <w:tc>
          <w:tcPr>
            <w:tcW w:w="1920" w:type="dxa"/>
            <w:vAlign w:val="bottom"/>
          </w:tcPr>
          <w:p>
            <w:pPr>
              <w:ind w:left="20"/>
              <w:spacing w:after="0"/>
              <w:rPr>
                <w:sz w:val="20"/>
                <w:szCs w:val="20"/>
                <w:color w:val="auto"/>
              </w:rPr>
            </w:pPr>
            <w:r>
              <w:rPr>
                <w:rFonts w:ascii="Arial" w:cs="Arial" w:eastAsia="Arial" w:hAnsi="Arial"/>
                <w:sz w:val="20"/>
                <w:szCs w:val="20"/>
                <w:color w:val="auto"/>
              </w:rPr>
              <w:t>administrative</w:t>
            </w: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9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Contingent</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3,430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(3,443)</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(2,282)</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3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consideration</w:t>
            </w: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line="199" w:lineRule="exact"/>
              <w:rPr>
                <w:sz w:val="20"/>
                <w:szCs w:val="20"/>
                <w:color w:val="auto"/>
              </w:rPr>
            </w:pPr>
            <w:r>
              <w:rPr>
                <w:rFonts w:ascii="Arial" w:cs="Arial" w:eastAsia="Arial" w:hAnsi="Arial"/>
                <w:sz w:val="20"/>
                <w:szCs w:val="20"/>
                <w:color w:val="auto"/>
              </w:rPr>
              <w:t>Depreciation and</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5,981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6,369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(388)</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11,965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12,743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(778)</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amortization</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920" w:type="dxa"/>
            <w:vAlign w:val="bottom"/>
            <w:shd w:val="clear" w:color="auto" w:fill="CCEEFF"/>
          </w:tcPr>
          <w:p>
            <w:pPr>
              <w:ind w:left="240"/>
              <w:spacing w:after="0" w:line="179" w:lineRule="exact"/>
              <w:rPr>
                <w:sz w:val="20"/>
                <w:szCs w:val="20"/>
                <w:color w:val="auto"/>
              </w:rPr>
            </w:pPr>
            <w:r>
              <w:rPr>
                <w:rFonts w:ascii="Arial" w:cs="Arial" w:eastAsia="Arial" w:hAnsi="Arial"/>
                <w:sz w:val="20"/>
                <w:szCs w:val="20"/>
                <w:color w:val="auto"/>
              </w:rPr>
              <w:t>Total operating</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21,081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20,991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90</w:t>
            </w: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51,886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38,059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13,827</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36 %</w:t>
            </w:r>
          </w:p>
        </w:tc>
        <w:tc>
          <w:tcPr>
            <w:tcW w:w="0" w:type="dxa"/>
            <w:vAlign w:val="bottom"/>
          </w:tcPr>
          <w:p>
            <w:pPr>
              <w:spacing w:after="0"/>
              <w:rPr>
                <w:sz w:val="1"/>
                <w:szCs w:val="1"/>
                <w:color w:val="auto"/>
              </w:rPr>
            </w:pPr>
          </w:p>
        </w:tc>
      </w:tr>
      <w:tr>
        <w:trPr>
          <w:trHeight w:val="233"/>
        </w:trPr>
        <w:tc>
          <w:tcPr>
            <w:tcW w:w="19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expenses</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9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Income from</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5,706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4,495</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371 %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18,759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102,559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(83,800)</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3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operations</w:t>
            </w: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line="199" w:lineRule="exact"/>
              <w:rPr>
                <w:sz w:val="20"/>
                <w:szCs w:val="20"/>
                <w:color w:val="auto"/>
              </w:rPr>
            </w:pPr>
            <w:r>
              <w:rPr>
                <w:rFonts w:ascii="Arial" w:cs="Arial" w:eastAsia="Arial" w:hAnsi="Arial"/>
                <w:sz w:val="20"/>
                <w:szCs w:val="20"/>
                <w:color w:val="auto"/>
              </w:rPr>
              <w:t>Other income</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(2,242)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2,120</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(2,134)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1,934</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33"/>
        </w:trPr>
        <w:tc>
          <w:tcPr>
            <w:tcW w:w="1920" w:type="dxa"/>
            <w:vAlign w:val="bottom"/>
          </w:tcPr>
          <w:p>
            <w:pPr>
              <w:ind w:left="20"/>
              <w:spacing w:after="0"/>
              <w:rPr>
                <w:sz w:val="20"/>
                <w:szCs w:val="20"/>
                <w:color w:val="auto"/>
              </w:rPr>
            </w:pPr>
            <w:r>
              <w:rPr>
                <w:rFonts w:ascii="Arial" w:cs="Arial" w:eastAsia="Arial" w:hAnsi="Arial"/>
                <w:sz w:val="20"/>
                <w:szCs w:val="20"/>
                <w:color w:val="auto"/>
              </w:rPr>
              <w:t>(expense), net</w:t>
            </w: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(6,651)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(2,411)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176 %</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(15,660)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(7,640)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105 %</w:t>
            </w:r>
          </w:p>
        </w:tc>
        <w:tc>
          <w:tcPr>
            <w:tcW w:w="0" w:type="dxa"/>
            <w:vAlign w:val="bottom"/>
          </w:tcPr>
          <w:p>
            <w:pPr>
              <w:spacing w:after="0"/>
              <w:rPr>
                <w:sz w:val="1"/>
                <w:szCs w:val="1"/>
                <w:color w:val="auto"/>
              </w:rPr>
            </w:pPr>
          </w:p>
        </w:tc>
      </w:tr>
      <w:tr>
        <w:trPr>
          <w:trHeight w:val="179"/>
        </w:trPr>
        <w:tc>
          <w:tcPr>
            <w:tcW w:w="1920" w:type="dxa"/>
            <w:vAlign w:val="bottom"/>
          </w:tcPr>
          <w:p>
            <w:pPr>
              <w:ind w:left="240"/>
              <w:spacing w:after="0" w:line="179" w:lineRule="exact"/>
              <w:rPr>
                <w:sz w:val="20"/>
                <w:szCs w:val="20"/>
                <w:color w:val="auto"/>
              </w:rPr>
            </w:pPr>
            <w:r>
              <w:rPr>
                <w:rFonts w:ascii="Arial" w:cs="Arial" w:eastAsia="Arial" w:hAnsi="Arial"/>
                <w:sz w:val="20"/>
                <w:szCs w:val="20"/>
                <w:color w:val="auto"/>
              </w:rPr>
              <w:t>Total other</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(6,773)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(4,653)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(2,120)</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46 %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(15,860)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(9,774)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(6,086)</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62 %</w:t>
            </w:r>
          </w:p>
        </w:tc>
        <w:tc>
          <w:tcPr>
            <w:tcW w:w="0" w:type="dxa"/>
            <w:vAlign w:val="bottom"/>
          </w:tcPr>
          <w:p>
            <w:pPr>
              <w:spacing w:after="0"/>
              <w:rPr>
                <w:sz w:val="1"/>
                <w:szCs w:val="1"/>
                <w:color w:val="auto"/>
              </w:rPr>
            </w:pPr>
          </w:p>
        </w:tc>
      </w:tr>
      <w:tr>
        <w:trPr>
          <w:trHeight w:val="233"/>
        </w:trPr>
        <w:tc>
          <w:tcPr>
            <w:tcW w:w="19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expense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920" w:type="dxa"/>
            <w:vAlign w:val="bottom"/>
            <w:shd w:val="clear" w:color="auto" w:fill="CCEEFF"/>
          </w:tcPr>
          <w:p>
            <w:pPr>
              <w:ind w:left="20"/>
              <w:spacing w:after="0" w:line="179" w:lineRule="exact"/>
              <w:rPr>
                <w:sz w:val="20"/>
                <w:szCs w:val="20"/>
                <w:color w:val="auto"/>
              </w:rPr>
            </w:pPr>
            <w:r>
              <w:rPr>
                <w:rFonts w:ascii="Arial" w:cs="Arial" w:eastAsia="Arial" w:hAnsi="Arial"/>
                <w:sz w:val="20"/>
                <w:szCs w:val="20"/>
                <w:color w:val="auto"/>
              </w:rPr>
              <w:t>Income (loss) before</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(1,067)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(3,442)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2,375</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2,899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92,785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(89,886)</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3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line="199" w:lineRule="exact"/>
              <w:rPr>
                <w:sz w:val="20"/>
                <w:szCs w:val="20"/>
                <w:color w:val="auto"/>
              </w:rPr>
            </w:pPr>
            <w:r>
              <w:rPr>
                <w:rFonts w:ascii="Arial" w:cs="Arial" w:eastAsia="Arial" w:hAnsi="Arial"/>
                <w:sz w:val="20"/>
                <w:szCs w:val="20"/>
                <w:color w:val="auto"/>
              </w:rPr>
              <w:t>Income tax (benefit)</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(1,050)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(5,834)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4,784</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16,708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(16,679)</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expense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2,392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(2,409)</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(101)%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2,870</w:t>
            </w:r>
          </w:p>
        </w:tc>
        <w:tc>
          <w:tcPr>
            <w:tcW w:w="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76,077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(73,207)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three months ended June 30, 2021 and 2020</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20"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Revenue increased by $87.9 million, or 76%, for the three months ended June 30, 2021 compared to the three months ended June 30, 2020. Total MW delivered increased by approximately 74% for the three months ended June 30, 2021 mostly attributable to a higher proportion of our volume occurring in the first quarter of 2020 vs the second quarter of 2020 due to certain customers electing to take deliveries ahead of build schedules to take advantage of the ITC rate before it stepped down in 2020.</w:t>
      </w:r>
    </w:p>
    <w:p>
      <w:pPr>
        <w:sectPr>
          <w:pgSz w:w="11900" w:h="16838" w:orient="portrait"/>
          <w:cols w:equalWidth="0" w:num="1">
            <w:col w:w="11180"/>
          </w:cols>
          <w:pgMar w:left="320" w:top="109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33"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Cost of revenue increased by $83.3 million, or 90%, for the three months ended June 30, 2021 compared to the three months ended June 30, 2020 primarily due to the increase in the number of MW delivered. Gross profit as a percentage of revenue decreased from 19.3% for the three months ended June 30, 2020 to 13.2% for the three months ended June 30, 2021. The decrease in Gross Profit as a percentage of revenue reflects higher commodity prices and higher logistics costs.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 xml:space="preserve">General and administrative expenses increased by $3.9 million, or 35%, for the three months ended June 30, 2021 compared to the three months ended June 30, 2020. The increase in expense was primarily due to a $2.5 million increase in equity-based compensation due to a mark-to-market of a cash-settled award. </w:t>
      </w:r>
      <w:r>
        <w:rPr>
          <w:rFonts w:ascii="Arial" w:cs="Arial" w:eastAsia="Arial" w:hAnsi="Arial"/>
          <w:sz w:val="21"/>
          <w:szCs w:val="21"/>
          <w:color w:val="auto"/>
        </w:rPr>
        <w:t>T</w:t>
      </w:r>
      <w:r>
        <w:rPr>
          <w:rFonts w:ascii="Arial" w:cs="Arial" w:eastAsia="Arial" w:hAnsi="Arial"/>
          <w:sz w:val="20"/>
          <w:szCs w:val="20"/>
          <w:color w:val="auto"/>
        </w:rPr>
        <w:t>he increase in expense also represents additional headcount driven by the growth of the company over the last twelve months.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jc w:val="both"/>
        <w:ind w:right="80"/>
        <w:spacing w:after="0" w:line="257" w:lineRule="auto"/>
        <w:rPr>
          <w:sz w:val="20"/>
          <w:szCs w:val="20"/>
          <w:color w:val="auto"/>
        </w:rPr>
      </w:pPr>
      <w:r>
        <w:rPr>
          <w:rFonts w:ascii="Arial" w:cs="Arial" w:eastAsia="Arial" w:hAnsi="Arial"/>
          <w:sz w:val="20"/>
          <w:szCs w:val="20"/>
          <w:color w:val="auto"/>
        </w:rPr>
        <w:t>Contingent consideration expense decreased by $3.4 million, or 100%, for the three months ended June 30, 2021 compared to the three months ended June 30, 2020. The decrease was primarily due to the prior period having a $3.4 million increase in the fair value of contingent consideration for which there is no increase in the current quarter.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ind w:right="260"/>
        <w:spacing w:after="0" w:line="261" w:lineRule="auto"/>
        <w:rPr>
          <w:sz w:val="20"/>
          <w:szCs w:val="20"/>
          <w:color w:val="auto"/>
        </w:rPr>
      </w:pPr>
      <w:r>
        <w:rPr>
          <w:rFonts w:ascii="Arial" w:cs="Arial" w:eastAsia="Arial" w:hAnsi="Arial"/>
          <w:sz w:val="20"/>
          <w:szCs w:val="20"/>
          <w:color w:val="auto"/>
        </w:rPr>
        <w:t>Depreciation expense for the three months ended June 30, 2021 was similar to the three months ended June 30, 2020 as we did not add any significant capital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33"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auto"/>
        </w:rPr>
        <w:t>Amortization of intangibles for the three months ended June 30, 2021 was similar to the three months ended June 30, 2020 as we did not add any significant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3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Interest expenses increased by $4.2 million, or 176%, for the three months ended June 30, 2021 compared to the three months ended June 30, 2020, primarily due to interest on the higher average balance of our Term Loan Facility and Revolving Facility which were not outstanding during the three months ended June 30, 2020. As of June 30, 2021, we had $429.0 million outstanding under the Term Loan and $102.0 million outstanding under the Revolving Senior Secured Credit Facility. We expect interest expense to be higher for the remainder of 2021 compared to 2020 as a result of the debt outstanding under the Senior Secured Credit Facility along with the amortization of the related discount and issuance costs.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Benefit</w:t>
      </w:r>
    </w:p>
    <w:p>
      <w:pPr>
        <w:spacing w:after="0" w:line="20"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Income tax benefit decreased by $4.8 million, or 82% for the three months ended June 30, 2021 compared to the three months ended June 30, 2020. Our effective tax rate was 98.4% for the three months ended June 30, 2021 and 169.5% for the three months ended June 30, 2020. The tax benefit decrease is primarily related to unfavorable non-deductible equity based compensation and Follow-on offering costs for the three months ended June 30, 2021 and a favorable tax benefit related to an NOL carryback as a result of the CARES Act for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1" w:right="379" w:bottom="1440" w:gutter="0" w:footer="0" w:header="0"/>
        </w:sectPr>
      </w:pPr>
    </w:p>
    <w:bookmarkStart w:id="37" w:name="page38"/>
    <w:bookmarkEnd w:id="37"/>
    <w:p>
      <w:pPr>
        <w:spacing w:after="0"/>
        <w:rPr>
          <w:sz w:val="20"/>
          <w:szCs w:val="20"/>
          <w:color w:val="auto"/>
        </w:rPr>
      </w:pPr>
      <w:r>
        <w:rPr>
          <w:rFonts w:ascii="Arial" w:cs="Arial" w:eastAsia="Arial" w:hAnsi="Arial"/>
          <w:sz w:val="20"/>
          <w:szCs w:val="20"/>
          <w:i w:val="1"/>
          <w:iCs w:val="1"/>
          <w:color w:val="auto"/>
        </w:rPr>
        <w:t>Revenue</w:t>
      </w:r>
    </w:p>
    <w:p>
      <w:pPr>
        <w:spacing w:after="0" w:line="2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Revenue decreased by $103.9 million, or 19%, for the six months ended June 30, 2021 compared to the six months ended June 30, 2020. Total MW delivered decreased by approximately 2% for the six months ended June 30, 2021 driven by heavier volume in the first half of 2020 due to certain customers electing to take deliveries ahead of build schedules to take advantage of the ITC, partially offset by lower ASPs in 2021.</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33"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Cost of revenue decreased by $33.9 million, or (8)%, for the six months ended June 30, 2021 compared to the six months ended June 30, 2020 primarily due to the decrease in the number of MW delivered. Gross profit as a percentage of revenue decreased from 25.4% for the six months ended June 30, 2020 to 15.7% for the six months ended June 30, 2021. The decrease in Gross Profit as percentage of revenue reflects higher commodity and logistics prices.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3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General and administrative expenses increased by $16.9 million, or 74%, for the six months ended June 30, 2021 compared to the six months ended June 30, 2020. The increase in expense was primarily due to a $4.1 million recovery of an account receivable that was previously reserved during the six months ended June 30, 2020 for which there was no similar credit in the 2021 period. The increase in general and administrative expense also relates to a $8.7 million expense in the six months ended June 30, 2021 for equity-based compensation with no comparable expense in 2020. Finally, in 2021 we increased our internal headcount leading to higher payroll and related costs, but we were able to partially offset those increases with a reduction in third-party spend related to business process outsourcing, consulting costs, and other professional fees.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Contingent consideration expense decreased by $2.3 million, or 94%, for the six months ended June 30, 2021 compared to the six months ended June 30, 2020. The decrease was primarily due to an increase in the fair value of our Tax Receivable Agreement obligation in the prior year period for which there was no corresponding increase in the current year period.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Depreciation expense for the six months ended June 30, 2021 was similar to the six months ended June 30, 2020 as we did not add any significant capital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33" w:lineRule="exact"/>
        <w:rPr>
          <w:sz w:val="20"/>
          <w:szCs w:val="20"/>
          <w:color w:val="auto"/>
        </w:rPr>
      </w:pPr>
    </w:p>
    <w:p>
      <w:pPr>
        <w:ind w:right="300"/>
        <w:spacing w:after="0" w:line="261" w:lineRule="auto"/>
        <w:rPr>
          <w:sz w:val="20"/>
          <w:szCs w:val="20"/>
          <w:color w:val="auto"/>
        </w:rPr>
      </w:pPr>
      <w:r>
        <w:rPr>
          <w:rFonts w:ascii="Arial" w:cs="Arial" w:eastAsia="Arial" w:hAnsi="Arial"/>
          <w:sz w:val="20"/>
          <w:szCs w:val="20"/>
          <w:color w:val="auto"/>
        </w:rPr>
        <w:t>Amortization of intangibles for the six months ended June 30, 2021 was similar to the six months ended June 30, 2020 as we did not add any significant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33"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Interest expenses increased by $8.0 million, or 105%, for the six months ended June 30, 2021 compared to the six months ended June 30, 2020, primarily due to interest on the higher average balance of our Term Loan Facility and Revolving Facility which was not outstanding during six months ended June 30, 2020. As of June 30, 2021, we had $429.0 million outstanding under the Term Loan and $102.0 million outstanding under the Revolving Senior Facility. We expect interest expense to be higher for the remainder of 2021 compared to 2020 as a result of the debt outstanding under the Senior Secured Credit Facility along with the amortization of the related discount and issuance costs.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4" w:right="359" w:bottom="1440" w:gutter="0" w:footer="0" w:header="0"/>
        </w:sectPr>
      </w:pPr>
    </w:p>
    <w:bookmarkStart w:id="38" w:name="page39"/>
    <w:bookmarkEnd w:id="38"/>
    <w:p>
      <w:pPr>
        <w:ind w:right="100"/>
        <w:spacing w:after="0" w:line="242" w:lineRule="auto"/>
        <w:rPr>
          <w:sz w:val="20"/>
          <w:szCs w:val="20"/>
          <w:color w:val="auto"/>
        </w:rPr>
      </w:pPr>
      <w:r>
        <w:rPr>
          <w:rFonts w:ascii="Arial" w:cs="Arial" w:eastAsia="Arial" w:hAnsi="Arial"/>
          <w:sz w:val="19"/>
          <w:szCs w:val="19"/>
          <w:color w:val="auto"/>
        </w:rPr>
        <w:t>Income tax expense decreased by $16.7 million, or 100% for the six months ended June 30, 2021 compared to the six months ended June 30, 2020. Our effective tax rate was 1.0% for six months ended June 30, 2021 and 18.0% for the six months ended June 30, 2020. The reduction in the effective tax rate is primarily related to unfavorable non-deductible equity-based compensation and Follow-on offering costs for the six months ended June 30, 2021, a favorable tax benefit related to an NOL carryback as a result of the CARES Act in the six months ended June 30, 2020, and the level of earnings in each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486"/>
        </w:trPr>
        <w:tc>
          <w:tcPr>
            <w:tcW w:w="7120" w:type="dxa"/>
            <w:vAlign w:val="bottom"/>
          </w:tcPr>
          <w:p>
            <w:pPr>
              <w:spacing w:after="0"/>
              <w:rPr>
                <w:sz w:val="20"/>
                <w:szCs w:val="20"/>
                <w:color w:val="auto"/>
              </w:rPr>
            </w:pPr>
            <w:r>
              <w:rPr>
                <w:rFonts w:ascii="Arial" w:cs="Arial" w:eastAsia="Arial" w:hAnsi="Arial"/>
                <w:sz w:val="20"/>
                <w:szCs w:val="20"/>
                <w:b w:val="1"/>
                <w:bCs w:val="1"/>
                <w:color w:val="auto"/>
              </w:rPr>
              <w:t>Historical Cash Flow</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86"/>
        </w:trPr>
        <w:tc>
          <w:tcPr>
            <w:tcW w:w="7120" w:type="dxa"/>
            <w:vAlign w:val="bottom"/>
          </w:tcPr>
          <w:p>
            <w:pPr>
              <w:spacing w:after="0"/>
              <w:rPr>
                <w:sz w:val="20"/>
                <w:szCs w:val="20"/>
                <w:color w:val="auto"/>
              </w:rPr>
            </w:pPr>
            <w:r>
              <w:rPr>
                <w:rFonts w:ascii="Arial" w:cs="Arial" w:eastAsia="Arial" w:hAnsi="Arial"/>
                <w:sz w:val="20"/>
                <w:szCs w:val="20"/>
                <w:color w:val="auto"/>
              </w:rPr>
              <w:t>The following table compares the historical cash flow (in thousands):</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2"/>
        </w:trPr>
        <w:tc>
          <w:tcPr>
            <w:tcW w:w="7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60" w:type="dxa"/>
            <w:vAlign w:val="bottom"/>
            <w:gridSpan w:val="4"/>
          </w:tcPr>
          <w:p>
            <w:pPr>
              <w:jc w:val="right"/>
              <w:ind w:right="681"/>
              <w:spacing w:after="0"/>
              <w:rPr>
                <w:sz w:val="20"/>
                <w:szCs w:val="20"/>
                <w:color w:val="auto"/>
              </w:rPr>
            </w:pPr>
            <w:r>
              <w:rPr>
                <w:rFonts w:ascii="Arial" w:cs="Arial" w:eastAsia="Arial" w:hAnsi="Arial"/>
                <w:sz w:val="20"/>
                <w:szCs w:val="20"/>
                <w:b w:val="1"/>
                <w:bCs w:val="1"/>
                <w:color w:val="auto"/>
              </w:rPr>
              <w:t>Six Months Ended June 30,</w:t>
            </w:r>
          </w:p>
        </w:tc>
      </w:tr>
      <w:tr>
        <w:trPr>
          <w:trHeight w:val="257"/>
        </w:trPr>
        <w:tc>
          <w:tcPr>
            <w:tcW w:w="7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50"/>
        </w:trPr>
        <w:tc>
          <w:tcPr>
            <w:tcW w:w="7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operating activities</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(134,109)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(247,900)</w:t>
            </w:r>
          </w:p>
        </w:tc>
      </w:tr>
      <w:tr>
        <w:trPr>
          <w:trHeight w:val="270"/>
        </w:trPr>
        <w:tc>
          <w:tcPr>
            <w:tcW w:w="71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(13,175)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(265)</w:t>
            </w:r>
          </w:p>
        </w:tc>
      </w:tr>
      <w:tr>
        <w:trPr>
          <w:trHeight w:val="270"/>
        </w:trPr>
        <w:tc>
          <w:tcPr>
            <w:tcW w:w="7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(used in) financing activities</w:t>
            </w:r>
          </w:p>
        </w:tc>
        <w:tc>
          <w:tcPr>
            <w:tcW w:w="4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56,525</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(75,108)</w:t>
            </w:r>
          </w:p>
        </w:tc>
      </w:tr>
      <w:tr>
        <w:trPr>
          <w:trHeight w:val="259"/>
        </w:trPr>
        <w:tc>
          <w:tcPr>
            <w:tcW w:w="7120" w:type="dxa"/>
            <w:vAlign w:val="bottom"/>
          </w:tcPr>
          <w:p>
            <w:pPr>
              <w:ind w:left="20"/>
              <w:spacing w:after="0"/>
              <w:rPr>
                <w:sz w:val="20"/>
                <w:szCs w:val="20"/>
                <w:color w:val="auto"/>
              </w:rPr>
            </w:pPr>
            <w:r>
              <w:rPr>
                <w:rFonts w:ascii="Arial" w:cs="Arial" w:eastAsia="Arial" w:hAnsi="Arial"/>
                <w:sz w:val="20"/>
                <w:szCs w:val="20"/>
                <w:color w:val="auto"/>
              </w:rPr>
              <w:t>Net decrease in cash, cash equivalents and restricted cash</w:t>
            </w:r>
          </w:p>
        </w:tc>
        <w:tc>
          <w:tcPr>
            <w:tcW w:w="4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(90,759)</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(323,273)</w:t>
            </w:r>
          </w:p>
        </w:tc>
      </w:tr>
      <w:tr>
        <w:trPr>
          <w:trHeight w:val="25"/>
        </w:trPr>
        <w:tc>
          <w:tcPr>
            <w:tcW w:w="7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We have historically financed our operations primarily with the proceeds from capital contributions, operating cash flows and short and long-term borrowings. Our ability to generate positive cash flow from operations is dependent on the strength of our gross margins as well as our ability to quickly turn our working capital. 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causing us to experience temporary decreased margins and thus decreased cash from operations. We have taken mitigating steps to overcome the economic challenges and, therefore, believe the impact to be temporary, but cannot be certain the timing of when we will achieve better margins. In response to the recent challenging environment, we continuously evaluate our ability to meet our obligations over the next 12 months. We have sufficient financing options available to do so and we expect to have sufficient liquidity to fund current and future commitments.</w:t>
      </w:r>
    </w:p>
    <w:p>
      <w:pPr>
        <w:spacing w:after="0" w:line="240"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As of June 30, 2021, our cash and cash equivalents were $17.7 million. Net working capital as of June 30, 2021 was $162.1 million.</w:t>
      </w:r>
    </w:p>
    <w:p>
      <w:pPr>
        <w:spacing w:after="0" w:line="229"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As of June 30, 2021, we had outstanding borrowings of $429.0 million and a $200.0 million commitment under our Revolving Credit Facility, of which $102.0 million is outstanding and $87.0 million was available to borrow to fund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37"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For the six months ended June 30, 2021, cash used in operating activities was $134.1 million primarily due a decrease in deferred revenue of $98.4 million for which we made payments to our suppliers for products that we received the cash for in 2020, but that we did not ship until 2021, an increase in accounts receivable of $33.2 million, an increase in inventories of $20.5 million offset by net income and other add-backs to reconcile to net income.</w:t>
      </w:r>
    </w:p>
    <w:p>
      <w:pPr>
        <w:spacing w:after="0" w:line="234"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For the six months ended June 30, 2020 cash used in operating activities was $247.9 million, due to a decrease in deferred revenue of $308.0 million, a decrease in accounts payable of $99.4 million, offset by a decrease in inventory of $42.5 million, a decrease in income tax payable of $35.8 million and net income of $76.1 million.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37"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For the six months ended June 30, 2021, net cash used in investing activities was $13.2 million, primarily attributable to a $12.0 million investment in equity securities.</w:t>
      </w:r>
    </w:p>
    <w:p>
      <w:pPr>
        <w:spacing w:after="0" w:line="229" w:lineRule="exact"/>
        <w:rPr>
          <w:sz w:val="20"/>
          <w:szCs w:val="20"/>
          <w:color w:val="auto"/>
        </w:rPr>
      </w:pPr>
    </w:p>
    <w:p>
      <w:pPr>
        <w:ind w:right="480"/>
        <w:spacing w:after="0" w:line="261" w:lineRule="auto"/>
        <w:rPr>
          <w:sz w:val="20"/>
          <w:szCs w:val="20"/>
          <w:color w:val="auto"/>
        </w:rPr>
      </w:pPr>
      <w:r>
        <w:rPr>
          <w:rFonts w:ascii="Arial" w:cs="Arial" w:eastAsia="Arial" w:hAnsi="Arial"/>
          <w:sz w:val="20"/>
          <w:szCs w:val="20"/>
          <w:color w:val="auto"/>
        </w:rPr>
        <w:t>For the six months ended June 30, 2020, net cash used in investing activities was $0.3 million, due to additions to property, plant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For the six months ended June 30, 2021, net cash provided by financing activities was $56.5 million, of which $102.0 million was from proceeds under the Revolving Facility, offset by $31.1 million payment on the Term Loan Facility and $6.6 million in fees paid on the Senior Secured Credit Facility and to increase the limit on the Revolving Facility by $50.0 million.</w:t>
      </w:r>
    </w:p>
    <w:p>
      <w:pPr>
        <w:spacing w:after="0" w:line="233"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For the six months ended June 30, 2020, net cash used by financing activities was $75.1 million, which was attributable to $57.7 million principal payments on the Term Loan Facility and $21.7 million on the related party loan.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20"/>
          <w:szCs w:val="20"/>
          <w:b w:val="1"/>
          <w:bCs w:val="1"/>
          <w:i w:val="1"/>
          <w:iCs w:val="1"/>
          <w:color w:val="auto"/>
        </w:rPr>
        <w:t>ecurities Purchase Agreement</w:t>
      </w:r>
    </w:p>
    <w:p>
      <w:pPr>
        <w:spacing w:after="0" w:line="10" w:lineRule="exact"/>
        <w:rPr>
          <w:sz w:val="20"/>
          <w:szCs w:val="20"/>
          <w:color w:val="auto"/>
        </w:rPr>
      </w:pPr>
    </w:p>
    <w:p>
      <w:pPr>
        <w:ind w:right="120"/>
        <w:spacing w:after="0" w:line="226"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the Company issued and sold to the Purchaser 350,000 shares of a newly designated Series A Perpetual Preferred Stock of the Company, par value $0.001 per share (the “Series A Perpetual Preferred Stock”), having the powers, designations, preferences, and other rights set forth in the Certificate of Designations (as defined below), and 7,098,765 shares of the Company’s common stock, par value $0.001 per share (“Common Stock”), for an aggregate purchase price of $346.0 million (the “Initial Closing”). Further, pursuant to the Securities Purchase Agreement, and subject to the terms and conditions set forth therein, including the expiry or termination of the waiting period under the Hart-Scott-Rodino Antitrust Improvements Act of 1976, as amended, the Company has agreed to issue and sell to the Purchaser 776,235 shares of Common Stock for an aggregate purchase price of $776</w:t>
      </w:r>
      <w:r>
        <w:rPr>
          <w:rFonts w:ascii="Arial" w:cs="Arial" w:eastAsia="Arial" w:hAnsi="Arial"/>
          <w:sz w:val="17"/>
          <w:szCs w:val="17"/>
          <w:color w:val="auto"/>
        </w:rPr>
        <w:t>.</w:t>
      </w:r>
      <w:r>
        <w:rPr>
          <w:rFonts w:ascii="Arial" w:cs="Arial" w:eastAsia="Arial" w:hAnsi="Arial"/>
          <w:sz w:val="20"/>
          <w:szCs w:val="20"/>
          <w:color w:val="auto"/>
        </w:rPr>
        <w:t xml:space="preserve"> The Company intends to use the net proceeds from the Initial Closing to repay all of the outstanding amounts under the Company’s existing revolving credit facility and to prepay at least $100 million under the Company’s term loan and for general corporate purposes. Pursuant to the Securities Purchase Agreement, the Purchaser is entitled to designate one representative (the “Series A Director”) to be appointed to the Company’s board of directors (the “Board”), and to appoint three non-voting observers to the Board, in each case until such time as the Purchaser and its Permitted Transferees (as defined in the Securities Purchase Agreement) no longer beneficially own shares of the Series A Perpetual Preferred Stock with at least $100 million aggregate Liquidation Preference (as defined below).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249"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color w:val="auto"/>
        </w:rPr>
        <w:t>On or prior to the fifth anniversary of the Initial Closing, the Company may pay dividends on the Series A Perpetual Preferred Stock either in cash at the then-applicable Cash Regular Dividend Rate, through accrual to the Liquidation Preference at the Accrued Regular Dividend Rate (the “Permitted Accrued Dividends”), or a combination thereof. Folloing the fifth anniversary of the Initial Closing, dividends shall be payable only in cash. To the extent the Comany does not declare such dividends and pay in cash following the fifth anniversary of the Initial Closing, such dividends shall accrue to the Liquidation Preference (“Default Accrued Dividends”, and together with Permitted Accrued Dividends, “Accrued Dividends”) at the then-applicable Cash Regular Dividend Rate plus 200 basis points. In the event there are Default Accrued Dividends outstanding for six consecutive quarters, the Company, at the option of the holder of the Series A Perpetual Preferred Stock (each a “holder”), will pay 100% of the amount of Default Accrued Dividends by delivering to the Holder a number of shares of Common Stock equal to the quotient of</w:t>
      </w:r>
    </w:p>
    <w:p>
      <w:pPr>
        <w:spacing w:after="0" w:line="2" w:lineRule="exact"/>
        <w:rPr>
          <w:sz w:val="20"/>
          <w:szCs w:val="20"/>
          <w:color w:val="auto"/>
        </w:rPr>
      </w:pPr>
    </w:p>
    <w:p>
      <w:pPr>
        <w:ind w:right="800" w:firstLine="8"/>
        <w:spacing w:after="0" w:line="236" w:lineRule="auto"/>
        <w:tabs>
          <w:tab w:leader="none" w:pos="231"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amount of Default Accrued Dividends) divided by (ii) 95% of the 30-day VWAP of the Common Stock (“Non-Cash Dividend”).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As used herein, “Cash Regular Dividend Rate” with respect to the Series A Perpetual Preferred Stock means (i)</w:t>
      </w:r>
    </w:p>
    <w:p>
      <w:pPr>
        <w:jc w:val="both"/>
        <w:ind w:right="180"/>
        <w:spacing w:after="0" w:line="241" w:lineRule="auto"/>
        <w:rPr>
          <w:sz w:val="20"/>
          <w:szCs w:val="20"/>
          <w:color w:val="auto"/>
        </w:rPr>
      </w:pPr>
      <w:r>
        <w:rPr>
          <w:rFonts w:ascii="Arial" w:cs="Arial" w:eastAsia="Arial" w:hAnsi="Arial"/>
          <w:sz w:val="20"/>
          <w:szCs w:val="20"/>
          <w:color w:val="auto"/>
        </w:rPr>
        <w:t>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with respect to the Series A Perpetual Preferred Stock means 6.25% per annum on the Liquidation Preference.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Closings</w:t>
      </w:r>
    </w:p>
    <w:p>
      <w:pPr>
        <w:spacing w:after="0" w:line="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Pursuant to the Securities Purchase Agreement, until June 30, 2023, the Company, subject to the terms and conditions set forth therein, shall have the option to require the Purchaser to purchase, in the aggregate, in one or more additional closings (the “Additional Closings”), up to 150,000 shares (the “Delayed Draw Commitment”) of the Series A Perpetual Preferred Stock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6"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Until June 30, 2023, the Company will pay the Purchaser a cash commitment premium on the unpurchased portion of Delayed Draw Commitment as follows:</w:t>
      </w:r>
    </w:p>
    <w:p>
      <w:pPr>
        <w:ind w:left="640" w:hanging="308"/>
        <w:spacing w:after="0" w:line="226"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0% through the six-month anniversary of the Initial Closing;</w:t>
      </w: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 Agreement</w:t>
      </w:r>
    </w:p>
    <w:p>
      <w:pPr>
        <w:spacing w:after="0" w:line="10"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In connection with the Securities Purchase Agreement, on August [9], 2021, the Company and the Purchaser entered into a Registration Rights Agreement pursuant to which, among other things, the Company granted the Purchaser certain registration rights with respect to Common Stock purchased pursuant to the Securities Purchase Agreement, including customary shelf registration rights and “piggyback” registration rights.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Senior Secured Credit Facility</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October 14, 2020, we entered into a senior secured credit facility which was amended on February 23, 2021 by the first amendment and on February 26, 2021 by the second amendment. The senior secured facility consisted originally of (i) a $575.0 million senior secured seven-year term loan facility (the “Term Loan Facility”) and (ii) a $150.0 million senior secured 5-year revolving credit facility (the “Revolving Credit Facility” and, together with the Term Loan Facility, the “Senior Secured Credit Facility”). On February 23, 2021 we entered into the first amendment (“First Amendment”) to our Senior Secured Credit Facility. The First Amendment, in the case of Eurocurrency borrowings, lowers the London interbank offered rate floor to 50 basis points from 100 basis points and lowers the applicable margin to 325 basis points from 400 basis points per annum. This results in our current rate on the Term Loan Facility decreasing to 3.75% down from 5% prior to the First Amendment. On February 26, 2021, we entered into the incremental facility amendment No. 2 (the “Second Amendment”) to the Senior Secured Credit Facility. The Second Amendment increases the $150.0 million Revolving Credit Facility from $150.0 million to $200.0 million. The debt discount and issuance costs are being amortized using the effective interest method and the rate as of June 30, 2021 is 5.01%. The Term Loan Facility has an annual excess cash flow calculation beginning with the year ended December 31, 2021 which could require the Company to make advance principal payments. The balance of the Term Loan Facility is presented in the accompanying consolidated balance sheets net of debt discount and issuance costs of $34.0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4" w:right="399" w:bottom="1440" w:gutter="0" w:footer="0" w:header="0"/>
        </w:sectPr>
      </w:pPr>
    </w:p>
    <w:bookmarkStart w:id="41" w:name="page42"/>
    <w:bookmarkEnd w:id="41"/>
    <w:p>
      <w:pPr>
        <w:spacing w:after="0" w:line="261" w:lineRule="auto"/>
        <w:rPr>
          <w:sz w:val="20"/>
          <w:szCs w:val="20"/>
          <w:color w:val="auto"/>
        </w:rPr>
      </w:pPr>
      <w:r>
        <w:rPr>
          <w:rFonts w:ascii="Arial" w:cs="Arial" w:eastAsia="Arial" w:hAnsi="Arial"/>
          <w:sz w:val="20"/>
          <w:szCs w:val="20"/>
          <w:color w:val="auto"/>
        </w:rPr>
        <w:t>million at June 30, 2021. As of June 30, 2021, the Term Loan Facility had a balance of $430.0 million. We are in compliance with all covenants as of June 30, 2021.</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Facility</w:t>
      </w:r>
    </w:p>
    <w:p>
      <w:pPr>
        <w:spacing w:after="0" w:line="20"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Under the Revolving Credit Facility, the Company had $102.0 million outstanding, $11.0 million in standby letters of credit and availability of $87.0 million under the Revolving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3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interest rates applicable to the loans under the Term Loan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London interbank offered rate for the relevant currency, adjusted for statutory reserve requirements, and (b) 100 basis points, plus, in each case, the applicable margin of 400 basis points per annum.</w:t>
      </w:r>
    </w:p>
    <w:p>
      <w:pPr>
        <w:spacing w:after="0" w:line="24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The interest rates applicable to the loans under the Revolving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London interbank offered rate for the relevant currency, adjusted for statutory reserve requirements, and (b) 50 basis points, plus, in each case, the applicable margin of 325 basis points per annum.</w:t>
      </w:r>
    </w:p>
    <w:p>
      <w:pPr>
        <w:spacing w:after="0" w:line="240"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80"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As of June 30, 2021, we posted surety bonds in the total amount of approximately $131.0 million. We are required to provide surety bonds to various parties for certain transactions initiated during the ordinary course of business to guarantee the Company’s performance in accordance with contractual or legal obligations. These off-balance sheet arrangements do not adversely impact our liquidity or capital resources.</w:t>
      </w:r>
    </w:p>
    <w:p>
      <w:pPr>
        <w:spacing w:after="0"/>
        <w:rPr>
          <w:sz w:val="20"/>
          <w:szCs w:val="20"/>
          <w:color w:val="auto"/>
        </w:rPr>
      </w:pPr>
      <w:r>
        <w:rPr>
          <w:rFonts w:ascii="Arial" w:cs="Arial" w:eastAsia="Arial" w:hAnsi="Arial"/>
          <w:sz w:val="20"/>
          <w:szCs w:val="20"/>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28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Due to the COVID-19 pandemic, there has been and will continue to be uncertainty and disruption in the global economy and financial markets. We have made estimates and assumptions taking into consideration certain possible impacts due to COVID-19. These estimates may change, as new events occur, and additional information is obtained. Actual results may differ from those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42" w:name="page43"/>
    <w:bookmarkEnd w:id="42"/>
    <w:p>
      <w:pPr>
        <w:ind w:right="300"/>
        <w:spacing w:after="0" w:line="257" w:lineRule="auto"/>
        <w:rPr>
          <w:sz w:val="20"/>
          <w:szCs w:val="20"/>
          <w:color w:val="auto"/>
        </w:rPr>
      </w:pPr>
      <w:r>
        <w:rPr>
          <w:rFonts w:ascii="Arial" w:cs="Arial" w:eastAsia="Arial" w:hAnsi="Arial"/>
          <w:sz w:val="20"/>
          <w:szCs w:val="20"/>
          <w:color w:val="auto"/>
        </w:rPr>
        <w:t>Refer to the accounting policies under Item 7, “Management’s Discussion and Analysis of Financial Condition and Results of Operations” in our Annual Report on Form 10-K for the fiscal year ended December 31, 2020, where we discuss our more significant judgments and estimates used in the preparation of the condensed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28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Company granted restricted stock units (RSU’s) to employees and Performance Stock Units (PSUs) to certain executives. The PSUs contain performance and market conditions.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spacing w:after="0" w:line="235" w:lineRule="exact"/>
        <w:rPr>
          <w:sz w:val="20"/>
          <w:szCs w:val="20"/>
          <w:color w:val="auto"/>
        </w:rPr>
      </w:pPr>
    </w:p>
    <w:p>
      <w:pPr>
        <w:ind w:right="460"/>
        <w:spacing w:after="0" w:line="261" w:lineRule="auto"/>
        <w:rPr>
          <w:sz w:val="20"/>
          <w:szCs w:val="20"/>
          <w:color w:val="auto"/>
        </w:rPr>
      </w:pPr>
      <w:r>
        <w:rPr>
          <w:rFonts w:ascii="Arial" w:cs="Arial" w:eastAsia="Arial" w:hAnsi="Arial"/>
          <w:sz w:val="20"/>
          <w:szCs w:val="20"/>
          <w:color w:val="auto"/>
        </w:rPr>
        <w:t>The Class B Units fully accelerated vesting upon the completion 2021 Follow-on Offering and the Company recognized the remaining unamortized compensation expense of $6.3 million.</w:t>
      </w:r>
    </w:p>
    <w:p>
      <w:pPr>
        <w:spacing w:after="0" w:line="229"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As of June 30, 2021, there were no other significant changes in the application of our critical accounting policies or estimation procedures from those presented in our Annual Report on Form 10-K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80"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There have been no material changes to the market risk disclosures set forth in Item 7A in our Annual Report on Form 10-K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80"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We maintain “disclosure controls and procedures,” as defined in Rules 13a-15(e) and 15d-15(e) under the Exchange Act, that are designed to ensure that information required to be disclosed in the reports that we file or submit under the Exchange Act is</w:t>
      </w:r>
    </w:p>
    <w:p>
      <w:pPr>
        <w:spacing w:after="0" w:line="2" w:lineRule="exact"/>
        <w:rPr>
          <w:sz w:val="20"/>
          <w:szCs w:val="20"/>
          <w:color w:val="auto"/>
        </w:rPr>
      </w:pPr>
    </w:p>
    <w:p>
      <w:pPr>
        <w:ind w:right="80" w:firstLine="8"/>
        <w:spacing w:after="0" w:line="253" w:lineRule="auto"/>
        <w:tabs>
          <w:tab w:leader="none" w:pos="2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 w:lineRule="exact"/>
        <w:rPr>
          <w:rFonts w:ascii="Arial" w:cs="Arial" w:eastAsia="Arial" w:hAnsi="Arial"/>
          <w:sz w:val="20"/>
          <w:szCs w:val="20"/>
          <w:color w:val="auto"/>
        </w:rPr>
      </w:pPr>
    </w:p>
    <w:p>
      <w:pPr>
        <w:spacing w:after="0" w:line="255" w:lineRule="auto"/>
        <w:rPr>
          <w:rFonts w:ascii="Arial" w:cs="Arial" w:eastAsia="Arial" w:hAnsi="Arial"/>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June 30, 2021. Based upon the evaluation, our Chief Executive Officer and Chief Financial Officer concluded that, as of such date, our disclosure controls and procedures were not effective at a reasonable assurance level as a result of the material weaknesses that existed in our internal control over financial reporting as described below. These material weaknesses related to our inventory cut-off, specifically due to lack of sufficient systems.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43" w:name="page44"/>
    <w:bookmarkEnd w:id="43"/>
    <w:p>
      <w:pPr>
        <w:ind w:right="800"/>
        <w:spacing w:after="0" w:line="261" w:lineRule="auto"/>
        <w:rPr>
          <w:sz w:val="20"/>
          <w:szCs w:val="20"/>
          <w:color w:val="auto"/>
        </w:rPr>
      </w:pPr>
      <w:r>
        <w:rPr>
          <w:rFonts w:ascii="Arial" w:cs="Arial" w:eastAsia="Arial" w:hAnsi="Arial"/>
          <w:sz w:val="20"/>
          <w:szCs w:val="20"/>
          <w:color w:val="auto"/>
        </w:rPr>
        <w:t>There were no changes in our internal control over financial reporting during the quarter ended June 30, 2021 that have materially affected, or are reasonably likely to materially affect, our internal control over financial reporting.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August 30, 2017, Array filed its first amended complaint in the U.S. District Court for the District of New Mexico against Colin Mitchell, Nextracker, Inc., Flextronics International U.S.A., Inc., Marco Garcia, Daniel S. Shugar, and Scott Graybeal (collectively “Defendants”) asserting (among other claims) trade secret misappropriation, tortious interference with contract, fraud, and breach of contract. Defendant Mitchell was formerly an employee of the Company, but was hired by Nextracker in violation of his non-compete agreement, and he shared with Nextracker and the other defendants certain of Array’s trade secrets and confidential information in violation of his legal obligations. Defendants filed their answer to the amended complaint on February 5, 2018 denying the allegations, but did not assert any counterclaims against Array. The case has been vigorously litigated through the close of fact discovery and expert discovery. As of September 1, 2020, the court has ruled on a number of motions, including a dismissal of the Defendants’ unclean hands defense and granting partial summary judgment in favor of Array for breach of contract. As of June 30, 2021, the Court has denied in every material aspect the motion for summary judgment filed by the Defendants. The Court denied, without prejudice, a motion for sanctions filed by Array. The Court has set trial for July 18, 2022.</w:t>
      </w:r>
    </w:p>
    <w:p>
      <w:pPr>
        <w:spacing w:after="0" w:line="23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On May 14, 2021, a putative class action was filed in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the Company’s December 2020 offering, and the Company’s March 2021 offering during the putative class period of October 14, 2020 through May 11, 2021. Lead plaintiff motions were filed on July 13, 2021, and the Court is expected to appoint a lead plaintiff by August 12, 2021. The Court has not yet set a schedule for the filing of an amended complaint or defendants’ anticipated motion to dismiss.</w:t>
      </w:r>
    </w:p>
    <w:p>
      <w:pPr>
        <w:spacing w:after="0" w:line="240"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alleging misstatements and/or omissions in certain of the Company’s registration statements and prospectuses related to the Company’s October 2020 initial public offering, the Company’s December 2020 offering, and the Company’s March 2021 offering during the putative class period of October 14, 2020 through May 11, 2021. On July 6, 2021, the Court entered an order, based on the record before the Court, that this action was in all material respects substantially similar to the Plymouth Action and both actions arise out of the same or similar operative facts, and that the parties are substantially the same parties. The Court consolidated this action with the Plymouth Action for all pretrial purposes, ordered all filings in connection with this Action to be made in the Plymouth Action, and removed this action from the docket.</w:t>
      </w:r>
    </w:p>
    <w:p>
      <w:pPr>
        <w:spacing w:after="0" w:line="239"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On July 16, 2021, a verified derivative complaint was filed against certain officers and directors of the Company.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 On July 21, 2021, the Court entered an order, based on the record before the Court, that this action was in all material respects substantially similar to</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4" w:name="page45"/>
    <w:bookmarkEnd w:id="44"/>
    <w:p>
      <w:pPr>
        <w:ind w:right="240"/>
        <w:spacing w:after="0" w:line="257" w:lineRule="auto"/>
        <w:rPr>
          <w:sz w:val="20"/>
          <w:szCs w:val="20"/>
          <w:color w:val="auto"/>
        </w:rPr>
      </w:pPr>
      <w:r>
        <w:rPr>
          <w:rFonts w:ascii="Arial" w:cs="Arial" w:eastAsia="Arial" w:hAnsi="Arial"/>
          <w:sz w:val="20"/>
          <w:szCs w:val="20"/>
          <w:color w:val="auto"/>
        </w:rPr>
        <w:t>the Plymouth Action and both actions arise out of the same or similar operative facts, and that the parties are substantially the same parties. The Court consolidated this action with the Plymouth Action for all pretrial purposes, ordered all filings in connection with this Action to be made in the Plymouth Action, and removed this action from the docket.</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On July 30, 2021, a second and related verified derivative complaint was filed against certain officers and directors of the Company. The complaint alleges: (1) violations of Section 14(a) of the Securities Exchange Act of 1934 for causing the issuance of a false/misleading proxy statement, (2) breach of fiduciary duty, and (3) aiding and abetting breaches of fiduciary duty. The Court has not yet entered an order consolidating this case with the Plymouth case.</w:t>
      </w:r>
    </w:p>
    <w:p>
      <w:pPr>
        <w:spacing w:after="0" w:line="234"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80" w:lineRule="exact"/>
        <w:rPr>
          <w:sz w:val="20"/>
          <w:szCs w:val="20"/>
          <w:color w:val="auto"/>
        </w:rPr>
      </w:pPr>
    </w:p>
    <w:p>
      <w:pPr>
        <w:ind w:right="320"/>
        <w:spacing w:after="0" w:line="240" w:lineRule="exact"/>
        <w:rPr>
          <w:sz w:val="20"/>
          <w:szCs w:val="20"/>
          <w:color w:val="auto"/>
        </w:rPr>
      </w:pPr>
      <w:r>
        <w:rPr>
          <w:rFonts w:ascii="Arial" w:cs="Arial" w:eastAsia="Arial" w:hAnsi="Arial"/>
          <w:sz w:val="20"/>
          <w:szCs w:val="20"/>
          <w:color w:val="auto"/>
        </w:rPr>
        <w:t>Other than risk factors described below, there has been no material changes in our risk factors from those disclosed in Part I, Item 1A, in our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 for the fiscal year ended December 31, 2020.</w:t>
      </w:r>
    </w:p>
    <w:p>
      <w:pPr>
        <w:spacing w:after="0" w:line="226" w:lineRule="exact"/>
        <w:rPr>
          <w:sz w:val="20"/>
          <w:szCs w:val="20"/>
          <w:color w:val="auto"/>
        </w:rPr>
      </w:pPr>
    </w:p>
    <w:p>
      <w:pPr>
        <w:ind w:right="4840"/>
        <w:spacing w:after="0" w:line="286" w:lineRule="auto"/>
        <w:rPr>
          <w:sz w:val="20"/>
          <w:szCs w:val="20"/>
          <w:color w:val="auto"/>
        </w:rPr>
      </w:pPr>
      <w:r>
        <w:rPr>
          <w:rFonts w:ascii="Arial" w:cs="Arial" w:eastAsia="Arial" w:hAnsi="Arial"/>
          <w:sz w:val="20"/>
          <w:szCs w:val="20"/>
          <w:b w:val="1"/>
          <w:bCs w:val="1"/>
          <w:color w:val="auto"/>
        </w:rPr>
        <w:t xml:space="preserve">Item 2. Unregistered Sales of Equity Securities and Use of Proceeds </w:t>
      </w:r>
      <w:r>
        <w:rPr>
          <w:rFonts w:ascii="Arial" w:cs="Arial" w:eastAsia="Arial" w:hAnsi="Arial"/>
          <w:sz w:val="20"/>
          <w:szCs w:val="20"/>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gridSpan w:val="2"/>
          </w:tcPr>
          <w:p>
            <w:pPr>
              <w:spacing w:after="0"/>
              <w:rPr>
                <w:sz w:val="20"/>
                <w:szCs w:val="20"/>
                <w:color w:val="auto"/>
              </w:rPr>
            </w:pPr>
            <w:r>
              <w:rPr>
                <w:rFonts w:ascii="Arial" w:cs="Arial" w:eastAsia="Arial" w:hAnsi="Arial"/>
                <w:sz w:val="20"/>
                <w:szCs w:val="20"/>
                <w:color w:val="auto"/>
              </w:rPr>
              <w:t>None.</w:t>
            </w:r>
          </w:p>
        </w:tc>
        <w:tc>
          <w:tcPr>
            <w:tcW w:w="1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9"/>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4"/>
          </w:tcPr>
          <w:p>
            <w:pPr>
              <w:ind w:left="46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380" w:type="dxa"/>
            <w:vAlign w:val="bottom"/>
            <w:shd w:val="clear" w:color="auto" w:fill="CCEEFF"/>
          </w:tcPr>
          <w:p>
            <w:pPr>
              <w:spacing w:after="0"/>
              <w:rPr>
                <w:sz w:val="17"/>
                <w:szCs w:val="17"/>
                <w:color w:val="auto"/>
              </w:rPr>
            </w:pPr>
          </w:p>
        </w:tc>
        <w:tc>
          <w:tcPr>
            <w:tcW w:w="5880" w:type="dxa"/>
            <w:vAlign w:val="bottom"/>
            <w:gridSpan w:val="6"/>
            <w:shd w:val="clear" w:color="auto" w:fill="CCEEFF"/>
          </w:tcPr>
          <w:p>
            <w:pPr>
              <w:spacing w:after="0" w:line="196" w:lineRule="exact"/>
              <w:rPr>
                <w:rFonts w:ascii="Arial" w:cs="Arial" w:eastAsia="Arial" w:hAnsi="Arial"/>
                <w:sz w:val="20"/>
                <w:szCs w:val="20"/>
                <w:color w:val="0000FF"/>
              </w:rPr>
            </w:pPr>
            <w:hyperlink r:id="rId60">
              <w:r>
                <w:rPr>
                  <w:rFonts w:ascii="Arial" w:cs="Arial" w:eastAsia="Arial" w:hAnsi="Arial"/>
                  <w:sz w:val="20"/>
                  <w:szCs w:val="20"/>
                  <w:color w:val="0000FF"/>
                </w:rPr>
                <w:t>Amended and Restated Certificate of Incorporation of Array</w:t>
              </w:r>
            </w:hyperlink>
          </w:p>
        </w:tc>
        <w:tc>
          <w:tcPr>
            <w:tcW w:w="94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00"/>
              <w:spacing w:after="0" w:line="196"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3"/>
            <w:shd w:val="clear" w:color="auto" w:fill="CCEEFF"/>
          </w:tcPr>
          <w:p>
            <w:pPr>
              <w:spacing w:after="0" w:line="169" w:lineRule="exact"/>
              <w:rPr>
                <w:rFonts w:ascii="Arial" w:cs="Arial" w:eastAsia="Arial" w:hAnsi="Arial"/>
                <w:sz w:val="19"/>
                <w:szCs w:val="19"/>
                <w:color w:val="0000FF"/>
              </w:rPr>
            </w:pPr>
            <w:hyperlink r:id="rId60">
              <w:r>
                <w:rPr>
                  <w:rFonts w:ascii="Arial" w:cs="Arial" w:eastAsia="Arial" w:hAnsi="Arial"/>
                  <w:sz w:val="19"/>
                  <w:szCs w:val="19"/>
                  <w:color w:val="0000FF"/>
                </w:rPr>
                <w:t>Technologies, Inc., dated October 19, 2020</w:t>
              </w:r>
            </w:hyperlink>
          </w:p>
        </w:tc>
        <w:tc>
          <w:tcPr>
            <w:tcW w:w="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2240" w:type="dxa"/>
            <w:vAlign w:val="bottom"/>
            <w:tcBorders>
              <w:top w:val="single" w:sz="8" w:color="0000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380" w:type="dxa"/>
            <w:vAlign w:val="bottom"/>
          </w:tcPr>
          <w:p>
            <w:pPr>
              <w:spacing w:after="0"/>
              <w:rPr>
                <w:sz w:val="17"/>
                <w:szCs w:val="17"/>
                <w:color w:val="auto"/>
              </w:rPr>
            </w:pPr>
          </w:p>
        </w:tc>
        <w:tc>
          <w:tcPr>
            <w:tcW w:w="5880" w:type="dxa"/>
            <w:vAlign w:val="bottom"/>
            <w:gridSpan w:val="6"/>
          </w:tcPr>
          <w:p>
            <w:pPr>
              <w:spacing w:after="0" w:line="203" w:lineRule="exact"/>
              <w:rPr>
                <w:rFonts w:ascii="Arial" w:cs="Arial" w:eastAsia="Arial" w:hAnsi="Arial"/>
                <w:sz w:val="20"/>
                <w:szCs w:val="20"/>
                <w:color w:val="0000FF"/>
              </w:rPr>
            </w:pPr>
            <w:hyperlink r:id="rId61">
              <w:r>
                <w:rPr>
                  <w:rFonts w:ascii="Arial" w:cs="Arial" w:eastAsia="Arial" w:hAnsi="Arial"/>
                  <w:sz w:val="20"/>
                  <w:szCs w:val="20"/>
                  <w:color w:val="0000FF"/>
                </w:rPr>
                <w:t>Amended and Restated Bylaws of Array Technologies, Inc., dated</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rPr>
            </w:pPr>
            <w:hyperlink r:id="rId61">
              <w:r>
                <w:rPr>
                  <w:rFonts w:ascii="Arial" w:cs="Arial" w:eastAsia="Arial" w:hAnsi="Arial"/>
                  <w:sz w:val="19"/>
                  <w:szCs w:val="19"/>
                  <w:color w:val="0000FF"/>
                </w:rPr>
                <w:t>October 19, 2020</w:t>
              </w:r>
            </w:hyperlink>
          </w:p>
        </w:tc>
        <w:tc>
          <w:tcPr>
            <w:tcW w:w="4220" w:type="dxa"/>
            <w:vAlign w:val="bottom"/>
            <w:tcBorders>
              <w:top w:val="single" w:sz="8" w:color="0000FF"/>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7"/>
        </w:trPr>
        <w:tc>
          <w:tcPr>
            <w:tcW w:w="1540" w:type="dxa"/>
            <w:vAlign w:val="bottom"/>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Pr>
          <w:p>
            <w:pPr>
              <w:spacing w:after="0"/>
              <w:rPr>
                <w:sz w:val="22"/>
                <w:szCs w:val="22"/>
                <w:color w:val="auto"/>
              </w:rPr>
            </w:pPr>
          </w:p>
        </w:tc>
        <w:tc>
          <w:tcPr>
            <w:tcW w:w="5880" w:type="dxa"/>
            <w:vAlign w:val="bottom"/>
            <w:gridSpan w:val="6"/>
          </w:tcPr>
          <w:p>
            <w:pPr>
              <w:ind w:left="2000"/>
              <w:spacing w:after="0"/>
              <w:rPr>
                <w:sz w:val="20"/>
                <w:szCs w:val="20"/>
                <w:color w:val="auto"/>
              </w:rPr>
            </w:pPr>
            <w:r>
              <w:rPr>
                <w:rFonts w:ascii="Arial" w:cs="Arial" w:eastAsia="Arial" w:hAnsi="Arial"/>
                <w:sz w:val="20"/>
                <w:szCs w:val="20"/>
                <w:b w:val="1"/>
                <w:bCs w:val="1"/>
                <w:color w:val="auto"/>
              </w:rPr>
              <w:t>Exhibit Description</w:t>
            </w:r>
          </w:p>
        </w:tc>
        <w:tc>
          <w:tcPr>
            <w:tcW w:w="940" w:type="dxa"/>
            <w:vAlign w:val="bottom"/>
            <w:gridSpan w:val="2"/>
          </w:tcPr>
          <w:p>
            <w:pPr>
              <w:ind w:left="180"/>
              <w:spacing w:after="0"/>
              <w:rPr>
                <w:sz w:val="20"/>
                <w:szCs w:val="20"/>
                <w:color w:val="auto"/>
              </w:rPr>
            </w:pPr>
            <w:r>
              <w:rPr>
                <w:rFonts w:ascii="Arial" w:cs="Arial" w:eastAsia="Arial" w:hAnsi="Arial"/>
                <w:sz w:val="20"/>
                <w:szCs w:val="20"/>
                <w:b w:val="1"/>
                <w:bCs w:val="1"/>
                <w:color w:val="auto"/>
              </w:rPr>
              <w:t>Form</w:t>
            </w:r>
          </w:p>
        </w:tc>
        <w:tc>
          <w:tcPr>
            <w:tcW w:w="1440" w:type="dxa"/>
            <w:vAlign w:val="bottom"/>
            <w:gridSpan w:val="2"/>
          </w:tcPr>
          <w:p>
            <w:pPr>
              <w:ind w:left="4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8"/>
              </w:rPr>
              <w:t>31.1*</w:t>
            </w:r>
          </w:p>
        </w:tc>
        <w:tc>
          <w:tcPr>
            <w:tcW w:w="38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20"/>
                <w:szCs w:val="20"/>
                <w:color w:val="auto"/>
              </w:rPr>
              <w:t>–</w:t>
            </w:r>
          </w:p>
        </w:tc>
        <w:tc>
          <w:tcPr>
            <w:tcW w:w="5800" w:type="dxa"/>
            <w:vAlign w:val="bottom"/>
            <w:tcBorders>
              <w:top w:val="single" w:sz="8" w:color="auto"/>
            </w:tcBorders>
            <w:gridSpan w:val="5"/>
            <w:shd w:val="clear" w:color="auto" w:fill="CCEEFF"/>
          </w:tcPr>
          <w:p>
            <w:pPr>
              <w:spacing w:after="0" w:line="196" w:lineRule="exact"/>
              <w:rPr>
                <w:rFonts w:ascii="Arial" w:cs="Arial" w:eastAsia="Arial" w:hAnsi="Arial"/>
                <w:sz w:val="20"/>
                <w:szCs w:val="20"/>
                <w:color w:val="0000FF"/>
                <w:w w:val="99"/>
              </w:rPr>
            </w:pPr>
            <w:hyperlink w:anchor="page48">
              <w:r>
                <w:rPr>
                  <w:rFonts w:ascii="Arial" w:cs="Arial" w:eastAsia="Arial" w:hAnsi="Arial"/>
                  <w:sz w:val="20"/>
                  <w:szCs w:val="20"/>
                  <w:color w:val="0000FF"/>
                  <w:w w:val="99"/>
                </w:rPr>
                <w:t>Certification of the Chief Executive Officer, as required by Section</w:t>
              </w:r>
            </w:hyperlink>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0000FF"/>
            </w:tcBorders>
            <w:gridSpan w:val="4"/>
            <w:shd w:val="clear" w:color="auto" w:fill="CCEEFF"/>
          </w:tcPr>
          <w:p>
            <w:pPr>
              <w:spacing w:after="0" w:line="169" w:lineRule="exact"/>
              <w:rPr>
                <w:rFonts w:ascii="Arial" w:cs="Arial" w:eastAsia="Arial" w:hAnsi="Arial"/>
                <w:sz w:val="19"/>
                <w:szCs w:val="19"/>
                <w:color w:val="0000FF"/>
              </w:rPr>
            </w:pPr>
            <w:hyperlink w:anchor="page48">
              <w:r>
                <w:rPr>
                  <w:rFonts w:ascii="Arial" w:cs="Arial" w:eastAsia="Arial" w:hAnsi="Arial"/>
                  <w:sz w:val="19"/>
                  <w:szCs w:val="19"/>
                  <w:color w:val="0000FF"/>
                </w:rPr>
                <w:t>302 of the Sarbanes- Oxley Act of 2002 (18 U.S.C. 1350)</w:t>
              </w:r>
            </w:hyperlink>
          </w:p>
        </w:tc>
        <w:tc>
          <w:tcPr>
            <w:tcW w:w="14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496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6260" w:type="dxa"/>
            <w:vAlign w:val="bottom"/>
            <w:gridSpan w:val="7"/>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49">
              <w:r>
                <w:rPr>
                  <w:rFonts w:ascii="Arial" w:cs="Arial" w:eastAsia="Arial" w:hAnsi="Arial"/>
                  <w:sz w:val="20"/>
                  <w:szCs w:val="20"/>
                  <w:color w:val="0000FF"/>
                </w:rPr>
                <w:t>Certification of the Chief Financial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60" w:type="dxa"/>
            <w:vAlign w:val="bottom"/>
            <w:tcBorders>
              <w:top w:val="single" w:sz="8" w:color="0000FF"/>
            </w:tcBorders>
            <w:gridSpan w:val="3"/>
          </w:tcPr>
          <w:p>
            <w:pPr>
              <w:spacing w:after="0" w:line="169" w:lineRule="exact"/>
              <w:rPr>
                <w:rFonts w:ascii="Arial" w:cs="Arial" w:eastAsia="Arial" w:hAnsi="Arial"/>
                <w:sz w:val="19"/>
                <w:szCs w:val="19"/>
                <w:color w:val="0000FF"/>
              </w:rPr>
            </w:pPr>
            <w:hyperlink w:anchor="page49">
              <w:r>
                <w:rPr>
                  <w:rFonts w:ascii="Arial" w:cs="Arial" w:eastAsia="Arial" w:hAnsi="Arial"/>
                  <w:sz w:val="19"/>
                  <w:szCs w:val="19"/>
                  <w:color w:val="0000FF"/>
                </w:rPr>
                <w:t>302 of the Sarbanes- Oxley Act of 2002 (18 U.S.C. 1350)</w:t>
              </w:r>
            </w:hyperlink>
          </w:p>
        </w:tc>
        <w:tc>
          <w:tcPr>
            <w:tcW w:w="22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3"/>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9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2"/>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6260" w:type="dxa"/>
            <w:vAlign w:val="bottom"/>
            <w:gridSpan w:val="7"/>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50">
              <w:r>
                <w:rPr>
                  <w:rFonts w:ascii="Arial" w:cs="Arial" w:eastAsia="Arial" w:hAnsi="Arial"/>
                  <w:sz w:val="20"/>
                  <w:szCs w:val="20"/>
                  <w:color w:val="0000FF"/>
                </w:rPr>
                <w:t>Certification of the Chief Executive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0000FF"/>
            </w:tcBorders>
            <w:gridSpan w:val="4"/>
            <w:shd w:val="clear" w:color="auto" w:fill="CCEEFF"/>
          </w:tcPr>
          <w:p>
            <w:pPr>
              <w:spacing w:after="0" w:line="169" w:lineRule="exact"/>
              <w:rPr>
                <w:rFonts w:ascii="Arial" w:cs="Arial" w:eastAsia="Arial" w:hAnsi="Arial"/>
                <w:sz w:val="19"/>
                <w:szCs w:val="19"/>
                <w:color w:val="0000FF"/>
              </w:rPr>
            </w:pPr>
            <w:hyperlink w:anchor="page50">
              <w:r>
                <w:rPr>
                  <w:rFonts w:ascii="Arial" w:cs="Arial" w:eastAsia="Arial" w:hAnsi="Arial"/>
                  <w:sz w:val="19"/>
                  <w:szCs w:val="19"/>
                  <w:color w:val="0000FF"/>
                </w:rPr>
                <w:t>906 of the Sarbanes-Oxley Act of 2002 (18 U.S.C. 1350)</w:t>
              </w:r>
            </w:hyperlink>
          </w:p>
        </w:tc>
        <w:tc>
          <w:tcPr>
            <w:tcW w:w="14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496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6260" w:type="dxa"/>
            <w:vAlign w:val="bottom"/>
            <w:gridSpan w:val="7"/>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51">
              <w:r>
                <w:rPr>
                  <w:rFonts w:ascii="Arial" w:cs="Arial" w:eastAsia="Arial" w:hAnsi="Arial"/>
                  <w:sz w:val="20"/>
                  <w:szCs w:val="20"/>
                  <w:color w:val="0000FF"/>
                </w:rPr>
                <w:t>Certification of the Chief Financial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60" w:type="dxa"/>
            <w:vAlign w:val="bottom"/>
            <w:tcBorders>
              <w:top w:val="single" w:sz="8" w:color="0000FF"/>
            </w:tcBorders>
            <w:gridSpan w:val="3"/>
          </w:tcPr>
          <w:p>
            <w:pPr>
              <w:spacing w:after="0" w:line="169" w:lineRule="exact"/>
              <w:rPr>
                <w:rFonts w:ascii="Arial" w:cs="Arial" w:eastAsia="Arial" w:hAnsi="Arial"/>
                <w:sz w:val="19"/>
                <w:szCs w:val="19"/>
                <w:color w:val="0000FF"/>
              </w:rPr>
            </w:pPr>
            <w:hyperlink w:anchor="page51">
              <w:r>
                <w:rPr>
                  <w:rFonts w:ascii="Arial" w:cs="Arial" w:eastAsia="Arial" w:hAnsi="Arial"/>
                  <w:sz w:val="19"/>
                  <w:szCs w:val="19"/>
                  <w:color w:val="0000FF"/>
                </w:rPr>
                <w:t>906 of the Sarbanes-Oxley Act of 2002 (18 U.S.C. 1350)</w:t>
              </w:r>
            </w:hyperlink>
          </w:p>
        </w:tc>
        <w:tc>
          <w:tcPr>
            <w:tcW w:w="22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3"/>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96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9"/>
        </w:trPr>
        <w:tc>
          <w:tcPr>
            <w:tcW w:w="1540" w:type="dxa"/>
            <w:vAlign w:val="bottom"/>
            <w:shd w:val="clear" w:color="auto" w:fill="CCEEFF"/>
          </w:tcPr>
          <w:p>
            <w:pPr>
              <w:ind w:left="420"/>
              <w:spacing w:after="0" w:line="199" w:lineRule="exact"/>
              <w:rPr>
                <w:sz w:val="20"/>
                <w:szCs w:val="20"/>
                <w:color w:val="auto"/>
              </w:rPr>
            </w:pPr>
            <w:r>
              <w:rPr>
                <w:rFonts w:ascii="Arial" w:cs="Arial" w:eastAsia="Arial" w:hAnsi="Arial"/>
                <w:sz w:val="20"/>
                <w:szCs w:val="20"/>
                <w:color w:val="auto"/>
              </w:rPr>
              <w:t>101.INS</w:t>
            </w:r>
          </w:p>
        </w:tc>
        <w:tc>
          <w:tcPr>
            <w:tcW w:w="380" w:type="dxa"/>
            <w:vAlign w:val="bottom"/>
            <w:shd w:val="clear" w:color="auto" w:fill="CCEEFF"/>
          </w:tcPr>
          <w:p>
            <w:pPr>
              <w:spacing w:after="0"/>
              <w:rPr>
                <w:sz w:val="17"/>
                <w:szCs w:val="17"/>
                <w:color w:val="auto"/>
              </w:rPr>
            </w:pPr>
          </w:p>
        </w:tc>
        <w:tc>
          <w:tcPr>
            <w:tcW w:w="5880" w:type="dxa"/>
            <w:vAlign w:val="bottom"/>
            <w:gridSpan w:val="6"/>
            <w:shd w:val="clear" w:color="auto" w:fill="CCEEFF"/>
          </w:tcPr>
          <w:p>
            <w:pPr>
              <w:spacing w:after="0" w:line="199" w:lineRule="exact"/>
              <w:rPr>
                <w:sz w:val="20"/>
                <w:szCs w:val="20"/>
                <w:color w:val="auto"/>
              </w:rPr>
            </w:pPr>
            <w:r>
              <w:rPr>
                <w:rFonts w:ascii="Arial" w:cs="Arial" w:eastAsia="Arial" w:hAnsi="Arial"/>
                <w:sz w:val="20"/>
                <w:szCs w:val="20"/>
                <w:color w:val="auto"/>
              </w:rPr>
              <w:t>XBRL Instance Document – the instance document does not</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9"/>
        </w:trPr>
        <w:tc>
          <w:tcPr>
            <w:tcW w:w="1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80" w:type="dxa"/>
            <w:vAlign w:val="bottom"/>
            <w:gridSpan w:val="6"/>
            <w:shd w:val="clear" w:color="auto" w:fill="CCEEFF"/>
          </w:tcPr>
          <w:p>
            <w:pPr>
              <w:spacing w:after="0" w:line="189" w:lineRule="exact"/>
              <w:rPr>
                <w:sz w:val="20"/>
                <w:szCs w:val="20"/>
                <w:color w:val="auto"/>
              </w:rPr>
            </w:pPr>
            <w:r>
              <w:rPr>
                <w:rFonts w:ascii="Arial" w:cs="Arial" w:eastAsia="Arial" w:hAnsi="Arial"/>
                <w:sz w:val="20"/>
                <w:szCs w:val="20"/>
                <w:color w:val="auto"/>
              </w:rPr>
              <w:t>appear in the Interactive Data file because its XBRL tags are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3"/>
        </w:trPr>
        <w:tc>
          <w:tcPr>
            <w:tcW w:w="1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80" w:type="dxa"/>
            <w:vAlign w:val="bottom"/>
            <w:gridSpan w:val="6"/>
            <w:shd w:val="clear" w:color="auto" w:fill="CCEEFF"/>
          </w:tcPr>
          <w:p>
            <w:pPr>
              <w:spacing w:after="0"/>
              <w:rPr>
                <w:sz w:val="20"/>
                <w:szCs w:val="20"/>
                <w:color w:val="auto"/>
              </w:rPr>
            </w:pPr>
            <w:r>
              <w:rPr>
                <w:rFonts w:ascii="Arial" w:cs="Arial" w:eastAsia="Arial" w:hAnsi="Arial"/>
                <w:sz w:val="20"/>
                <w:szCs w:val="20"/>
                <w:color w:val="auto"/>
              </w:rPr>
              <w:t>embedded within the Inline XBRL document</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1540" w:type="dxa"/>
            <w:vAlign w:val="bottom"/>
          </w:tcPr>
          <w:p>
            <w:pPr>
              <w:ind w:left="380"/>
              <w:spacing w:after="0"/>
              <w:rPr>
                <w:sz w:val="20"/>
                <w:szCs w:val="20"/>
                <w:color w:val="auto"/>
              </w:rPr>
            </w:pPr>
            <w:r>
              <w:rPr>
                <w:rFonts w:ascii="Arial" w:cs="Arial" w:eastAsia="Arial" w:hAnsi="Arial"/>
                <w:sz w:val="20"/>
                <w:szCs w:val="20"/>
                <w:color w:val="auto"/>
              </w:rPr>
              <w:t>101.SCH</w:t>
            </w:r>
          </w:p>
        </w:tc>
        <w:tc>
          <w:tcPr>
            <w:tcW w:w="380" w:type="dxa"/>
            <w:vAlign w:val="bottom"/>
          </w:tcPr>
          <w:p>
            <w:pPr>
              <w:spacing w:after="0"/>
              <w:rPr>
                <w:sz w:val="21"/>
                <w:szCs w:val="21"/>
                <w:color w:val="auto"/>
              </w:rPr>
            </w:pPr>
          </w:p>
        </w:tc>
        <w:tc>
          <w:tcPr>
            <w:tcW w:w="5880" w:type="dxa"/>
            <w:vAlign w:val="bottom"/>
            <w:gridSpan w:val="6"/>
          </w:tcPr>
          <w:p>
            <w:pPr>
              <w:spacing w:after="0"/>
              <w:rPr>
                <w:sz w:val="20"/>
                <w:szCs w:val="20"/>
                <w:color w:val="auto"/>
              </w:rPr>
            </w:pPr>
            <w:r>
              <w:rPr>
                <w:rFonts w:ascii="Arial" w:cs="Arial" w:eastAsia="Arial" w:hAnsi="Arial"/>
                <w:sz w:val="20"/>
                <w:szCs w:val="20"/>
                <w:color w:val="auto"/>
              </w:rPr>
              <w:t>XBRL Taxonomy Extension Schema Document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5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101.CAL</w:t>
            </w:r>
          </w:p>
        </w:tc>
        <w:tc>
          <w:tcPr>
            <w:tcW w:w="380" w:type="dxa"/>
            <w:vAlign w:val="bottom"/>
            <w:shd w:val="clear" w:color="auto" w:fill="CCEEFF"/>
          </w:tcPr>
          <w:p>
            <w:pPr>
              <w:spacing w:after="0"/>
              <w:rPr>
                <w:sz w:val="21"/>
                <w:szCs w:val="21"/>
                <w:color w:val="auto"/>
              </w:rPr>
            </w:pPr>
          </w:p>
        </w:tc>
        <w:tc>
          <w:tcPr>
            <w:tcW w:w="5880" w:type="dxa"/>
            <w:vAlign w:val="bottom"/>
            <w:gridSpan w:val="6"/>
            <w:shd w:val="clear" w:color="auto" w:fill="CCEEFF"/>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1540" w:type="dxa"/>
            <w:vAlign w:val="bottom"/>
          </w:tcPr>
          <w:p>
            <w:pPr>
              <w:ind w:left="380"/>
              <w:spacing w:after="0"/>
              <w:rPr>
                <w:sz w:val="20"/>
                <w:szCs w:val="20"/>
                <w:color w:val="auto"/>
              </w:rPr>
            </w:pPr>
            <w:r>
              <w:rPr>
                <w:rFonts w:ascii="Arial" w:cs="Arial" w:eastAsia="Arial" w:hAnsi="Arial"/>
                <w:sz w:val="20"/>
                <w:szCs w:val="20"/>
                <w:color w:val="auto"/>
              </w:rPr>
              <w:t>101.DEF</w:t>
            </w:r>
          </w:p>
        </w:tc>
        <w:tc>
          <w:tcPr>
            <w:tcW w:w="380" w:type="dxa"/>
            <w:vAlign w:val="bottom"/>
          </w:tcPr>
          <w:p>
            <w:pPr>
              <w:spacing w:after="0"/>
              <w:rPr>
                <w:sz w:val="21"/>
                <w:szCs w:val="21"/>
                <w:color w:val="auto"/>
              </w:rPr>
            </w:pPr>
          </w:p>
        </w:tc>
        <w:tc>
          <w:tcPr>
            <w:tcW w:w="5880" w:type="dxa"/>
            <w:vAlign w:val="bottom"/>
            <w:gridSpan w:val="6"/>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5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101.LAB</w:t>
            </w:r>
          </w:p>
        </w:tc>
        <w:tc>
          <w:tcPr>
            <w:tcW w:w="380" w:type="dxa"/>
            <w:vAlign w:val="bottom"/>
            <w:shd w:val="clear" w:color="auto" w:fill="CCEEFF"/>
          </w:tcPr>
          <w:p>
            <w:pPr>
              <w:spacing w:after="0"/>
              <w:rPr>
                <w:sz w:val="21"/>
                <w:szCs w:val="21"/>
                <w:color w:val="auto"/>
              </w:rPr>
            </w:pPr>
          </w:p>
        </w:tc>
        <w:tc>
          <w:tcPr>
            <w:tcW w:w="5880" w:type="dxa"/>
            <w:vAlign w:val="bottom"/>
            <w:gridSpan w:val="6"/>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7"/>
        </w:trPr>
        <w:tc>
          <w:tcPr>
            <w:tcW w:w="1540" w:type="dxa"/>
            <w:vAlign w:val="bottom"/>
          </w:tcPr>
          <w:p>
            <w:pPr>
              <w:ind w:left="380"/>
              <w:spacing w:after="0"/>
              <w:rPr>
                <w:sz w:val="20"/>
                <w:szCs w:val="20"/>
                <w:color w:val="auto"/>
              </w:rPr>
            </w:pPr>
            <w:r>
              <w:rPr>
                <w:rFonts w:ascii="Arial" w:cs="Arial" w:eastAsia="Arial" w:hAnsi="Arial"/>
                <w:sz w:val="20"/>
                <w:szCs w:val="20"/>
                <w:color w:val="auto"/>
              </w:rPr>
              <w:t>101.PRE</w:t>
            </w:r>
          </w:p>
        </w:tc>
        <w:tc>
          <w:tcPr>
            <w:tcW w:w="380" w:type="dxa"/>
            <w:vAlign w:val="bottom"/>
          </w:tcPr>
          <w:p>
            <w:pPr>
              <w:spacing w:after="0"/>
              <w:rPr>
                <w:sz w:val="21"/>
                <w:szCs w:val="21"/>
                <w:color w:val="auto"/>
              </w:rPr>
            </w:pPr>
          </w:p>
        </w:tc>
        <w:tc>
          <w:tcPr>
            <w:tcW w:w="5880" w:type="dxa"/>
            <w:vAlign w:val="bottom"/>
            <w:gridSpan w:val="6"/>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920" w:hanging="1308"/>
        <w:spacing w:after="0"/>
        <w:tabs>
          <w:tab w:leader="none" w:pos="19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ind w:left="220" w:hanging="212"/>
        <w:spacing w:after="0"/>
        <w:tabs>
          <w:tab w:leader="none" w:pos="2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Jim Fusaro</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August 11, 2021</w:t>
            </w:r>
          </w:p>
        </w:tc>
      </w:tr>
      <w:tr>
        <w:trPr>
          <w:trHeight w:val="223"/>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Jim Fusaro</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29"/>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50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Nipul Patel</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August 11, 2021</w:t>
            </w:r>
          </w:p>
        </w:tc>
      </w:tr>
      <w:tr>
        <w:trPr>
          <w:trHeight w:val="223"/>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Nipul Patel</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120"/>
          </w:cols>
          <w:pgMar w:left="320" w:top="1097"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Jim Fusaro, certify that:</w:t>
      </w:r>
    </w:p>
    <w:p>
      <w:pPr>
        <w:spacing w:after="0" w:line="249"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2021</w:t>
      </w:r>
    </w:p>
    <w:p>
      <w:pPr>
        <w:sectPr>
          <w:pgSz w:w="11900" w:h="16838" w:orient="portrait"/>
          <w:cols w:equalWidth="0" w:num="1">
            <w:col w:w="11200"/>
          </w:cols>
          <w:pgMar w:left="320" w:top="765"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49"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2021</w:t>
      </w:r>
    </w:p>
    <w:p>
      <w:pPr>
        <w:sectPr>
          <w:pgSz w:w="11900" w:h="16838" w:orient="portrait"/>
          <w:cols w:equalWidth="0" w:num="1">
            <w:col w:w="11200"/>
          </w:cols>
          <w:pgMar w:left="320" w:top="76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June 30, 2021, as filed with the Securities and Exchange Commission on the date hereof (the “Report”), I, Jim Fusaro, Chief Executive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2021</w:t>
      </w:r>
    </w:p>
    <w:p>
      <w:pPr>
        <w:sectPr>
          <w:pgSz w:w="11900" w:h="16838" w:orient="portrait"/>
          <w:cols w:equalWidth="0" w:num="1">
            <w:col w:w="11160"/>
          </w:cols>
          <w:pgMar w:left="320" w:top="765"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June 30, 2021,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2021</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2"/>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decimal"/>
      <w:start w:val="7"/>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1"/>
    </w:lvl>
  </w:abstractNum>
  <w:abstractNum w:abstractNumId="12">
    <w:nsid w:val="721DA317"/>
    <w:multiLevelType w:val="hybridMultilevel"/>
    <w:lvl w:ilvl="0">
      <w:lvlJc w:val="left"/>
      <w:lvlText w:val="%1."/>
      <w:numFmt w:val="decimal"/>
      <w:start w:val="12"/>
    </w:lvl>
  </w:abstractNum>
  <w:abstractNum w:abstractNumId="13">
    <w:nsid w:val="2443A858"/>
    <w:multiLevelType w:val="hybridMultilevel"/>
    <w:lvl w:ilvl="0">
      <w:lvlJc w:val="left"/>
      <w:lvlText w:val="%1."/>
      <w:numFmt w:val="decimal"/>
      <w:start w:val="13"/>
    </w:lvl>
  </w:abstractNum>
  <w:abstractNum w:abstractNumId="14">
    <w:nsid w:val="2D1D5AE9"/>
    <w:multiLevelType w:val="hybridMultilevel"/>
    <w:lvl w:ilvl="0">
      <w:lvlJc w:val="left"/>
      <w:lvlText w:val="%1."/>
      <w:numFmt w:val="decimal"/>
      <w:start w:val="14"/>
    </w:lvl>
  </w:abstractNum>
  <w:abstractNum w:abstractNumId="15">
    <w:nsid w:val="6763845E"/>
    <w:multiLevelType w:val="hybridMultilevel"/>
    <w:lvl w:ilvl="0">
      <w:lvlJc w:val="left"/>
      <w:lvlText w:val="%1."/>
      <w:numFmt w:val="decimal"/>
      <w:start w:val="16"/>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Roman"/>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lowerRoman"/>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lvl w:ilvl="1">
      <w:lvlJc w:val="left"/>
      <w:lvlText w:val="%2"/>
      <w:numFmt w:val="decimal"/>
      <w:start w:val="104"/>
    </w:lvl>
  </w:abstractNum>
  <w:abstractNum w:abstractNumId="26">
    <w:nsid w:val="2901D82"/>
    <w:multiLevelType w:val="hybridMultilevel"/>
    <w:lvl w:ilvl="0">
      <w:lvlJc w:val="left"/>
      <w:lvlText w:val="**"/>
      <w:numFmt w:val="bullet"/>
      <w:start w:val="1"/>
    </w:lvl>
    <w:lvl w:ilvl="1">
      <w:lvlJc w:val="left"/>
      <w:lvlText w:val="%2"/>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0" Type="http://schemas.openxmlformats.org/officeDocument/2006/relationships/hyperlink" Target="http://www.sec.gov/Archives/edgar/data/1820721/000119312520272092/d50569dex31.htm" TargetMode="External"/><Relationship Id="rId61" Type="http://schemas.openxmlformats.org/officeDocument/2006/relationships/hyperlink" Target="http://www.sec.gov/Archives/edgar/data/1820721/000119312520272092/d5056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2021-08-12T05:15:34Z</dcterms:created>
  <dcterms:modified xsi:type="dcterms:W3CDTF">2021-08-12T05:15:34Z</dcterms:modified>
</cp:coreProperties>
</file>