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Array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BNP Paribas Asset Management Holding S.A.</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FRANCE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88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9,605,177.00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9,579,715.00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9,605,177.00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100" w:space="60"/>
            <w:col w:w="9780"/>
          </w:cols>
          <w:pgMar w:left="320" w:top="111" w:right="63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Shares reported are inclusive of the Parent Holding Company's subsidiaries: AXA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Investment Managers UK Limited and BNP Paribas Asset Management Europe.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Array Technologies,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jc w:val="center"/>
        <w:ind w:right="60"/>
        <w:spacing w:after="0"/>
        <w:rPr>
          <w:sz w:val="20"/>
          <w:szCs w:val="20"/>
          <w:color w:val="auto"/>
        </w:rPr>
      </w:pPr>
      <w:r>
        <w:rPr>
          <w:rFonts w:ascii="Times New Roman" w:cs="Times New Roman" w:eastAsia="Times New Roman" w:hAnsi="Times New Roman"/>
          <w:sz w:val="22"/>
          <w:szCs w:val="22"/>
          <w:color w:val="auto"/>
        </w:rPr>
        <w:t>3901 MIDWAY PLACE NE, 3901 MIDWAY PLACE NE, ALBUQUERQUE, NEW MEXICO, 87109.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BNP Paribas Asset Management Holdings SA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8, Rue Du Port 92729 Nanterre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France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ind w:left="960" w:hanging="912"/>
        <w:spacing w:after="0" w:line="180" w:lineRule="auto"/>
        <w:tabs>
          <w:tab w:leader="none" w:pos="96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0940"/>
          </w:cols>
          <w:pgMar w:left="320" w:top="111" w:right="6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parent holding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9,605,177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9,579,715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9,605,177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720"/>
        <w:spacing w:after="0" w:line="256" w:lineRule="auto"/>
        <w:rPr>
          <w:sz w:val="20"/>
          <w:szCs w:val="20"/>
          <w:color w:val="auto"/>
        </w:rPr>
      </w:pPr>
      <w:r>
        <w:rPr>
          <w:rFonts w:ascii="Times New Roman" w:cs="Times New Roman" w:eastAsia="Times New Roman" w:hAnsi="Times New Roman"/>
          <w:sz w:val="22"/>
          <w:szCs w:val="22"/>
          <w:color w:val="auto"/>
        </w:rPr>
        <w:t>Shares reported are those beneficially owned by two FI entities associated with the asset management holding company, BNP Paribas Asset Management Holdings SA, as referenced in the Exhibit.</w:t>
      </w:r>
    </w:p>
    <w:p>
      <w:pPr>
        <w:spacing w:after="0" w:line="1"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5"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HC is substantially comparable to the regulatory scheme applicable to the functionally equivalent U.S. institution(s). I also undertake to furnish to the Commission staff, upon request, information that would otherwise be disclosed in a Schedule 13D.</w:t>
      </w:r>
    </w:p>
    <w:p>
      <w:pPr>
        <w:sectPr>
          <w:pgSz w:w="11900" w:h="16838" w:orient="portrait"/>
          <w:cols w:equalWidth="0" w:num="1">
            <w:col w:w="11140"/>
          </w:cols>
          <w:pgMar w:left="360" w:top="111" w:right="39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BNP Paribas Asset Management Holding S.A.</w:t>
      </w:r>
    </w:p>
    <w:p>
      <w:pPr>
        <w:spacing w:after="0" w:line="152" w:lineRule="exact"/>
        <w:rPr>
          <w:sz w:val="20"/>
          <w:szCs w:val="20"/>
          <w:color w:val="auto"/>
        </w:rPr>
      </w:pPr>
    </w:p>
    <w:p>
      <w:pPr>
        <w:ind w:left="286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Sylvain Noyelle</w:t>
      </w:r>
    </w:p>
    <w:p>
      <w:pPr>
        <w:spacing w:after="0" w:line="4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Name/Title: Head of Compliance</w:t>
      </w:r>
    </w:p>
    <w:p>
      <w:pPr>
        <w:spacing w:after="0" w:line="44" w:lineRule="exact"/>
        <w:rPr>
          <w:sz w:val="20"/>
          <w:szCs w:val="20"/>
          <w:color w:val="auto"/>
        </w:rPr>
      </w:pPr>
    </w:p>
    <w:p>
      <w:pPr>
        <w:ind w:left="286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2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5"/>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2026-04-29T18:32:31Z</dcterms:created>
  <dcterms:modified xsi:type="dcterms:W3CDTF">2026-04-29T18:32:31Z</dcterms:modified>
</cp:coreProperties>
</file>