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20"/>
        </w:rPr>
        <w:t>QUARTERLY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quarterly period ended June 30, 2024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8"/>
        </w:rPr>
        <w:t>TRANSITION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 to 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001-39613</w:t>
      </w:r>
    </w:p>
    <w:p>
      <w:pPr>
        <w:pStyle w:val="TextBody"/>
        <w:bidi w:val="0"/>
        <w:spacing w:before="0" w:after="0"/>
        <w:jc w:val="center"/>
        <w:rPr/>
      </w:pPr>
      <w:r>
        <w:rPr/>
      </w:r>
    </w:p>
    <w:p>
      <w:pPr>
        <w:pStyle w:val="TextBody"/>
        <w:bidi w:val="0"/>
        <w:spacing w:before="0" w:after="0"/>
        <w:jc w:val="center"/>
        <w:rPr/>
      </w:pPr>
      <w:r>
        <w:rPr/>
        <w:drawing>
          <wp:inline distT="0" distB="0" distL="0" distR="0">
            <wp:extent cx="19145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152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ARRAY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0"/>
        <w:jc w:val="center"/>
        <w:rPr/>
      </w:pPr>
      <w:r>
        <w:rPr/>
      </w:r>
    </w:p>
    <w:tbl>
      <w:tblPr>
        <w:tblW w:w="8068" w:type="dxa"/>
        <w:jc w:val="center"/>
        <w:tblInd w:w="0" w:type="dxa"/>
        <w:tblLayout w:type="fixed"/>
        <w:tblCellMar>
          <w:top w:w="28" w:type="dxa"/>
          <w:left w:w="28" w:type="dxa"/>
          <w:bottom w:w="28" w:type="dxa"/>
          <w:right w:w="28" w:type="dxa"/>
        </w:tblCellMar>
      </w:tblPr>
      <w:tblGrid>
        <w:gridCol w:w="893"/>
        <w:gridCol w:w="783"/>
        <w:gridCol w:w="783"/>
        <w:gridCol w:w="487"/>
        <w:gridCol w:w="487"/>
        <w:gridCol w:w="497"/>
        <w:gridCol w:w="109"/>
        <w:gridCol w:w="109"/>
        <w:gridCol w:w="109"/>
        <w:gridCol w:w="454"/>
        <w:gridCol w:w="454"/>
        <w:gridCol w:w="456"/>
        <w:gridCol w:w="163"/>
        <w:gridCol w:w="163"/>
        <w:gridCol w:w="163"/>
        <w:gridCol w:w="573"/>
        <w:gridCol w:w="573"/>
        <w:gridCol w:w="812"/>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9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83-2747826</w:t>
            </w:r>
          </w:p>
        </w:tc>
      </w:tr>
      <w:tr>
        <w:trPr/>
        <w:tc>
          <w:tcPr>
            <w:tcW w:w="3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3901 Midway Place NE</w:t>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Albuquerque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New Mexico</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87109</w:t>
            </w:r>
          </w:p>
        </w:tc>
      </w:tr>
      <w:tr>
        <w:trPr/>
        <w:tc>
          <w:tcPr>
            <w:tcW w:w="56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tbl>
      <w:tblPr>
        <w:tblW w:w="6148" w:type="dxa"/>
        <w:jc w:val="center"/>
        <w:tblInd w:w="0" w:type="dxa"/>
        <w:tblLayout w:type="fixed"/>
        <w:tblCellMar>
          <w:top w:w="28" w:type="dxa"/>
          <w:left w:w="28" w:type="dxa"/>
          <w:bottom w:w="28" w:type="dxa"/>
          <w:right w:w="28" w:type="dxa"/>
        </w:tblCellMar>
      </w:tblPr>
      <w:tblGrid>
        <w:gridCol w:w="1620"/>
        <w:gridCol w:w="1423"/>
        <w:gridCol w:w="1427"/>
        <w:gridCol w:w="204"/>
        <w:gridCol w:w="204"/>
        <w:gridCol w:w="206"/>
        <w:gridCol w:w="310"/>
        <w:gridCol w:w="310"/>
        <w:gridCol w:w="44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(505)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881-7567</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(Former name, former address and former fiscal year, if changed since last report)</w:t>
      </w:r>
      <w:r>
        <w:rPr>
          <w:color w:val="000000"/>
        </w:rPr>
        <w:t xml:space="preserve"> </w:t>
      </w:r>
      <w:r>
        <w:rPr>
          <w:rFonts w:ascii="Arial;sans-serif" w:hAnsi="Arial;sans-serif"/>
          <w:b/>
          <w:color w:val="000000"/>
          <w:sz w:val="22"/>
        </w:rPr>
        <w:t>N/A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271"/>
        <w:gridCol w:w="1117"/>
        <w:gridCol w:w="1122"/>
        <w:gridCol w:w="109"/>
        <w:gridCol w:w="109"/>
        <w:gridCol w:w="109"/>
        <w:gridCol w:w="534"/>
        <w:gridCol w:w="534"/>
        <w:gridCol w:w="536"/>
        <w:gridCol w:w="109"/>
        <w:gridCol w:w="109"/>
        <w:gridCol w:w="109"/>
        <w:gridCol w:w="1108"/>
        <w:gridCol w:w="1108"/>
        <w:gridCol w:w="1579"/>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Global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August 5, 2024, there were 151,926,428 shares of common stock, par value $0.001 per share,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Index to Form 10-Q</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7"/>
        <w:gridCol w:w="311"/>
        <w:gridCol w:w="311"/>
        <w:gridCol w:w="2751"/>
        <w:gridCol w:w="2697"/>
        <w:gridCol w:w="2704"/>
        <w:gridCol w:w="311"/>
        <w:gridCol w:w="311"/>
        <w:gridCol w:w="452"/>
      </w:tblGrid>
      <w:tr>
        <w:trPr/>
        <w:tc>
          <w:tcPr>
            <w:tcW w:w="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0">
              <w:r>
                <w:rPr>
                  <w:rStyle w:val="InternetLink"/>
                  <w:rFonts w:ascii="Arial;sans-serif" w:hAnsi="Arial;sans-serif"/>
                  <w:b/>
                  <w:color w:val="0000FF"/>
                  <w:sz w:val="20"/>
                  <w:u w:val="single"/>
                </w:rPr>
                <w:t>PART I - FINANCIAL INFORMATION</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3">
              <w:r>
                <w:rPr>
                  <w:rStyle w:val="InternetLink"/>
                  <w:rFonts w:ascii="Arial;sans-serif" w:hAnsi="Arial;sans-serif"/>
                  <w:b w:val="false"/>
                  <w:color w:val="0000FF"/>
                  <w:sz w:val="20"/>
                  <w:u w:val="single"/>
                </w:rPr>
                <w:t>Item 1.</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3">
              <w:r>
                <w:rPr>
                  <w:rStyle w:val="InternetLink"/>
                  <w:rFonts w:ascii="Arial;sans-serif" w:hAnsi="Arial;sans-serif"/>
                  <w:b w:val="false"/>
                  <w:color w:val="0000FF"/>
                  <w:sz w:val="20"/>
                  <w:u w:val="single"/>
                </w:rPr>
                <w:t>Unaudited Condensed Consolidated Financial Statements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6">
              <w:r>
                <w:rPr>
                  <w:rStyle w:val="InternetLink"/>
                  <w:rFonts w:ascii="Arial;sans-serif" w:hAnsi="Arial;sans-serif"/>
                  <w:b w:val="false"/>
                  <w:color w:val="0000FF"/>
                  <w:sz w:val="20"/>
                  <w:u w:val="single"/>
                </w:rPr>
                <w:t>Condensed Consolidated Balance Sheets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6">
              <w:r>
                <w:rPr>
                  <w:rStyle w:val="InternetLink"/>
                  <w:rFonts w:ascii="Arial;sans-serif" w:hAnsi="Arial;sans-serif"/>
                  <w:b w:val="false"/>
                  <w:color w:val="0000FF"/>
                  <w:sz w:val="20"/>
                  <w:u w:val="single"/>
                </w:rPr>
                <w:t>1</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9">
              <w:r>
                <w:rPr>
                  <w:rStyle w:val="InternetLink"/>
                  <w:rFonts w:ascii="Arial;sans-serif" w:hAnsi="Arial;sans-serif"/>
                  <w:b w:val="false"/>
                  <w:color w:val="0000FF"/>
                  <w:sz w:val="20"/>
                  <w:u w:val="single"/>
                </w:rPr>
                <w:t>Condensed Consolidated Statements of Operations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9">
              <w:r>
                <w:rPr>
                  <w:rStyle w:val="InternetLink"/>
                  <w:rFonts w:ascii="Arial;sans-serif" w:hAnsi="Arial;sans-serif"/>
                  <w:b w:val="false"/>
                  <w:color w:val="0000FF"/>
                  <w:sz w:val="20"/>
                  <w:u w:val="single"/>
                </w:rPr>
                <w:t>3</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22">
              <w:r>
                <w:rPr>
                  <w:rStyle w:val="InternetLink"/>
                  <w:rFonts w:ascii="Arial;sans-serif" w:hAnsi="Arial;sans-serif"/>
                  <w:b w:val="false"/>
                  <w:color w:val="0000FF"/>
                  <w:sz w:val="20"/>
                  <w:u w:val="single"/>
                </w:rPr>
                <w:t>Condensed Consolidated Statements of Comprehensive Income (Loss)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22">
              <w:r>
                <w:rPr>
                  <w:rStyle w:val="InternetLink"/>
                  <w:rFonts w:ascii="Arial;sans-serif" w:hAnsi="Arial;sans-serif"/>
                  <w:b w:val="false"/>
                  <w:color w:val="0000FF"/>
                  <w:sz w:val="20"/>
                  <w:u w:val="single"/>
                </w:rPr>
                <w:t>4</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25">
              <w:r>
                <w:rPr>
                  <w:rStyle w:val="InternetLink"/>
                  <w:rFonts w:ascii="Arial;sans-serif" w:hAnsi="Arial;sans-serif"/>
                  <w:b w:val="false"/>
                  <w:color w:val="0000FF"/>
                  <w:sz w:val="20"/>
                  <w:u w:val="single"/>
                </w:rPr>
                <w:t>Condensed Consolidated Statements of Changes in Redeemable Perpetual Preferred Stock and Stockholders’ Equity</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25">
              <w:r>
                <w:rPr>
                  <w:rStyle w:val="InternetLink"/>
                  <w:rFonts w:ascii="Arial;sans-serif" w:hAnsi="Arial;sans-serif"/>
                  <w:b w:val="false"/>
                  <w:color w:val="0000FF"/>
                  <w:sz w:val="20"/>
                  <w:u w:val="single"/>
                </w:rPr>
                <w:t>5</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28">
              <w:r>
                <w:rPr>
                  <w:rStyle w:val="InternetLink"/>
                  <w:rFonts w:ascii="Arial;sans-serif" w:hAnsi="Arial;sans-serif"/>
                  <w:b w:val="false"/>
                  <w:color w:val="0000FF"/>
                  <w:sz w:val="20"/>
                  <w:u w:val="single"/>
                </w:rPr>
                <w:t>Condensed Consolidated Statements of Cash Flows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28">
              <w:r>
                <w:rPr>
                  <w:rStyle w:val="InternetLink"/>
                  <w:rFonts w:ascii="Arial;sans-serif" w:hAnsi="Arial;sans-serif"/>
                  <w:b w:val="false"/>
                  <w:color w:val="0000FF"/>
                  <w:sz w:val="20"/>
                  <w:u w:val="single"/>
                </w:rPr>
                <w:t>9</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31">
              <w:r>
                <w:rPr>
                  <w:rStyle w:val="InternetLink"/>
                  <w:rFonts w:ascii="Arial;sans-serif" w:hAnsi="Arial;sans-serif"/>
                  <w:b w:val="false"/>
                  <w:color w:val="0000FF"/>
                  <w:sz w:val="20"/>
                  <w:u w:val="single"/>
                </w:rPr>
                <w:t>Notes to Condensed Consolidated Financial Statements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31">
              <w:r>
                <w:rPr>
                  <w:rStyle w:val="InternetLink"/>
                  <w:rFonts w:ascii="Arial;sans-serif" w:hAnsi="Arial;sans-serif"/>
                  <w:b w:val="false"/>
                  <w:color w:val="0000FF"/>
                  <w:sz w:val="20"/>
                  <w:u w:val="single"/>
                </w:rPr>
                <w:t>11</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79">
              <w:r>
                <w:rPr>
                  <w:rStyle w:val="InternetLink"/>
                  <w:rFonts w:ascii="Arial;sans-serif" w:hAnsi="Arial;sans-serif"/>
                  <w:b w:val="false"/>
                  <w:color w:val="0000FF"/>
                  <w:sz w:val="20"/>
                  <w:u w:val="single"/>
                </w:rPr>
                <w:t>Item 2.</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79">
              <w:r>
                <w:rPr>
                  <w:rStyle w:val="InternetLink"/>
                  <w:rFonts w:ascii="Arial;sans-serif" w:hAnsi="Arial;sans-serif"/>
                  <w:b w:val="false"/>
                  <w:color w:val="0000FF"/>
                  <w:sz w:val="20"/>
                  <w:u w:val="single"/>
                </w:rPr>
                <w:t>Management’s Discussion and Analysis of Financial Condition and Results of Operations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79">
              <w:r>
                <w:rPr>
                  <w:rStyle w:val="InternetLink"/>
                  <w:rFonts w:ascii="Arial;sans-serif" w:hAnsi="Arial;sans-serif"/>
                  <w:b w:val="false"/>
                  <w:color w:val="0000FF"/>
                  <w:sz w:val="20"/>
                  <w:u w:val="single"/>
                </w:rPr>
                <w:t>34</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97">
              <w:r>
                <w:rPr>
                  <w:rStyle w:val="InternetLink"/>
                  <w:rFonts w:ascii="Arial;sans-serif" w:hAnsi="Arial;sans-serif"/>
                  <w:b w:val="false"/>
                  <w:color w:val="0000FF"/>
                  <w:sz w:val="20"/>
                  <w:u w:val="single"/>
                </w:rPr>
                <w:t>Item 3.</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97">
              <w:r>
                <w:rPr>
                  <w:rStyle w:val="InternetLink"/>
                  <w:rFonts w:ascii="Arial;sans-serif" w:hAnsi="Arial;sans-serif"/>
                  <w:b w:val="false"/>
                  <w:color w:val="0000FF"/>
                  <w:sz w:val="20"/>
                  <w:u w:val="single"/>
                </w:rPr>
                <w:t>Quantitative and Qualitative Disclosures About Market Risk</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97">
              <w:r>
                <w:rPr>
                  <w:rStyle w:val="InternetLink"/>
                  <w:rFonts w:ascii="Arial;sans-serif" w:hAnsi="Arial;sans-serif"/>
                  <w:b w:val="false"/>
                  <w:color w:val="0000FF"/>
                  <w:sz w:val="20"/>
                  <w:u w:val="single"/>
                </w:rPr>
                <w:t>49</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00">
              <w:r>
                <w:rPr>
                  <w:rStyle w:val="InternetLink"/>
                  <w:rFonts w:ascii="Arial;sans-serif" w:hAnsi="Arial;sans-serif"/>
                  <w:b w:val="false"/>
                  <w:color w:val="0000FF"/>
                  <w:sz w:val="20"/>
                  <w:u w:val="single"/>
                </w:rPr>
                <w:t>Item 4.</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00">
              <w:r>
                <w:rPr>
                  <w:rStyle w:val="InternetLink"/>
                  <w:rFonts w:ascii="Arial;sans-serif" w:hAnsi="Arial;sans-serif"/>
                  <w:b w:val="false"/>
                  <w:color w:val="0000FF"/>
                  <w:sz w:val="20"/>
                  <w:u w:val="single"/>
                </w:rPr>
                <w:t>Controls and Procedures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00">
              <w:r>
                <w:rPr>
                  <w:rStyle w:val="InternetLink"/>
                  <w:rFonts w:ascii="Arial;sans-serif" w:hAnsi="Arial;sans-serif"/>
                  <w:b w:val="false"/>
                  <w:color w:val="0000FF"/>
                  <w:sz w:val="20"/>
                  <w:u w:val="single"/>
                </w:rPr>
                <w:t>49</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03">
              <w:r>
                <w:rPr>
                  <w:rStyle w:val="InternetLink"/>
                  <w:rFonts w:ascii="Arial;sans-serif" w:hAnsi="Arial;sans-serif"/>
                  <w:b/>
                  <w:color w:val="0000FF"/>
                  <w:sz w:val="20"/>
                  <w:u w:val="single"/>
                </w:rPr>
                <w:t>PART II - OTHER INFORMATION</w:t>
              </w:r>
            </w:hyperlink>
          </w:p>
        </w:tc>
      </w:tr>
      <w:tr>
        <w:trPr/>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06">
              <w:r>
                <w:rPr>
                  <w:rStyle w:val="InternetLink"/>
                  <w:rFonts w:ascii="Arial;sans-serif" w:hAnsi="Arial;sans-serif"/>
                  <w:b w:val="false"/>
                  <w:color w:val="0000FF"/>
                  <w:sz w:val="20"/>
                  <w:u w:val="single"/>
                </w:rPr>
                <w:t>Item 1.</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06">
              <w:r>
                <w:rPr>
                  <w:rStyle w:val="InternetLink"/>
                  <w:rFonts w:ascii="Arial;sans-serif" w:hAnsi="Arial;sans-serif"/>
                  <w:b w:val="false"/>
                  <w:color w:val="0000FF"/>
                  <w:sz w:val="20"/>
                  <w:u w:val="single"/>
                </w:rPr>
                <w:t>Legal Proceedings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06">
              <w:r>
                <w:rPr>
                  <w:rStyle w:val="InternetLink"/>
                  <w:rFonts w:ascii="Arial;sans-serif" w:hAnsi="Arial;sans-serif"/>
                  <w:b w:val="false"/>
                  <w:color w:val="0000FF"/>
                  <w:sz w:val="20"/>
                  <w:u w:val="single"/>
                </w:rPr>
                <w:t>51</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09">
              <w:r>
                <w:rPr>
                  <w:rStyle w:val="InternetLink"/>
                  <w:rFonts w:ascii="Arial;sans-serif" w:hAnsi="Arial;sans-serif"/>
                  <w:b w:val="false"/>
                  <w:color w:val="0000FF"/>
                  <w:sz w:val="20"/>
                  <w:u w:val="single"/>
                </w:rPr>
                <w:t>Item 1A.</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09">
              <w:r>
                <w:rPr>
                  <w:rStyle w:val="InternetLink"/>
                  <w:rFonts w:ascii="Arial;sans-serif" w:hAnsi="Arial;sans-serif"/>
                  <w:b w:val="false"/>
                  <w:color w:val="0000FF"/>
                  <w:sz w:val="20"/>
                  <w:u w:val="single"/>
                </w:rPr>
                <w:t>Risk Factors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09">
              <w:r>
                <w:rPr>
                  <w:rStyle w:val="InternetLink"/>
                  <w:rFonts w:ascii="Arial;sans-serif" w:hAnsi="Arial;sans-serif"/>
                  <w:b w:val="false"/>
                  <w:color w:val="0000FF"/>
                  <w:sz w:val="20"/>
                  <w:u w:val="single"/>
                </w:rPr>
                <w:t>51</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12">
              <w:r>
                <w:rPr>
                  <w:rStyle w:val="InternetLink"/>
                  <w:rFonts w:ascii="Arial;sans-serif" w:hAnsi="Arial;sans-serif"/>
                  <w:b w:val="false"/>
                  <w:color w:val="0000FF"/>
                  <w:sz w:val="20"/>
                  <w:u w:val="single"/>
                </w:rPr>
                <w:t>Item 2.</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12">
              <w:r>
                <w:rPr>
                  <w:rStyle w:val="InternetLink"/>
                  <w:rFonts w:ascii="Arial;sans-serif" w:hAnsi="Arial;sans-serif"/>
                  <w:b w:val="false"/>
                  <w:color w:val="0000FF"/>
                  <w:sz w:val="20"/>
                  <w:u w:val="single"/>
                </w:rPr>
                <w:t>Unregistered Sales of Equity Securities and Use of Proceeds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12">
              <w:r>
                <w:rPr>
                  <w:rStyle w:val="InternetLink"/>
                  <w:rFonts w:ascii="Arial;sans-serif" w:hAnsi="Arial;sans-serif"/>
                  <w:b w:val="false"/>
                  <w:color w:val="0000FF"/>
                  <w:sz w:val="20"/>
                  <w:u w:val="single"/>
                </w:rPr>
                <w:t>56</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15">
              <w:r>
                <w:rPr>
                  <w:rStyle w:val="InternetLink"/>
                  <w:rFonts w:ascii="Arial;sans-serif" w:hAnsi="Arial;sans-serif"/>
                  <w:b w:val="false"/>
                  <w:color w:val="0000FF"/>
                  <w:sz w:val="20"/>
                  <w:u w:val="single"/>
                </w:rPr>
                <w:t>Item 3.</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15">
              <w:r>
                <w:rPr>
                  <w:rStyle w:val="InternetLink"/>
                  <w:rFonts w:ascii="Arial;sans-serif" w:hAnsi="Arial;sans-serif"/>
                  <w:b w:val="false"/>
                  <w:color w:val="0000FF"/>
                  <w:sz w:val="20"/>
                  <w:u w:val="single"/>
                </w:rPr>
                <w:t>Defaults Upon Senior Securities</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15">
              <w:r>
                <w:rPr>
                  <w:rStyle w:val="InternetLink"/>
                  <w:rFonts w:ascii="Arial;sans-serif" w:hAnsi="Arial;sans-serif"/>
                  <w:b w:val="false"/>
                  <w:color w:val="0000FF"/>
                  <w:sz w:val="20"/>
                  <w:u w:val="single"/>
                </w:rPr>
                <w:t>56</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18">
              <w:r>
                <w:rPr>
                  <w:rStyle w:val="InternetLink"/>
                  <w:rFonts w:ascii="Arial;sans-serif" w:hAnsi="Arial;sans-serif"/>
                  <w:b w:val="false"/>
                  <w:color w:val="0000FF"/>
                  <w:sz w:val="20"/>
                  <w:u w:val="single"/>
                </w:rPr>
                <w:t>Item 4.</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18">
              <w:r>
                <w:rPr>
                  <w:rStyle w:val="InternetLink"/>
                  <w:rFonts w:ascii="Arial;sans-serif" w:hAnsi="Arial;sans-serif"/>
                  <w:b w:val="false"/>
                  <w:color w:val="0000FF"/>
                  <w:sz w:val="20"/>
                  <w:u w:val="single"/>
                </w:rPr>
                <w:t>Mine Safety Disclosures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18">
              <w:r>
                <w:rPr>
                  <w:rStyle w:val="InternetLink"/>
                  <w:rFonts w:ascii="Arial;sans-serif" w:hAnsi="Arial;sans-serif"/>
                  <w:b w:val="false"/>
                  <w:color w:val="0000FF"/>
                  <w:sz w:val="20"/>
                  <w:u w:val="single"/>
                </w:rPr>
                <w:t>56</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21">
              <w:r>
                <w:rPr>
                  <w:rStyle w:val="InternetLink"/>
                  <w:rFonts w:ascii="Arial;sans-serif" w:hAnsi="Arial;sans-serif"/>
                  <w:b w:val="false"/>
                  <w:color w:val="0000FF"/>
                  <w:sz w:val="20"/>
                  <w:u w:val="single"/>
                </w:rPr>
                <w:t>Item 5.</w:t>
              </w:r>
            </w:hyperlink>
          </w:p>
        </w:tc>
        <w:tc>
          <w:tcPr>
            <w:tcW w:w="8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21">
              <w:r>
                <w:rPr>
                  <w:rStyle w:val="InternetLink"/>
                  <w:rFonts w:ascii="Arial;sans-serif" w:hAnsi="Arial;sans-serif"/>
                  <w:b w:val="false"/>
                  <w:color w:val="0000FF"/>
                  <w:sz w:val="20"/>
                  <w:u w:val="single"/>
                </w:rPr>
                <w:t>Other Information</w:t>
              </w:r>
            </w:hyperlink>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21">
              <w:r>
                <w:rPr>
                  <w:rStyle w:val="InternetLink"/>
                  <w:rFonts w:ascii="Arial;sans-serif" w:hAnsi="Arial;sans-serif"/>
                  <w:b w:val="false"/>
                  <w:color w:val="0000FF"/>
                  <w:sz w:val="20"/>
                  <w:u w:val="single"/>
                </w:rPr>
                <w:t>56</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27">
              <w:r>
                <w:rPr>
                  <w:rStyle w:val="InternetLink"/>
                  <w:rFonts w:ascii="Arial;sans-serif" w:hAnsi="Arial;sans-serif"/>
                  <w:b w:val="false"/>
                  <w:color w:val="0000FF"/>
                  <w:sz w:val="20"/>
                  <w:u w:val="single"/>
                </w:rPr>
                <w:t>Item 6.</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cc77f0de86b435a9adf658793e064b9_127">
              <w:r>
                <w:rPr>
                  <w:rStyle w:val="InternetLink"/>
                  <w:rFonts w:ascii="Arial;sans-serif" w:hAnsi="Arial;sans-serif"/>
                  <w:b w:val="false"/>
                  <w:color w:val="0000FF"/>
                  <w:sz w:val="20"/>
                  <w:u w:val="single"/>
                </w:rPr>
                <w:t>Exhibits</w:t>
              </w:r>
            </w:hyperlink>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cc77f0de86b435a9adf658793e064b9_127">
              <w:r>
                <w:rPr>
                  <w:rStyle w:val="InternetLink"/>
                  <w:rFonts w:ascii="Arial;sans-serif" w:hAnsi="Arial;sans-serif"/>
                  <w:b w:val="false"/>
                  <w:color w:val="0000FF"/>
                  <w:sz w:val="20"/>
                  <w:u w:val="singl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Arial;sans-serif" w:hAnsi="Arial;sans-serif"/>
          <w:b/>
          <w:color w:val="000000"/>
          <w:sz w:val="22"/>
        </w:rPr>
      </w:pPr>
      <w:r>
        <w:rPr>
          <w:rFonts w:ascii="Arial;sans-serif" w:hAnsi="Arial;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43"/>
        <w:gridCol w:w="2003"/>
        <w:gridCol w:w="2001"/>
        <w:gridCol w:w="232"/>
        <w:gridCol w:w="1161"/>
        <w:gridCol w:w="112"/>
        <w:gridCol w:w="109"/>
        <w:gridCol w:w="109"/>
        <w:gridCol w:w="109"/>
        <w:gridCol w:w="303"/>
        <w:gridCol w:w="1513"/>
        <w:gridCol w:w="210"/>
      </w:tblGrid>
      <w:tr>
        <w:trPr/>
        <w:tc>
          <w:tcPr>
            <w:tcW w:w="234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ASSETS</w:t>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282,320 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Accounts receivable, net of allowance of $4,911 and $3,824, respectively</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309,719 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332,152 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161,964 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91,259 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89,085 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848,937 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832,281 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26,677 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402,501 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435,591 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307,591 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354,389 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15,870 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52,447 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1,651,522 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LIABILITIES, REDEEMABLE PERPETUAL PREFERRED STOCK AND STOCKHOLDERS' EQUITY</w:t>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112,489 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119,498 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57,265 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70,211 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warranty reserve</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5,754 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40,697 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337,579 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335,691 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54,512 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66,858 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8,936 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warranty</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660,948 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1,073,047 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1,096,233 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Balance Sheets </w:t>
      </w:r>
      <w:r>
        <w:rPr>
          <w:rFonts w:ascii="Arial;sans-serif" w:hAnsi="Arial;sans-serif"/>
          <w:b/>
          <w:i/>
          <w:color w:val="000000"/>
          <w:sz w:val="22"/>
        </w:rPr>
        <w:t>(unaudited)</w:t>
      </w:r>
      <w:r>
        <w:rPr>
          <w:color w:val="000000"/>
        </w:rPr>
        <w:t xml:space="preserve">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2527"/>
        <w:gridCol w:w="2108"/>
        <w:gridCol w:w="2117"/>
        <w:gridCol w:w="227"/>
        <w:gridCol w:w="1135"/>
        <w:gridCol w:w="109"/>
        <w:gridCol w:w="109"/>
        <w:gridCol w:w="109"/>
        <w:gridCol w:w="109"/>
        <w:gridCol w:w="247"/>
        <w:gridCol w:w="1234"/>
        <w:gridCol w:w="174"/>
      </w:tblGrid>
      <w:tr>
        <w:trPr/>
        <w:tc>
          <w:tcPr>
            <w:tcW w:w="252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Commitments and contingencies (Note 11)</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Series A Redeemable Perpetual Preferred Stock of $0.001 par value; 500,000 authorized; 446,541 and 432,759 shares issued as of June 30, 2024 and December 31, 2023, respectively; liquidation preference of $493.1 million at both dates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351,260 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Preferred stock of $0.001 par value - 4,500,000 shares authorized; none issued at respective dates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of $0.001 par value - 1,000,000,000 shares authorized; 151,875,097 and 151,242,120 shares issued at respective dates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344,517 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(130,230)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other comprehensive income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44,810 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259,248 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1,651,522 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Statements of Operations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25"/>
        <w:gridCol w:w="1158"/>
        <w:gridCol w:w="1167"/>
        <w:gridCol w:w="239"/>
        <w:gridCol w:w="1004"/>
        <w:gridCol w:w="115"/>
        <w:gridCol w:w="115"/>
        <w:gridCol w:w="115"/>
        <w:gridCol w:w="115"/>
        <w:gridCol w:w="239"/>
        <w:gridCol w:w="1004"/>
        <w:gridCol w:w="115"/>
        <w:gridCol w:w="109"/>
        <w:gridCol w:w="109"/>
        <w:gridCol w:w="109"/>
        <w:gridCol w:w="228"/>
        <w:gridCol w:w="954"/>
        <w:gridCol w:w="109"/>
        <w:gridCol w:w="109"/>
        <w:gridCol w:w="109"/>
        <w:gridCol w:w="109"/>
        <w:gridCol w:w="228"/>
        <w:gridCol w:w="954"/>
        <w:gridCol w:w="167"/>
      </w:tblGrid>
      <w:tr>
        <w:trPr/>
        <w:tc>
          <w:tcPr>
            <w:tcW w:w="152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255,766 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507,725 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884,498 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357,683 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633,277 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169,813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640,556 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146,402 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243,942 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78,392 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50,161 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100,243 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39,602 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96,241 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143,699 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(loss) income,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(loss) gain,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(22,308)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(6,094)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(9,724)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(19,224)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86,517 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124,475 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expense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25,698 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to common shareholders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52,381 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69,532 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per common share</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0.08 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0.46 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common shares outstanding</w:t>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150,763 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2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152,207 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152,129 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152,170 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151,970 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Condensed Consolidated Statements of Comprehensive Income (Loss)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before="0" w:after="0"/>
        <w:jc w:val="center"/>
        <w:rPr/>
      </w:pPr>
      <w:r>
        <w:rPr/>
      </w:r>
    </w:p>
    <w:tbl>
      <w:tblPr>
        <w:tblW w:w="9619" w:type="dxa"/>
        <w:jc w:val="left"/>
        <w:tblInd w:w="0" w:type="dxa"/>
        <w:tblLayout w:type="fixed"/>
        <w:tblCellMar>
          <w:top w:w="28" w:type="dxa"/>
          <w:left w:w="28" w:type="dxa"/>
          <w:bottom w:w="28" w:type="dxa"/>
          <w:right w:w="28" w:type="dxa"/>
        </w:tblCellMar>
      </w:tblPr>
      <w:tblGrid>
        <w:gridCol w:w="1124"/>
        <w:gridCol w:w="989"/>
        <w:gridCol w:w="992"/>
        <w:gridCol w:w="264"/>
        <w:gridCol w:w="1073"/>
        <w:gridCol w:w="127"/>
        <w:gridCol w:w="127"/>
        <w:gridCol w:w="127"/>
        <w:gridCol w:w="127"/>
        <w:gridCol w:w="264"/>
        <w:gridCol w:w="968"/>
        <w:gridCol w:w="127"/>
        <w:gridCol w:w="109"/>
        <w:gridCol w:w="109"/>
        <w:gridCol w:w="109"/>
        <w:gridCol w:w="232"/>
        <w:gridCol w:w="941"/>
        <w:gridCol w:w="112"/>
        <w:gridCol w:w="112"/>
        <w:gridCol w:w="112"/>
        <w:gridCol w:w="112"/>
        <w:gridCol w:w="232"/>
        <w:gridCol w:w="972"/>
        <w:gridCol w:w="158"/>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Net income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25,698 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Foreign currency translation</w:t>
            </w:r>
            <w:r>
              <w:rPr>
                <w:rFonts w:ascii="Arial;sans-serif" w:hAnsi="Arial;sans-serif"/>
                <w:b w:val="false"/>
                <w:color w:val="000000"/>
                <w:sz w:val="14"/>
              </w:rPr>
              <w:t>(1)</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(43,768)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(63,010)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Comprehensive (loss) income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(18,070)</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89,077 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(35,147)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132,584 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There are no tax effects on foreign currency adjustments.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Three Months Ended June 30, 2024</w:t>
      </w:r>
    </w:p>
    <w:tbl>
      <w:tblPr>
        <w:tblW w:w="15681" w:type="dxa"/>
        <w:jc w:val="center"/>
        <w:tblInd w:w="0" w:type="dxa"/>
        <w:tblLayout w:type="fixed"/>
        <w:tblCellMar>
          <w:top w:w="28" w:type="dxa"/>
          <w:left w:w="28" w:type="dxa"/>
          <w:bottom w:w="28" w:type="dxa"/>
          <w:right w:w="28" w:type="dxa"/>
        </w:tblCellMar>
      </w:tblPr>
      <w:tblGrid>
        <w:gridCol w:w="809"/>
        <w:gridCol w:w="263"/>
        <w:gridCol w:w="264"/>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2024</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(128,065)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(102,367)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199,963 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pPr>
      <w:r>
        <w:rPr>
          <w:rFonts w:ascii="Arial;sans-serif" w:hAnsi="Arial;sans-serif"/>
          <w:b/>
          <w:color w:val="000000"/>
          <w:sz w:val="22"/>
        </w:rPr>
        <w:t xml:space="preserve">Condensed Consolidated Statements of Changes in Redeemable Perpetual Preferred Stock and Stockholders’ Equity </w:t>
      </w:r>
      <w:r>
        <w:rPr>
          <w:rFonts w:ascii="Arial;sans-serif" w:hAnsi="Arial;sans-serif"/>
          <w:b w:val="false"/>
          <w:i/>
          <w:color w:val="000000"/>
          <w:sz w:val="22"/>
        </w:rPr>
        <w:t>(continued)</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Three Months Ended June 30, 2023</w:t>
      </w:r>
    </w:p>
    <w:tbl>
      <w:tblPr>
        <w:tblW w:w="15677" w:type="dxa"/>
        <w:jc w:val="left"/>
        <w:tblInd w:w="0" w:type="dxa"/>
        <w:tblLayout w:type="fixed"/>
        <w:tblCellMar>
          <w:top w:w="28" w:type="dxa"/>
          <w:left w:w="28" w:type="dxa"/>
          <w:bottom w:w="28" w:type="dxa"/>
          <w:right w:w="28" w:type="dxa"/>
        </w:tblCellMar>
      </w:tblPr>
      <w:tblGrid>
        <w:gridCol w:w="914"/>
        <w:gridCol w:w="263"/>
        <w:gridCol w:w="264"/>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49"/>
        <w:gridCol w:w="1010"/>
        <w:gridCol w:w="182"/>
      </w:tblGrid>
      <w:tr>
        <w:trPr/>
        <w:tc>
          <w:tcPr>
            <w:tcW w:w="9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2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2023</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150,823 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(237,835)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2023</w:t>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151,049 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(172,670)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238,400 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pPr>
      <w:r>
        <w:rPr>
          <w:rFonts w:ascii="Arial;sans-serif" w:hAnsi="Arial;sans-serif"/>
          <w:b/>
          <w:color w:val="000000"/>
          <w:sz w:val="22"/>
        </w:rPr>
        <w:t xml:space="preserve">Condensed Consolidated Statements of Changes in Redeemable Perpetual Preferred Stock and Stockholders’ Equity </w:t>
      </w:r>
      <w:r>
        <w:rPr>
          <w:rFonts w:ascii="Arial;sans-serif" w:hAnsi="Arial;sans-serif"/>
          <w:b w:val="false"/>
          <w:i/>
          <w:color w:val="000000"/>
          <w:sz w:val="22"/>
        </w:rPr>
        <w:t>(continued)</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Six Months Ended June 30, 2024</w:t>
      </w:r>
    </w:p>
    <w:tbl>
      <w:tblPr>
        <w:tblW w:w="15681" w:type="dxa"/>
        <w:jc w:val="center"/>
        <w:tblInd w:w="0" w:type="dxa"/>
        <w:tblLayout w:type="fixed"/>
        <w:tblCellMar>
          <w:top w:w="28" w:type="dxa"/>
          <w:left w:w="28" w:type="dxa"/>
          <w:bottom w:w="28" w:type="dxa"/>
          <w:right w:w="28" w:type="dxa"/>
        </w:tblCellMar>
      </w:tblPr>
      <w:tblGrid>
        <w:gridCol w:w="694"/>
        <w:gridCol w:w="320"/>
        <w:gridCol w:w="322"/>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151,242 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(130,230)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related to vesting of 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2024</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(102,367)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199,963 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pPr>
      <w:r>
        <w:rPr>
          <w:rFonts w:ascii="Arial;sans-serif" w:hAnsi="Arial;sans-serif"/>
          <w:b/>
          <w:color w:val="000000"/>
          <w:sz w:val="22"/>
        </w:rPr>
        <w:t xml:space="preserve">Condensed Consolidated Statements of Changes in Redeemable Perpetual Preferred Stock and Stockholders’ Equity </w:t>
      </w:r>
      <w:r>
        <w:rPr>
          <w:rFonts w:ascii="Arial;sans-serif" w:hAnsi="Arial;sans-serif"/>
          <w:b w:val="false"/>
          <w:i/>
          <w:color w:val="000000"/>
          <w:sz w:val="22"/>
        </w:rPr>
        <w:t>(continued)</w:t>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 xml:space="preserve">(unaudited)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Six Months Ended June 30, 2023</w:t>
      </w:r>
    </w:p>
    <w:tbl>
      <w:tblPr>
        <w:tblW w:w="15620" w:type="dxa"/>
        <w:jc w:val="left"/>
        <w:tblInd w:w="0" w:type="dxa"/>
        <w:tblLayout w:type="fixed"/>
        <w:tblCellMar>
          <w:top w:w="28" w:type="dxa"/>
          <w:left w:w="28" w:type="dxa"/>
          <w:bottom w:w="28" w:type="dxa"/>
          <w:right w:w="28" w:type="dxa"/>
        </w:tblCellMar>
      </w:tblPr>
      <w:tblGrid>
        <w:gridCol w:w="666"/>
        <w:gridCol w:w="334"/>
        <w:gridCol w:w="33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80"/>
        <w:gridCol w:w="280"/>
        <w:gridCol w:w="281"/>
        <w:gridCol w:w="109"/>
        <w:gridCol w:w="109"/>
        <w:gridCol w:w="109"/>
        <w:gridCol w:w="501"/>
        <w:gridCol w:w="355"/>
        <w:gridCol w:w="356"/>
        <w:gridCol w:w="109"/>
        <w:gridCol w:w="109"/>
        <w:gridCol w:w="109"/>
        <w:gridCol w:w="440"/>
        <w:gridCol w:w="440"/>
        <w:gridCol w:w="441"/>
        <w:gridCol w:w="109"/>
        <w:gridCol w:w="109"/>
        <w:gridCol w:w="109"/>
        <w:gridCol w:w="520"/>
        <w:gridCol w:w="520"/>
        <w:gridCol w:w="521"/>
        <w:gridCol w:w="109"/>
        <w:gridCol w:w="109"/>
        <w:gridCol w:w="109"/>
        <w:gridCol w:w="434"/>
        <w:gridCol w:w="422"/>
        <w:gridCol w:w="597"/>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383,176 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(267,470)</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124,281 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8,311 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 and commitment fees</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(26,776)</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94,800 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37,784 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151,049 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364,710 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(172,670)</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46,209 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 xml:space="preserve">(unaudited)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p>
      <w:pPr>
        <w:pStyle w:val="TextBody"/>
        <w:bidi w:val="0"/>
        <w:spacing w:before="0" w:after="0"/>
        <w:jc w:val="center"/>
        <w:rPr/>
      </w:pPr>
      <w:r>
        <w:rPr/>
      </w:r>
    </w:p>
    <w:tbl>
      <w:tblPr>
        <w:tblW w:w="10059" w:type="dxa"/>
        <w:jc w:val="center"/>
        <w:tblInd w:w="0" w:type="dxa"/>
        <w:tblLayout w:type="fixed"/>
        <w:tblCellMar>
          <w:top w:w="28" w:type="dxa"/>
          <w:left w:w="28" w:type="dxa"/>
          <w:bottom w:w="28" w:type="dxa"/>
          <w:right w:w="28" w:type="dxa"/>
        </w:tblCellMar>
      </w:tblPr>
      <w:tblGrid>
        <w:gridCol w:w="2565"/>
        <w:gridCol w:w="2254"/>
        <w:gridCol w:w="2260"/>
        <w:gridCol w:w="250"/>
        <w:gridCol w:w="915"/>
        <w:gridCol w:w="120"/>
        <w:gridCol w:w="120"/>
        <w:gridCol w:w="120"/>
        <w:gridCol w:w="120"/>
        <w:gridCol w:w="250"/>
        <w:gridCol w:w="915"/>
        <w:gridCol w:w="170"/>
      </w:tblGrid>
      <w:tr>
        <w:trPr/>
        <w:tc>
          <w:tcPr>
            <w:tcW w:w="256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Adjustments to net income:</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Provision for bad debts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benefit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Write-down of inventories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Changes in operating assets and liabilities, net of business acquisition:</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receivable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(81,039)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receivables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(3,292)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Lease liabilities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27,070 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(64,112)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51,459 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(9,424)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Retirement/disposal of property, plant and equipment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(9,424)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Series A equity issuance costs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Tax withholding related to vesting of equity-based compensation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other debt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(12,671)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term loan facility</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(4,144)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(39,314)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(9,587)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4,447 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22,065 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beginning of period</w:t>
            </w:r>
          </w:p>
        </w:tc>
        <w:tc>
          <w:tcPr>
            <w:tcW w:w="116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Condensed Consolidated Statements of Cash Flows</w:t>
      </w:r>
      <w:r>
        <w:rPr>
          <w:color w:val="000000"/>
        </w:rPr>
        <w:t xml:space="preserve"> </w:t>
      </w:r>
      <w:r>
        <w:rPr>
          <w:rFonts w:ascii="Arial;sans-serif" w:hAnsi="Arial;sans-serif"/>
          <w:b/>
          <w:i/>
          <w:color w:val="000000"/>
          <w:sz w:val="22"/>
        </w:rPr>
        <w:t xml:space="preserve">(unaudited) </w:t>
      </w:r>
      <w:r>
        <w:rPr>
          <w:rFonts w:ascii="Arial;sans-serif" w:hAnsi="Arial;sans-serif"/>
          <w:b w:val="false"/>
          <w:i/>
          <w:color w:val="000000"/>
          <w:sz w:val="22"/>
        </w:rPr>
        <w:t xml:space="preserve">(continued) </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 thousands)</w:t>
      </w:r>
    </w:p>
    <w:tbl>
      <w:tblPr>
        <w:tblW w:w="7600" w:type="dxa"/>
        <w:jc w:val="center"/>
        <w:tblInd w:w="0" w:type="dxa"/>
        <w:tblLayout w:type="fixed"/>
        <w:tblCellMar>
          <w:top w:w="28" w:type="dxa"/>
          <w:left w:w="28" w:type="dxa"/>
          <w:bottom w:w="28" w:type="dxa"/>
          <w:right w:w="28" w:type="dxa"/>
        </w:tblCellMar>
      </w:tblPr>
      <w:tblGrid>
        <w:gridCol w:w="1675"/>
        <w:gridCol w:w="1471"/>
        <w:gridCol w:w="1474"/>
        <w:gridCol w:w="230"/>
        <w:gridCol w:w="962"/>
        <w:gridCol w:w="110"/>
        <w:gridCol w:w="110"/>
        <w:gridCol w:w="110"/>
        <w:gridCol w:w="110"/>
        <w:gridCol w:w="230"/>
        <w:gridCol w:w="962"/>
        <w:gridCol w:w="156"/>
      </w:tblGrid>
      <w:tr>
        <w:trPr/>
        <w:tc>
          <w:tcPr>
            <w:tcW w:w="167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end of period</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282,320 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155,966 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Supplemental cash flow information</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interest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income taxes (net of refunds)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Non-cash investing and financing activities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Dividends accrued on Series A Preferred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 xml:space="preserve">Notes to Condensed Consolidated Financial Statements </w:t>
      </w:r>
      <w:r>
        <w:rPr>
          <w:rFonts w:ascii="Arial;sans-serif" w:hAnsi="Arial;sans-serif"/>
          <w:b/>
          <w:i/>
          <w:color w:val="000000"/>
          <w:sz w:val="22"/>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w:t>
      </w:r>
      <w:r>
        <w:rPr>
          <w:color w:val="000000"/>
        </w:rPr>
        <w:t>    </w:t>
      </w:r>
      <w:r>
        <w:rPr>
          <w:rFonts w:ascii="Arial;sans-serif" w:hAnsi="Arial;sans-serif"/>
          <w:b/>
          <w:color w:val="000000"/>
          <w:sz w:val="22"/>
        </w:rPr>
        <w:t xml:space="preserve">Organization, Business and Out-of-Period Adjustments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Headquartered in Albuquerque, New Mexico, the Company is a leading global manufacturer and supplier of utility-scale solar tracking systems and technologies.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2.    Summary of Significant Accounting Policies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Basis of Accounting and Presentation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six months ended June 30, 2024, are not necessarily indicative of results to be expected for the year ending December 31, 2024, or any other interim periods, or any future year or period. The balance sheet as of December 31, 2023, included herein was derived from the audited financial statements as of that date. Certain disclosures have been condensed or omitted from the interim financial statements. These condensed consolidated financial statements should be read in conjunction with the Company’s audited consolidated financial statements included in our Annual Report on Form 10-K for the year ended December 31, 2023, filed with the SEC on February 28,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Unless expressly stated or the context otherwise requires, the terms “the Company”, “we”, “us”, “our”, “Array”, and “Array Technologies” refer to Array Technologies, Inc. and its consolidated subsidiaries, and the term “condensed consolidated financial statements” refers to the accompanying unaudited condensed consolidated financial statements contained in this Quarterly Report.</w:t>
      </w:r>
    </w:p>
    <w:p>
      <w:pPr>
        <w:pStyle w:val="TextBody"/>
        <w:bidi w:val="0"/>
        <w:spacing w:before="0" w:after="0"/>
        <w:jc w:val="both"/>
        <w:rPr/>
      </w:pPr>
      <w:r>
        <w:rPr/>
      </w:r>
    </w:p>
    <w:p>
      <w:pPr>
        <w:pStyle w:val="TextBody"/>
        <w:bidi w:val="0"/>
        <w:spacing w:lineRule="auto" w:line="300" w:before="0" w:after="120"/>
        <w:jc w:val="left"/>
        <w:rPr>
          <w:rFonts w:ascii="Arial;sans-serif" w:hAnsi="Arial;sans-serif"/>
          <w:b/>
          <w:color w:val="000000"/>
          <w:sz w:val="22"/>
        </w:rPr>
      </w:pPr>
      <w:r>
        <w:rPr>
          <w:rFonts w:ascii="Arial;sans-serif" w:hAnsi="Arial;sans-serif"/>
          <w:b/>
          <w:color w:val="000000"/>
          <w:sz w:val="22"/>
        </w:rPr>
        <w:t>Reclassifications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Software Implementation Costs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first quarter the Company reclassified capitalized software costs recorded as Property, plant and equipment, net to Intangible assets, net on the condensed consolidated balance sheets. The reclassification was recorded retrospectively and resulted in a $4.0 million increase to Intangible assets, net at December 31, 2023, with a corresponding decrease in the same amount to Property, plant and equipment, net.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These reclassifications did not impact the Company’s operating income (loss), net income (loss), earnings (loss) per share, or statements of cash flows for any current or historical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Amortization of Developed Technology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Beginning in the third quarter of 2023, the Company retrospectively reclassified amounts recorded for amortization of certain acquired intangible assets in prior presentations from Total operating expenses under the caption "Depreciation and amortization" to Total cost of revenue under the caption "Amortization of developed technology" in the condensed consolidated statements of operations. The Company believes this presentation enhances the comparability of the Company’s financial statements to industry peers.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These reclassifications did not impact the Company’s operating income (loss), net income (loss) or earnings (loss) per share for any current or historical periods. These reclassifications also did not impact the condensed consolidated balance sheets or condensed consolidated statements of cash flows.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Brazil Value-Added Tax Benefit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in 2023, excludes a Brazil value-added tax benefit, Imposto sobre Circulação de Mercadorias e Servicos (“ICMS”), that has been reclassified and included in cost of revenues for all periods presented. For the six months ended June 30, 2023, the Brazil ICMS value-added tax benefit was $13.2 million, which has been included in cost of sales.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reclassification had no impact on the Company’s gross profit, income (loss) from operations, net income or income (loss) per common share in the current period. These reclassifications also did not impact the condensed consolidated balance sheets or condensed consolidated statements of cash flows.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Divestiture of Investment in Equity Securities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June 2024, we divested 100% percent of our equity investment in preferred stock of a private company we purchased in 2021. We received $12.0 million in proceeds for the divestiture in July 2024. We recorded a receivable in the amount of $12.0 million included in Prepaid expenses and other on the condensed consolidated balance sheet at June 30, 2024. No gain or loss resulted from this transaction.</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Principles of Consolidation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condensed consolidated financial statements include the accounts of the Company and its subsidiaries. All intercompany accounts and transactions have been eliminated upon consolidation.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Use of Estimates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condensed consolidated financial statements. Estimates and assumptions are reviewed periodically, and the effects of revisions are reflected in the period they occur.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incurs research and development costs during its process of researching and developing new products and significant enhancements to existing products. Research and development costs consist primarily of personnel-related costs associated with our team of internal engineers, third-party consultants, materials and overhead. The Company expenses these costs as incurred prior to a respective product being ready for commercial production. Research and development expense was $1.8 million and $2.3 million during the three months ended June 30, 2024 and 2023, respectively, and $3.7 million and $4.4 million during the six months ended June 30, 2024 and 2023,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Impact of the Ongoing Russian-Ukraine Conflict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Russian-Ukraine conflict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Impact of Attacks on Shipping in the Red Sea</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disruption of container shipping traffic through the Red Sea has created port congestion, especially in Asia, again temporarily elongating transit times, capacity, and shipping costs for routes connecting the rest of the world with Asia. To address the challenges arising from prolonged transit times, we have increased our local sourcing efforts where feasible within certain regions. These measures are required to ensure we fulfill our delivery commitments to customer projects on time. There is still uncertainly on how long these disruptions and the severity of their impact on our operations will last, but we continue to monitor the situation and evaluate our procurement and supply chain strategies, as to reduce any negative impact on our business, financial condition, and results of operations. </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pressures persist and may continue to negatively impact our results of operations. To mitigate the inflationary pressures on our business, despite our ASPs decreasing due to the current deflationary environment for steel more than offsetting the inflationary environment for aluminum, we have continued to accelerate our productivity initiatives, expanded our supplier base, and continued to execute on our cost containment practices.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Vendor Rebates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The Company has, and will continue to, enter into arrangements with manufacturing vendors that produce 45X Credit eligible parts, in which the vendors agree to share a portion of the benefit received related to Array purchases, in the form of “Vendor Rebates”.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accounts for these Vendor Rebates as a reduction of the purchase prices of the vendors’ products and therefore a reduction in the cost of inventory until the inventory is sold, at which time the Company recognizes such rebates as a reduction of cost of revenues on the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operations. As of June 30, 2024, the Company had outstanding Vendor Rebates of $68.4 million, of which $45.8 million was included in Prepaid expenses and other and $22.6 million was included in Other assets on the condensed consolidated balance sheets. As of December 31, 2023, the Company had outstanding Vendor Rebates of $48.4 million included in Prepaid expenses and other.</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 Reduction Act 45X Credits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accounts for the 45X Advanced Manufacturing Production Credit established by the IRA, under IAS 20, Accounting for Government Grants and Disclosure of Government Assistance, as a reduction to production costs. The reduction to production costs, from the 45X Advanced Manufacturing Tax credit, is excluded from federal and state income taxes. The tax credit is included in Prepaid and other assets on the condensed consolidated balance sheet dated June 30,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three months ended June 30, 2024, the Company concluded that certain parts manufactured by the Company qualify for the 45X Advanced Manufacturing Production Credits. As a result, the Company recorded it an immaterial cumulative catch-up for 45X Advanced Manufacturing Production Credits related to torque tubes manufactured by the Company and sold from January 1, 2023 through March 31,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foreign subsidiaries have functional currencies that are different than our reporting currency. When translating balances from the functional currency to the reporting currency, assets and liabilities are translated into U.S. dollars at period end exchange rates, retained earnings is translated at historical rates, and income, expenses, and cash flow items are translated at average exchange rates prevailing during the period. Translation adjustments for these subsidiaries are accumulated within accumulated other comprehensive income. In situations when a foreign subsidiary has a local currency that is different than the functional currency, monetary assets and liabilities are translated into the functional currency at the period end exchange rates, and non-monetary assets and the related income statement effects are translated into the functional currency using historical rates. Gains and losses that result from remeasurement from a local currency to the functional currency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 Accounting Pronouncements</w:t>
      </w:r>
    </w:p>
    <w:p>
      <w:pPr>
        <w:pStyle w:val="TextBody"/>
        <w:bidi w:val="0"/>
        <w:spacing w:lineRule="auto" w:line="300" w:before="0" w:after="0"/>
        <w:jc w:val="both"/>
        <w:rPr/>
      </w:pPr>
      <w:r>
        <w:rPr>
          <w:rFonts w:ascii="Arial;sans-serif" w:hAnsi="Arial;sans-serif"/>
          <w:b w:val="false"/>
          <w:color w:val="000000"/>
          <w:sz w:val="22"/>
        </w:rPr>
        <w:t>In December 2023, the FASB issued ASU 2023-09, Income Taxes (Topic 740):</w:t>
      </w:r>
      <w:r>
        <w:rPr>
          <w:color w:val="000000"/>
        </w:rPr>
        <w:t xml:space="preserve"> </w:t>
      </w:r>
      <w:r>
        <w:rPr>
          <w:rFonts w:ascii="Arial;sans-serif" w:hAnsi="Arial;sans-serif"/>
          <w:b w:val="false"/>
          <w:color w:val="000000"/>
          <w:sz w:val="22"/>
        </w:rPr>
        <w:t>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ended December 31, 2025, with early adoption permitted. The Company does not expect to early adopt this reporting standard and expects no material impacts upon adoption.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November 2023, the Financial Accounting Standards Board (the “FASB”) issued ASU 2023-07, Segment Reporting (Topic 280): Improvements to Reportable Segment Disclosures. The amendments in this ASU will require public entities to disclose significant segment expenses and other segment items and to provide in interim periods all disclosures about a reportable segment’s profit or loss and assets that are currently required annually. Public entities with a single reportable segment will also be required to provide the new disclosures and all the disclosures required under ASC 280. The guidance is effective for fiscal years beginning after December 15, 2023, and for interim periods within fiscal years beginning after December 15, 2024, with early adoption permitted. The amendments in this ASU should be applied retrospectively to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unless it is impracticable. The Company is assessing the effect on our consolidated financial statement disclosures; however, adoption will not impact our consolidated balance sheets or statements of operations.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In March 2023, the Company adopted ASU 2020-04 and 2022-06, Reference Rate Reform (Topic 848), and amended an existing debt agreement to replace the London Interbank Offered Rate (“LIBOR”) interest rate provisions with interest rate provisions based on a forward-looking term rate based on the secured overnight funding rate (“SOFR”) (see </w:t>
      </w:r>
      <w:hyperlink w:anchor="i0cc77f0de86b435a9adf658793e064b9_52">
        <w:r>
          <w:rPr>
            <w:rStyle w:val="InternetLink"/>
            <w:rFonts w:ascii="Arial;sans-serif" w:hAnsi="Arial;sans-serif"/>
            <w:b w:val="false"/>
            <w:color w:val="0000FF"/>
            <w:sz w:val="22"/>
            <w:u w:val="single"/>
          </w:rPr>
          <w:t>Note 7 – Debt</w:t>
        </w:r>
      </w:hyperlink>
      <w:r>
        <w:rPr>
          <w:rFonts w:ascii="Arial;sans-serif" w:hAnsi="Arial;sans-serif"/>
          <w:b w:val="false"/>
          <w:color w:val="000000"/>
          <w:sz w:val="22"/>
        </w:rPr>
        <w:t xml:space="preserve">). There were no other changes to the agreement. There was no significant impact to the Company’s condensed consolidated financial statements.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Immaterial Correction of 2023 Interim Period Condensed Consolidated Financial Statements</w:t>
      </w:r>
    </w:p>
    <w:p>
      <w:pPr>
        <w:pStyle w:val="TextBody"/>
        <w:bidi w:val="0"/>
        <w:spacing w:lineRule="auto" w:line="300" w:before="0" w:after="120"/>
        <w:jc w:val="both"/>
        <w:rPr>
          <w:rFonts w:ascii="Arial;sans-serif" w:hAnsi="Arial;sans-serif"/>
          <w:b w:val="false"/>
          <w:color w:val="000000"/>
          <w:sz w:val="22"/>
          <w:u w:val="single"/>
        </w:rPr>
      </w:pPr>
      <w:r>
        <w:rPr>
          <w:rFonts w:ascii="Arial;sans-serif" w:hAnsi="Arial;sans-serif"/>
          <w:b w:val="false"/>
          <w:color w:val="000000"/>
          <w:sz w:val="22"/>
          <w:u w:val="single"/>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pricing of the Convertible Notes, we entered into capped call transactions with the Option Counterparties. At issuance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 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of the accounting during the three months ended March 31, 2023, the Company concluded that the modification to the volatility inputs in the side letters precluded the Capped Calls from being accounted for as an equity instrument indexed to its own stock and should be accounted for as a freestanding derivative instrument asset recognized at fair value, with subsequent changes in fair value recognized in earnings. During the three months ended March 31, 2023, the Company began to account for the Capped Calls as derivative assets, with subsequent changes in fair value being recorded through earnings. During the three months ended December 31, 2023, after consultation with the staff of the Office of the Chief Accountant of the SEC, the Company concluded that the original equity classification accounting treatment was acceptable. As a result, the Company reclassified the derivative asset recognized at June 30, 2023, as a reduction to equity and reversed the related mark to market adjustments recognized during the six months ended June 30, 2023.</w:t>
      </w:r>
    </w:p>
    <w:p>
      <w:pPr>
        <w:pStyle w:val="TextBody"/>
        <w:bidi w:val="0"/>
        <w:spacing w:before="0" w:after="0"/>
        <w:jc w:val="both"/>
        <w:rPr/>
      </w:pPr>
      <w:r>
        <w:rPr/>
      </w:r>
    </w:p>
    <w:p>
      <w:pPr>
        <w:pStyle w:val="TextBody"/>
        <w:bidi w:val="0"/>
        <w:spacing w:lineRule="auto" w:line="300" w:before="0" w:after="120"/>
        <w:jc w:val="left"/>
        <w:rPr>
          <w:rFonts w:ascii="Arial;sans-serif" w:hAnsi="Arial;sans-serif"/>
          <w:b w:val="false"/>
          <w:color w:val="000000"/>
          <w:sz w:val="22"/>
          <w:u w:val="single"/>
        </w:rPr>
      </w:pPr>
      <w:r>
        <w:rPr>
          <w:rFonts w:ascii="Arial;sans-serif" w:hAnsi="Arial;sans-serif"/>
          <w:b w:val="false"/>
          <w:color w:val="000000"/>
          <w:sz w:val="22"/>
          <w:u w:val="single"/>
        </w:rPr>
        <w:t>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issuance, the Company evaluated the accounting for the instruments issued pursuant to the SPA and determined the Series A Shares and common stock issued in the Initial Closing, as well as the Prepaid Forward Contract, and Put Option are freestanding instruments that are classified in equity. During the first quarter of 2023, the Company reconsidered the provisions of the Put Option and concluded that it should be accounted for as a freestanding derivative instrument asset accounted for at fair value with subsequent fair value adjustments recognized in earnings. During the fourth quarter of 2023, after consultation with the staff of the Office of the Chief Accountant of the SEC, the Company concluded that the original equity accounting classification was correct. As a result, the Company reclassified the derivative asset recognized during the six months ended June 30, 2023, as a reduction of equity and also reversed the related fair value adjustments.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Management evaluated the above misstatements and concluded they were not material to the six months ended June 30, 2023, individually or in aggregate.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tables reflect the effects of the correction on all affected line items of the Company’s previously reported condensed consolidated financial statements to be presented as comparative in the Form 10-Q for the six months ended June 30, 2024:</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Operations (unaudited)</w:t>
      </w:r>
    </w:p>
    <w:tbl>
      <w:tblPr>
        <w:tblW w:w="10702" w:type="dxa"/>
        <w:jc w:val="left"/>
        <w:tblInd w:w="0" w:type="dxa"/>
        <w:tblLayout w:type="fixed"/>
        <w:tblCellMar>
          <w:top w:w="28" w:type="dxa"/>
          <w:left w:w="28" w:type="dxa"/>
          <w:bottom w:w="28" w:type="dxa"/>
          <w:right w:w="28" w:type="dxa"/>
        </w:tblCellMar>
      </w:tblPr>
      <w:tblGrid>
        <w:gridCol w:w="668"/>
        <w:gridCol w:w="363"/>
        <w:gridCol w:w="365"/>
        <w:gridCol w:w="298"/>
        <w:gridCol w:w="773"/>
        <w:gridCol w:w="145"/>
        <w:gridCol w:w="109"/>
        <w:gridCol w:w="109"/>
        <w:gridCol w:w="109"/>
        <w:gridCol w:w="371"/>
        <w:gridCol w:w="889"/>
        <w:gridCol w:w="181"/>
        <w:gridCol w:w="109"/>
        <w:gridCol w:w="109"/>
        <w:gridCol w:w="109"/>
        <w:gridCol w:w="283"/>
        <w:gridCol w:w="735"/>
        <w:gridCol w:w="138"/>
        <w:gridCol w:w="109"/>
        <w:gridCol w:w="109"/>
        <w:gridCol w:w="109"/>
        <w:gridCol w:w="260"/>
        <w:gridCol w:w="830"/>
        <w:gridCol w:w="126"/>
        <w:gridCol w:w="109"/>
        <w:gridCol w:w="109"/>
        <w:gridCol w:w="109"/>
        <w:gridCol w:w="312"/>
        <w:gridCol w:w="977"/>
        <w:gridCol w:w="152"/>
        <w:gridCol w:w="109"/>
        <w:gridCol w:w="109"/>
        <w:gridCol w:w="109"/>
        <w:gridCol w:w="280"/>
        <w:gridCol w:w="728"/>
        <w:gridCol w:w="193"/>
      </w:tblGrid>
      <w:tr>
        <w:trPr/>
        <w:tc>
          <w:tcPr>
            <w:tcW w:w="6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income (expense)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(loss) before income tax expense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87,211 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86,517 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123,219 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124,475 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expense (benefit)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to common shareholders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52,381 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65,672 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69,532 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Income per common share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Basic</w:t>
            </w:r>
          </w:p>
        </w:tc>
        <w:tc>
          <w:tcPr>
            <w:tcW w:w="298"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45"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0.44 </w:t>
            </w:r>
          </w:p>
        </w:tc>
        <w:tc>
          <w:tcPr>
            <w:tcW w:w="126"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Diluted</w:t>
            </w:r>
          </w:p>
        </w:tc>
        <w:tc>
          <w:tcPr>
            <w:tcW w:w="29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45"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0.43 </w:t>
            </w:r>
          </w:p>
        </w:tc>
        <w:tc>
          <w:tcPr>
            <w:tcW w:w="126"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4"/>
        </w:rPr>
      </w:pPr>
      <w:r>
        <w:rPr>
          <w:rFonts w:ascii="Arial;sans-serif" w:hAnsi="Arial;sans-serif"/>
          <w:b/>
          <w:color w:val="000000"/>
          <w:sz w:val="24"/>
        </w:rPr>
        <w:t>Condensed Consolidated Statements of Comprehensive Income (Loss) (unaudited)</w:t>
      </w:r>
    </w:p>
    <w:tbl>
      <w:tblPr>
        <w:tblW w:w="11167" w:type="dxa"/>
        <w:jc w:val="left"/>
        <w:tblInd w:w="0" w:type="dxa"/>
        <w:tblLayout w:type="fixed"/>
        <w:tblCellMar>
          <w:top w:w="28" w:type="dxa"/>
          <w:left w:w="28" w:type="dxa"/>
          <w:bottom w:w="28" w:type="dxa"/>
          <w:right w:w="28" w:type="dxa"/>
        </w:tblCellMar>
      </w:tblPr>
      <w:tblGrid>
        <w:gridCol w:w="603"/>
        <w:gridCol w:w="530"/>
        <w:gridCol w:w="533"/>
        <w:gridCol w:w="236"/>
        <w:gridCol w:w="865"/>
        <w:gridCol w:w="115"/>
        <w:gridCol w:w="109"/>
        <w:gridCol w:w="109"/>
        <w:gridCol w:w="109"/>
        <w:gridCol w:w="378"/>
        <w:gridCol w:w="880"/>
        <w:gridCol w:w="183"/>
        <w:gridCol w:w="109"/>
        <w:gridCol w:w="109"/>
        <w:gridCol w:w="109"/>
        <w:gridCol w:w="226"/>
        <w:gridCol w:w="826"/>
        <w:gridCol w:w="109"/>
        <w:gridCol w:w="109"/>
        <w:gridCol w:w="109"/>
        <w:gridCol w:w="109"/>
        <w:gridCol w:w="226"/>
        <w:gridCol w:w="946"/>
        <w:gridCol w:w="109"/>
        <w:gridCol w:w="109"/>
        <w:gridCol w:w="109"/>
        <w:gridCol w:w="109"/>
        <w:gridCol w:w="312"/>
        <w:gridCol w:w="977"/>
        <w:gridCol w:w="152"/>
        <w:gridCol w:w="109"/>
        <w:gridCol w:w="109"/>
        <w:gridCol w:w="109"/>
        <w:gridCol w:w="226"/>
        <w:gridCol w:w="9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Comprehensive income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20"/>
        <w:jc w:val="left"/>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 (unaudited)</w:t>
      </w:r>
    </w:p>
    <w:tbl>
      <w:tblPr>
        <w:tblW w:w="10205" w:type="dxa"/>
        <w:jc w:val="left"/>
        <w:tblInd w:w="0" w:type="dxa"/>
        <w:tblLayout w:type="fixed"/>
        <w:tblCellMar>
          <w:top w:w="28" w:type="dxa"/>
          <w:left w:w="28" w:type="dxa"/>
          <w:bottom w:w="28" w:type="dxa"/>
          <w:right w:w="28" w:type="dxa"/>
        </w:tblCellMar>
      </w:tblPr>
      <w:tblGrid>
        <w:gridCol w:w="928"/>
        <w:gridCol w:w="753"/>
        <w:gridCol w:w="756"/>
        <w:gridCol w:w="429"/>
        <w:gridCol w:w="1798"/>
        <w:gridCol w:w="207"/>
        <w:gridCol w:w="109"/>
        <w:gridCol w:w="109"/>
        <w:gridCol w:w="109"/>
        <w:gridCol w:w="357"/>
        <w:gridCol w:w="1521"/>
        <w:gridCol w:w="173"/>
        <w:gridCol w:w="109"/>
        <w:gridCol w:w="109"/>
        <w:gridCol w:w="109"/>
        <w:gridCol w:w="445"/>
        <w:gridCol w:w="1871"/>
        <w:gridCol w:w="313"/>
      </w:tblGrid>
      <w:tr>
        <w:trPr/>
        <w:tc>
          <w:tcPr>
            <w:tcW w:w="9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2023</w:t>
            </w:r>
          </w:p>
        </w:tc>
      </w:tr>
      <w:tr>
        <w:trPr/>
        <w:tc>
          <w:tcPr>
            <w:tcW w:w="2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2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426,221 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(241,338)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207,330 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417,624 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(176,530)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287,454 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(49,411)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373,307 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(237,835)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157,919 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364,710 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(172,670)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238,400 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3"/>
        <w:gridCol w:w="1019"/>
        <w:gridCol w:w="1024"/>
        <w:gridCol w:w="361"/>
        <w:gridCol w:w="1512"/>
        <w:gridCol w:w="174"/>
        <w:gridCol w:w="109"/>
        <w:gridCol w:w="109"/>
        <w:gridCol w:w="109"/>
        <w:gridCol w:w="324"/>
        <w:gridCol w:w="1380"/>
        <w:gridCol w:w="157"/>
        <w:gridCol w:w="109"/>
        <w:gridCol w:w="109"/>
        <w:gridCol w:w="109"/>
        <w:gridCol w:w="387"/>
        <w:gridCol w:w="1628"/>
        <w:gridCol w:w="272"/>
      </w:tblGrid>
      <w:tr>
        <w:trPr/>
        <w:tc>
          <w:tcPr>
            <w:tcW w:w="13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417,624 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(176,530)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287,454 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364,710 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(172,670)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238,400 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1443"/>
        <w:gridCol w:w="1270"/>
        <w:gridCol w:w="1275"/>
        <w:gridCol w:w="500"/>
        <w:gridCol w:w="1835"/>
        <w:gridCol w:w="243"/>
        <w:gridCol w:w="109"/>
        <w:gridCol w:w="109"/>
        <w:gridCol w:w="109"/>
        <w:gridCol w:w="312"/>
        <w:gridCol w:w="977"/>
        <w:gridCol w:w="152"/>
        <w:gridCol w:w="109"/>
        <w:gridCol w:w="109"/>
        <w:gridCol w:w="109"/>
        <w:gridCol w:w="288"/>
        <w:gridCol w:w="1055"/>
        <w:gridCol w:w="201"/>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Deferred tax expense (benefit)</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payable</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pPr>
      <w:r>
        <w:rPr>
          <w:rFonts w:ascii="Arial;sans-serif" w:hAnsi="Arial;sans-serif"/>
          <w:b/>
          <w:color w:val="000000"/>
          <w:sz w:val="22"/>
        </w:rPr>
        <w:t>3.</w:t>
      </w:r>
      <w:r>
        <w:rPr>
          <w:color w:val="000000"/>
        </w:rPr>
        <w:t>    </w:t>
      </w:r>
      <w:r>
        <w:rPr>
          <w:rFonts w:ascii="Arial;sans-serif" w:hAnsi="Arial;sans-serif"/>
          <w:b/>
          <w:color w:val="000000"/>
          <w:sz w:val="22"/>
        </w:rPr>
        <w:t xml:space="preserve">Inventories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Inventories consisted of the following (in thousands): </w:t>
      </w:r>
    </w:p>
    <w:tbl>
      <w:tblPr>
        <w:tblW w:w="5660" w:type="dxa"/>
        <w:jc w:val="left"/>
        <w:tblInd w:w="0" w:type="dxa"/>
        <w:tblLayout w:type="fixed"/>
        <w:tblCellMar>
          <w:top w:w="28" w:type="dxa"/>
          <w:left w:w="28" w:type="dxa"/>
          <w:bottom w:w="28" w:type="dxa"/>
          <w:right w:w="28" w:type="dxa"/>
        </w:tblCellMar>
      </w:tblPr>
      <w:tblGrid>
        <w:gridCol w:w="618"/>
        <w:gridCol w:w="543"/>
        <w:gridCol w:w="544"/>
        <w:gridCol w:w="267"/>
        <w:gridCol w:w="1119"/>
        <w:gridCol w:w="128"/>
        <w:gridCol w:w="109"/>
        <w:gridCol w:w="109"/>
        <w:gridCol w:w="109"/>
        <w:gridCol w:w="360"/>
        <w:gridCol w:w="1509"/>
        <w:gridCol w:w="245"/>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Raw materials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47,140 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86,614 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Finished goods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118,499 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75,350 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Inventories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165,639 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161,964 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values a portion of its inventory using the moving average cost method that approximates the first-in, first-out method (“FIFO”). As of June 30, 2024, inventory valued using moving average cost and FIFO was $137.1 million and $28.5 million, respectively. As of December 31, 2023, inventory valued using moving average cost and FIFO, was $129.5 million and $32.5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4.</w:t>
      </w:r>
      <w:r>
        <w:rPr>
          <w:color w:val="000000"/>
        </w:rPr>
        <w:t>    </w:t>
      </w:r>
      <w:r>
        <w:rPr>
          <w:rFonts w:ascii="Arial;sans-serif" w:hAnsi="Arial;sans-serif"/>
          <w:b/>
          <w:color w:val="000000"/>
          <w:sz w:val="22"/>
        </w:rPr>
        <w:t xml:space="preserve">Property, Plant and Equipment, Net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consisted of the following (in thousands, except useful lives): </w:t>
      </w:r>
    </w:p>
    <w:tbl>
      <w:tblPr>
        <w:tblW w:w="10205" w:type="dxa"/>
        <w:jc w:val="left"/>
        <w:tblInd w:w="0" w:type="dxa"/>
        <w:tblLayout w:type="fixed"/>
        <w:tblCellMar>
          <w:top w:w="28" w:type="dxa"/>
          <w:left w:w="28" w:type="dxa"/>
          <w:bottom w:w="28" w:type="dxa"/>
          <w:right w:w="28" w:type="dxa"/>
        </w:tblCellMar>
      </w:tblPr>
      <w:tblGrid>
        <w:gridCol w:w="1132"/>
        <w:gridCol w:w="998"/>
        <w:gridCol w:w="1011"/>
        <w:gridCol w:w="990"/>
        <w:gridCol w:w="990"/>
        <w:gridCol w:w="993"/>
        <w:gridCol w:w="109"/>
        <w:gridCol w:w="109"/>
        <w:gridCol w:w="109"/>
        <w:gridCol w:w="284"/>
        <w:gridCol w:w="1038"/>
        <w:gridCol w:w="136"/>
        <w:gridCol w:w="109"/>
        <w:gridCol w:w="109"/>
        <w:gridCol w:w="109"/>
        <w:gridCol w:w="368"/>
        <w:gridCol w:w="1350"/>
        <w:gridCol w:w="261"/>
      </w:tblGrid>
      <w:tr>
        <w:trPr/>
        <w:tc>
          <w:tcPr>
            <w:tcW w:w="113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Land</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Buildings and land improvements</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Manufacturing equipment</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26,539 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22,962 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Furniture, fixtures and equipment</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4,770 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Vehicles</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Hardware</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3,114 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Construction in progress</w:t>
            </w:r>
          </w:p>
        </w:tc>
        <w:tc>
          <w:tcPr>
            <w:tcW w:w="297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6,199 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49,322 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48,711 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Less: accumulated depreciation</w:t>
            </w:r>
          </w:p>
        </w:tc>
        <w:tc>
          <w:tcPr>
            <w:tcW w:w="2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(22,645)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(20,818)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26,677 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27,893 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Depreciation expense was $1.1 million and $0.6 million for the three months ended June 30, 2024 and 2023, respectively, of which $0.4 million and $0.3 million, respectively, was included in cost of revenue and $0.7 million and $0.3 million, respectively, was included in depreciation and amortization on the accompanying condensed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Depreciation expense was $2.0 million and $1.2 million for the six months ended June 30, 2024 and 2023, respectively, of which $0.9 million and $0.6 million, respectively, was included in cost of revenue and $1.1 million and $0.6 million, respectively, was included in depreciation and amortization on the accompanying condensed consolidated statements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5.    Goodwill and Other Intangible Assets, Net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Goodwill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Changes in the carrying amount of goodwill by operating segment during the six months ended June 30, 2024, consisted of the following (in thousands):</w:t>
      </w:r>
    </w:p>
    <w:tbl>
      <w:tblPr>
        <w:tblW w:w="9479" w:type="dxa"/>
        <w:jc w:val="left"/>
        <w:tblInd w:w="0" w:type="dxa"/>
        <w:tblLayout w:type="fixed"/>
        <w:tblCellMar>
          <w:top w:w="28" w:type="dxa"/>
          <w:left w:w="28" w:type="dxa"/>
          <w:bottom w:w="28" w:type="dxa"/>
          <w:right w:w="28" w:type="dxa"/>
        </w:tblCellMar>
      </w:tblPr>
      <w:tblGrid>
        <w:gridCol w:w="1031"/>
        <w:gridCol w:w="906"/>
        <w:gridCol w:w="912"/>
        <w:gridCol w:w="578"/>
        <w:gridCol w:w="2111"/>
        <w:gridCol w:w="281"/>
        <w:gridCol w:w="109"/>
        <w:gridCol w:w="109"/>
        <w:gridCol w:w="109"/>
        <w:gridCol w:w="296"/>
        <w:gridCol w:w="1241"/>
        <w:gridCol w:w="143"/>
        <w:gridCol w:w="109"/>
        <w:gridCol w:w="109"/>
        <w:gridCol w:w="109"/>
        <w:gridCol w:w="226"/>
        <w:gridCol w:w="94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2"/>
              </w:rPr>
              <w:t>Array Legacy Operations</w:t>
            </w:r>
            <w:r>
              <w:rPr>
                <w:rFonts w:ascii="Arial;sans-serif" w:hAnsi="Arial;sans-serif"/>
                <w:b/>
                <w:color w:val="000000"/>
                <w:sz w:val="14"/>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 xml:space="preserve">Total </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365,864 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435,591 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Foreign currency translation</w:t>
            </w:r>
          </w:p>
        </w:tc>
        <w:tc>
          <w:tcPr>
            <w:tcW w:w="268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(33,090)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(33,090)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Ending balance</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332,774 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2"/>
              </w:rPr>
            </w:pPr>
            <w:r>
              <w:rPr>
                <w:rFonts w:ascii="Arial;sans-serif" w:hAnsi="Arial;sans-serif"/>
                <w:b w:val="false"/>
                <w:color w:val="000000"/>
                <w:sz w:val="22"/>
              </w:rPr>
              <w:t>402,501 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Goodwill attributable to Array Legacy Operations is net of impairment of $51.9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Each quarter the Company evaluates if facts and circumstances indicate that it is more-likely-than-not that the fair value of its reporting units is less than their carrying value, which would require the Company to perform an interim goodwill impairment test During our most recent evaluation, the Company noted facts and circumstances around its STI Operations, were indicative that the fair value of the STI reporting unit could be less than its carrying value. Accordingly, with the assistance of a third-party specialist, the Company performed the first step of the goodwill impairment test (“Step One”). Based on the results of the Step One test, the Company concluded there were no indicators of impairment as of June 30,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concluded there were no indicators of impairment of the Array Legacy Operations operating unit as of June 30,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Intangible Assets, Net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Other intangible assets consisted of the following (in thousands, except useful lives): </w:t>
      </w:r>
    </w:p>
    <w:tbl>
      <w:tblPr>
        <w:tblW w:w="10205" w:type="dxa"/>
        <w:jc w:val="left"/>
        <w:tblInd w:w="0" w:type="dxa"/>
        <w:tblLayout w:type="fixed"/>
        <w:tblCellMar>
          <w:top w:w="28" w:type="dxa"/>
          <w:left w:w="28" w:type="dxa"/>
          <w:bottom w:w="28" w:type="dxa"/>
          <w:right w:w="28" w:type="dxa"/>
        </w:tblCellMar>
      </w:tblPr>
      <w:tblGrid>
        <w:gridCol w:w="1152"/>
        <w:gridCol w:w="956"/>
        <w:gridCol w:w="961"/>
        <w:gridCol w:w="999"/>
        <w:gridCol w:w="999"/>
        <w:gridCol w:w="1002"/>
        <w:gridCol w:w="109"/>
        <w:gridCol w:w="109"/>
        <w:gridCol w:w="109"/>
        <w:gridCol w:w="261"/>
        <w:gridCol w:w="1093"/>
        <w:gridCol w:w="125"/>
        <w:gridCol w:w="109"/>
        <w:gridCol w:w="109"/>
        <w:gridCol w:w="109"/>
        <w:gridCol w:w="340"/>
        <w:gridCol w:w="1427"/>
        <w:gridCol w:w="236"/>
      </w:tblGrid>
      <w:tr>
        <w:trPr/>
        <w:tc>
          <w:tcPr>
            <w:tcW w:w="11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Amortizable:</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5,267 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313,563 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336,134 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49,124 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54,438 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25,147 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27,061 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593,086 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626,700 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Accumulated amortization:</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116,183 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108,905 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Computer software</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126,450 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115,444 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49,124 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accumulated amortization</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295,795 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282,611 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 net</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297,291 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344,089 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Non-amortizable:</w:t>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intangible assets, net</w:t>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307,591 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354,389 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expense related to intangible assets was $11.8 million and $12.6 million for the three months ended June 30, 2024 and 2023, respectively, of which $3.6 million was included in amortization of developed technology, a component of cost of revenue, in both periods and $8.1 million and $9.0 million, respectively, was included in depreciation and amortization, on the accompanying condensed consolidated statements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expense related to intangible assets was $24.7 million and $26.5 million for the six months ended June 30, 2024 and 2023, respectively, of which $7.3 million was included in amortization of developed technology, a component of cost of revenue, in both periods and $17.4 million and $19.2 million, respectively, was included in depreciation and amortization, on the accompanying condensed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Estimated future amortization expense of intangible assets as of June 30, 2024, is as follows (in thousands):</w:t>
      </w:r>
    </w:p>
    <w:tbl>
      <w:tblPr>
        <w:tblW w:w="3391" w:type="dxa"/>
        <w:jc w:val="left"/>
        <w:tblInd w:w="0" w:type="dxa"/>
        <w:tblLayout w:type="fixed"/>
        <w:tblCellMar>
          <w:top w:w="28" w:type="dxa"/>
          <w:left w:w="28" w:type="dxa"/>
          <w:bottom w:w="28" w:type="dxa"/>
          <w:right w:w="28" w:type="dxa"/>
        </w:tblCellMar>
      </w:tblPr>
      <w:tblGrid>
        <w:gridCol w:w="748"/>
        <w:gridCol w:w="657"/>
        <w:gridCol w:w="660"/>
        <w:gridCol w:w="226"/>
        <w:gridCol w:w="94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Remainder of 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106,352 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297,291 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Long-lived assets, including both amortizable and non-amortizable intangible assets, are reviewed for impairment whenever events or changes in circumstances indicate the carrying amount of an asset group may not be recoverable.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second quarter of 2024, the Company noted facts and circumstances around asset groups at its STI reporting unit were indicative that the fair value could be less than its carrying value. The Company performed a recoverability test by comparing the sum of the estimated undiscounted future cash flows attributable to the STI asset groups to the net carrying value of the STI asset groups as of June 30, 2024. The result of the recoverability test indicated the sum of the expected future undiscounted cash flows was greater than the carrying amount of the asset groups of the STI. Accordingly, we concluded the asset groups of the STI reporting unit were not impaired as of June 30,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June 30, 2024, no events or circumstances were noted that would indicate the carrying amount of any of Legacy Array’s asset groups may not be recoverable.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6.</w:t>
      </w:r>
      <w:r>
        <w:rPr>
          <w:color w:val="000000"/>
        </w:rPr>
        <w:t>    </w:t>
      </w:r>
      <w:r>
        <w:rPr>
          <w:rFonts w:ascii="Arial;sans-serif" w:hAnsi="Arial;sans-serif"/>
          <w:b/>
          <w:color w:val="000000"/>
          <w:sz w:val="22"/>
        </w:rPr>
        <w:t xml:space="preserve">Income Taxes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follows guidance under ASC Topic 740-270 </w:t>
      </w:r>
      <w:r>
        <w:rPr>
          <w:rFonts w:ascii="Arial;sans-serif" w:hAnsi="Arial;sans-serif"/>
          <w:b w:val="false"/>
          <w:i/>
          <w:color w:val="000000"/>
          <w:sz w:val="22"/>
        </w:rPr>
        <w:t>Income Taxes</w:t>
      </w:r>
      <w:r>
        <w:rPr>
          <w:rFonts w:ascii="Arial;sans-serif" w:hAnsi="Arial;sans-serif"/>
          <w:b w:val="false"/>
          <w:color w:val="000000"/>
          <w:sz w:val="22"/>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recorded income tax expense of $7.8 million and $21.4 million for the three months ended June 30, 2024 and 2023, respectively, and an expense of $9.1 million and $29.7 million for the six months ended June 30, 2024 and 2023, respectively. The income tax expense for the six months ended June 30, 2024, was impacted by legislation in Brazil which resulted in a local tax incentive no longer being exempt from Federal income tax beginning in 2024. Additionally, tax expense of $0.5 million was recorded discretely related to equity-based compensation. The tax expense for the six months ended June 30, 2023, was unfavorably impacted by higher income reported in non-U.S. jurisdictions, offset by a tax benefit of $1.2 million related to excess equity-based compensation recorded discretely.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2024 and 2023, no reserves for uncertain tax positions have been recorded. The Company will continue to monitor this position each interim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7.</w:t>
      </w:r>
      <w:r>
        <w:rPr>
          <w:color w:val="000000"/>
        </w:rPr>
        <w:t>    </w:t>
      </w:r>
      <w:r>
        <w:rPr>
          <w:rFonts w:ascii="Arial;sans-serif" w:hAnsi="Arial;sans-serif"/>
          <w:b/>
          <w:color w:val="000000"/>
          <w:sz w:val="22"/>
        </w:rPr>
        <w:t xml:space="preserve">Debt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total debt (in thousands):</w:t>
      </w:r>
    </w:p>
    <w:tbl>
      <w:tblPr>
        <w:tblW w:w="8694" w:type="dxa"/>
        <w:jc w:val="left"/>
        <w:tblInd w:w="0" w:type="dxa"/>
        <w:tblLayout w:type="fixed"/>
        <w:tblCellMar>
          <w:top w:w="28" w:type="dxa"/>
          <w:left w:w="28" w:type="dxa"/>
          <w:bottom w:w="28" w:type="dxa"/>
          <w:right w:w="28" w:type="dxa"/>
        </w:tblCellMar>
      </w:tblPr>
      <w:tblGrid>
        <w:gridCol w:w="1715"/>
        <w:gridCol w:w="1509"/>
        <w:gridCol w:w="1515"/>
        <w:gridCol w:w="267"/>
        <w:gridCol w:w="1119"/>
        <w:gridCol w:w="128"/>
        <w:gridCol w:w="109"/>
        <w:gridCol w:w="109"/>
        <w:gridCol w:w="109"/>
        <w:gridCol w:w="360"/>
        <w:gridCol w:w="1509"/>
        <w:gridCol w:w="245"/>
      </w:tblGrid>
      <w:tr>
        <w:trPr/>
        <w:tc>
          <w:tcPr>
            <w:tcW w:w="17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Senior Secured Credit Facility:</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Term loan facility</w:t>
            </w:r>
          </w:p>
        </w:tc>
        <w:tc>
          <w:tcPr>
            <w:tcW w:w="26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236,025 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238,175 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Revolving credit facility</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secured credit facility</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236,025 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238,175 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Convertible notes</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Other debt</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37,676 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39,889 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principal</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698,701 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703,064 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 total</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(17,958)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(20,644)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(29,221)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(21,472)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long-term debt, net of current portion</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651,522 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660,948 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Senior Secured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(the “First Amendment”), on February 26, 2021 (the “Second Amendment”) and again on March 2, 2023 (the “Third Amendment”).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Revolving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had no outstanding balance under the Revolving Credit Facility as of both June 30, 2024 and December 31, 2023, $15.9 million and $24.8 million, respectively, in standby letters of credit, and $184.1 million and $175.2 million, respectively, available to withdraw. In accordance with the Third Amendment, the Revolving Credit Facility pays interest at the Company’s election, at either (x) for SOFR Loans at Adjusted Term SOFR (as defined in the Credit Agreement) plus 3.25% or (y) for Base Rate Loans at the higher of the Prime Rate, one half of 1.00% above the Federal Funds Rate or the Adjusted Term SOFR for one-month interest period, after giving effect to any floor plus 1.00%, plus 2.25%.</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Term Loan Facility</w:t>
      </w:r>
    </w:p>
    <w:p>
      <w:pPr>
        <w:pStyle w:val="TextBody"/>
        <w:bidi w:val="0"/>
        <w:spacing w:lineRule="auto" w:line="300" w:before="0" w:after="0"/>
        <w:jc w:val="both"/>
        <w:rPr/>
      </w:pPr>
      <w:r>
        <w:rPr>
          <w:rFonts w:ascii="Arial;sans-serif" w:hAnsi="Arial;sans-serif"/>
          <w:b w:val="false"/>
          <w:color w:val="000000"/>
          <w:sz w:val="22"/>
        </w:rPr>
        <w:t>The outstanding balance on the Term Loan Facility was $236.0 million and $238.2 million as of June 30, 2024 and December 31, 2023, respectively. The Term Loan Facility is presented in the accompanying condensed consolidated balance sheets, net of debt discount and issuance costs of $9.5 million and $11.3 million as of June 30, 2024 and December 31, 2023, respectively. In accordance with the Third Amendment, the Term Loan Facility pays interest at the Company’s election, at either (x) for SOFR Loans at Adjusted Term SOFR (subject to a floor of 0.50%) plus 3.25% or (y) for Base Rate Loans at the higher of the Prime Rate, one half of 1.00% above the Federal Funds Rate or the Adjusted Term SOFR</w:t>
      </w:r>
      <w:r>
        <w:rPr>
          <w:color w:val="000000"/>
        </w:rPr>
        <w:t xml:space="preserve"> </w:t>
      </w:r>
      <w:r>
        <w:rPr>
          <w:rFonts w:ascii="Arial;sans-serif" w:hAnsi="Arial;sans-serif"/>
          <w:b w:val="false"/>
          <w:color w:val="000000"/>
          <w:sz w:val="22"/>
        </w:rPr>
        <w:t xml:space="preserve">for one-month interest period, after giving effect to any floor plus 1.00%, plus 2.25%. The debt discount and issuance costs are being amortized using the effective interest method and the effective interest rate of the Term Loan Facility as of June 30, 2024,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10.27%. The Term Loan Facility has an annual excess cash flow calculation, for which the prescribed formula did not result in requiring the Company to make an advance principal payment for the year ended December 31,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Convertible Notes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3, 2021 and December 9, 2021, the Company completed a $425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June 30, 2024 and December 31, 2023, the principal balance of the Convertible Notes was $425.0 million with unamortized discount and issuance costs of $8.4 million and $9.4 million, respectively, for a net carrying amount of $416.6 million and $415.6 million, respectively.</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conversion rate for the Convertible Notes was initially 41.9054 shares of the Company’s common stock per $1,000 principal amount of Convertible Notes, which was equivalent to an initial conversion price of approximately $23.86 per share of common stock or 10.1 million shares of common stock. The Convertible Notes were not convertible during the six months ended June 30, 2024, and none have been converted to date. Also, given that the average market price of the Company’s common stock has not exceeded the exercise price since inception, there was no dilutive impact for the three and six months ended June 30,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and remains currently, $36.02 per share.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can also elect to receive the equivalent value of cash in lieu of shares of common stock upon settlement, except in certain circumstances. The Capped Calls expire on December 1, 2028, and terminate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See </w:t>
      </w:r>
      <w:hyperlink w:anchor="i0cc77f0de86b435a9adf658793e064b9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for information regarding the accounting for the Capped Calls.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Other Debt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consists of the debt obligations of STI (“Other Debt”). Interest rates on other debt range from 0.4% to 15.17% annually. Of the $37.7 million Other Debt balance, the equivalent of $28.7 million is denominated in Euros and $9.0 million is denominated in Brazilian Real.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8.</w:t>
      </w:r>
      <w:r>
        <w:rPr>
          <w:color w:val="000000"/>
        </w:rPr>
        <w:t>    </w:t>
      </w:r>
      <w:r>
        <w:rPr>
          <w:rFonts w:ascii="Arial;sans-serif" w:hAnsi="Arial;sans-serif"/>
          <w:b/>
          <w:color w:val="000000"/>
          <w:sz w:val="22"/>
        </w:rPr>
        <w:t>Redeemable Perpetual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entered into a Securities Purchase Agreement (the “SPA”) with certain investors (the “Purchasers”) pursuant to which, on August 11, 2021, the Company issued 350,000 shares of its newly designated Series A Redeemable Perpetual Preferred Stock (the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$776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Put Option included in the SPA required the Purchasers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“Delayed Draw Commitment” or the “Put Option”). The Put Option expired effective June 30, 2023.</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7, 2022, pursuant to the Put Option, the Company issued and sold to the Purchasers 50,000 shares of Series A Shares and 1,125,000 shares of the Company’s common stock in an additional closing for an aggregate purchase price of $49.4 million (the “Additional Closing”).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has classified the Series A Shares as temporary equity and is accreting the carrying amount to its full redemption amount from the date of issuance to the earliest redemption date using the effective interest method. Such accretion totaled $13.5 million and $12.4 million for the six months ended June 30, 2024 and 2023, respectively.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Dividends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used herein, “Liquidation Preference” means, with respect to the Series A Shares, the initial liquidation preference of $1,000 per share, plus accrued dividends of such share at the time of the determination.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six months ended June 30, 2024, the Company accrued dividends on the Series A Shares at the Accrued Regular Dividend rate of 6.25% totaling $13.8 million. As of June 30, 2024, total accrued and unpaid dividends were $46.5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Series A Shares have similar characteristics of an “Increasing Rate Security” as described by SEC Staff Accounting Bulletin Topic 5Q, </w:t>
      </w:r>
      <w:r>
        <w:rPr>
          <w:rFonts w:ascii="Arial;sans-serif" w:hAnsi="Arial;sans-serif"/>
          <w:b w:val="false"/>
          <w:i/>
          <w:color w:val="000000"/>
          <w:sz w:val="22"/>
        </w:rPr>
        <w:t>Increasing Rate Preferred Stock</w:t>
      </w:r>
      <w:r>
        <w:rPr>
          <w:rFonts w:ascii="Arial;sans-serif" w:hAnsi="Arial;sans-serif"/>
          <w:b w:val="false"/>
          <w:color w:val="000000"/>
          <w:sz w:val="22"/>
        </w:rPr>
        <w:t xml:space="preserve">.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Fees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three months ended June 30, 2023, the Company paid the Purchasers a per annum cash commitment fee totaling $1.5 million on the unpurchased portion of the Put Option. The Put Option expired effective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9.</w:t>
      </w:r>
      <w:r>
        <w:rPr>
          <w:color w:val="000000"/>
        </w:rPr>
        <w:t>    </w:t>
      </w:r>
      <w:r>
        <w:rPr>
          <w:rFonts w:ascii="Arial;sans-serif" w:hAnsi="Arial;sans-serif"/>
          <w:b/>
          <w:color w:val="000000"/>
          <w:sz w:val="22"/>
        </w:rPr>
        <w:t xml:space="preserve">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disaggregates its revenue from contracts with customers by sales recorded over time and sales recorded at a point in time. The following table presents the Company’s disaggregated revenues (in thousands):    </w:t>
      </w:r>
    </w:p>
    <w:tbl>
      <w:tblPr>
        <w:tblW w:w="8676" w:type="dxa"/>
        <w:jc w:val="left"/>
        <w:tblInd w:w="0" w:type="dxa"/>
        <w:tblLayout w:type="fixed"/>
        <w:tblCellMar>
          <w:top w:w="28" w:type="dxa"/>
          <w:left w:w="28" w:type="dxa"/>
          <w:bottom w:w="28" w:type="dxa"/>
          <w:right w:w="28" w:type="dxa"/>
        </w:tblCellMar>
      </w:tblPr>
      <w:tblGrid>
        <w:gridCol w:w="783"/>
        <w:gridCol w:w="687"/>
        <w:gridCol w:w="690"/>
        <w:gridCol w:w="251"/>
        <w:gridCol w:w="1051"/>
        <w:gridCol w:w="121"/>
        <w:gridCol w:w="121"/>
        <w:gridCol w:w="121"/>
        <w:gridCol w:w="121"/>
        <w:gridCol w:w="251"/>
        <w:gridCol w:w="1051"/>
        <w:gridCol w:w="121"/>
        <w:gridCol w:w="109"/>
        <w:gridCol w:w="109"/>
        <w:gridCol w:w="109"/>
        <w:gridCol w:w="230"/>
        <w:gridCol w:w="962"/>
        <w:gridCol w:w="110"/>
        <w:gridCol w:w="110"/>
        <w:gridCol w:w="110"/>
        <w:gridCol w:w="110"/>
        <w:gridCol w:w="230"/>
        <w:gridCol w:w="962"/>
        <w:gridCol w:w="156"/>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Over-time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209,598 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242424"/>
                <w:sz w:val="22"/>
              </w:rPr>
            </w:pPr>
            <w:r>
              <w:rPr>
                <w:rFonts w:ascii="Arial;sans-serif" w:hAnsi="Arial;sans-serif"/>
                <w:b w:val="false"/>
                <w:color w:val="242424"/>
                <w:sz w:val="22"/>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242424"/>
                <w:sz w:val="22"/>
              </w:rPr>
            </w:pPr>
            <w:r>
              <w:rPr>
                <w:rFonts w:ascii="Arial;sans-serif" w:hAnsi="Arial;sans-serif"/>
                <w:b w:val="false"/>
                <w:color w:val="242424"/>
                <w:sz w:val="22"/>
              </w:rPr>
              <w:t>417,448 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333,934 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703,759 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Point in time revenue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242424"/>
                <w:sz w:val="22"/>
              </w:rPr>
            </w:pPr>
            <w:r>
              <w:rPr>
                <w:rFonts w:ascii="Arial;sans-serif" w:hAnsi="Arial;sans-serif"/>
                <w:b w:val="false"/>
                <w:color w:val="242424"/>
                <w:sz w:val="22"/>
              </w:rPr>
              <w:t>90,277 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75,235 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180,739 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revenue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255,766 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242424"/>
                <w:sz w:val="22"/>
              </w:rPr>
            </w:pPr>
            <w:r>
              <w:rPr>
                <w:rFonts w:ascii="Arial;sans-serif" w:hAnsi="Arial;sans-serif"/>
                <w:b w:val="false"/>
                <w:color w:val="242424"/>
                <w:sz w:val="22"/>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242424"/>
                <w:sz w:val="22"/>
              </w:rPr>
            </w:pPr>
            <w:r>
              <w:rPr>
                <w:rFonts w:ascii="Arial;sans-serif" w:hAnsi="Arial;sans-serif"/>
                <w:b w:val="false"/>
                <w:color w:val="242424"/>
                <w:sz w:val="22"/>
              </w:rPr>
              <w:t>507,725 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409,169 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884,498 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Contract Balances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and the corresponding amounts recorded in revenue relate to fluctuations in the timing and volume of billings.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assets consisting of unbilled receivables are recorded within accounts receivable, net on the condensed consolidated balance sheets on a contract-by-contract basis at the end of the reporting period and consisted of the following (in thousands):</w:t>
      </w:r>
    </w:p>
    <w:tbl>
      <w:tblPr>
        <w:tblW w:w="6041" w:type="dxa"/>
        <w:jc w:val="left"/>
        <w:tblInd w:w="0" w:type="dxa"/>
        <w:tblLayout w:type="fixed"/>
        <w:tblCellMar>
          <w:top w:w="28" w:type="dxa"/>
          <w:left w:w="28" w:type="dxa"/>
          <w:bottom w:w="28" w:type="dxa"/>
          <w:right w:w="28" w:type="dxa"/>
        </w:tblCellMar>
      </w:tblPr>
      <w:tblGrid>
        <w:gridCol w:w="755"/>
        <w:gridCol w:w="664"/>
        <w:gridCol w:w="666"/>
        <w:gridCol w:w="295"/>
        <w:gridCol w:w="1078"/>
        <w:gridCol w:w="142"/>
        <w:gridCol w:w="109"/>
        <w:gridCol w:w="109"/>
        <w:gridCol w:w="109"/>
        <w:gridCol w:w="360"/>
        <w:gridCol w:w="1509"/>
        <w:gridCol w:w="245"/>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Unbilled receivables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78,505 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102,603 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also receives advances or deposits from its customers, before revenue is recognized, resulting in contract liabilities recorded within Deferred revenue. The changes in contract liabilities relate to advanced orders and payments received by the Company.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liabilities are recorded on a contract-by-contract basis and consisted of the following at the end of each reporting period (in thousands):</w:t>
      </w:r>
    </w:p>
    <w:tbl>
      <w:tblPr>
        <w:tblW w:w="5787" w:type="dxa"/>
        <w:jc w:val="left"/>
        <w:tblInd w:w="0" w:type="dxa"/>
        <w:tblLayout w:type="fixed"/>
        <w:tblCellMar>
          <w:top w:w="28" w:type="dxa"/>
          <w:left w:w="28" w:type="dxa"/>
          <w:bottom w:w="28" w:type="dxa"/>
          <w:right w:w="28" w:type="dxa"/>
        </w:tblCellMar>
      </w:tblPr>
      <w:tblGrid>
        <w:gridCol w:w="662"/>
        <w:gridCol w:w="583"/>
        <w:gridCol w:w="585"/>
        <w:gridCol w:w="295"/>
        <w:gridCol w:w="1078"/>
        <w:gridCol w:w="142"/>
        <w:gridCol w:w="109"/>
        <w:gridCol w:w="109"/>
        <w:gridCol w:w="109"/>
        <w:gridCol w:w="395"/>
        <w:gridCol w:w="1447"/>
        <w:gridCol w:w="273"/>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90,982 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66,488 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six months ended June 30, 2024, the Company converted $30.5 million in deferred revenue to revenue, which represented 45.8% of the prior year’s deferred revenue balance.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Bill-and-Hold Arrangements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 </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r>
        <w:rPr>
          <w:rFonts w:ascii="Arial;sans-serif" w:hAnsi="Arial;sans-serif"/>
          <w:b w:val="false"/>
          <w:color w:val="000000"/>
          <w:sz w:val="22"/>
          <w:shd w:fill="FFFFFF" w:val="clear"/>
        </w:rPr>
        <w:t xml:space="preserv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three and six months ended June 30, 2023, the Company recognized $3.5 million and $22.8 million, respectively, in revenue from one customer for the sale of goods and services under bill-and-hold arrangements. During the three and six months ended June 30, 2024, the Company recognized $0.0 and $1.9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million, respectively, in revenue from one customer for the sale of goods and services under bill-and-hold arrangements.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Remaining Performance Obligations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June 30, 2024, the Company had $333.9 million of remaining performance obligations. The Company expects to recognize revenue on 100% of these performance obligations in the next twelve months.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10.    Earnings Per Share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sets forth the computation of basic and diluted (loss) income per share (in thousands, except per share amounts): </w:t>
      </w:r>
    </w:p>
    <w:tbl>
      <w:tblPr>
        <w:tblW w:w="10205" w:type="dxa"/>
        <w:jc w:val="left"/>
        <w:tblInd w:w="0" w:type="dxa"/>
        <w:tblLayout w:type="fixed"/>
        <w:tblCellMar>
          <w:top w:w="28" w:type="dxa"/>
          <w:left w:w="28" w:type="dxa"/>
          <w:bottom w:w="28" w:type="dxa"/>
          <w:right w:w="28" w:type="dxa"/>
        </w:tblCellMar>
      </w:tblPr>
      <w:tblGrid>
        <w:gridCol w:w="1509"/>
        <w:gridCol w:w="1222"/>
        <w:gridCol w:w="1205"/>
        <w:gridCol w:w="259"/>
        <w:gridCol w:w="949"/>
        <w:gridCol w:w="125"/>
        <w:gridCol w:w="125"/>
        <w:gridCol w:w="125"/>
        <w:gridCol w:w="125"/>
        <w:gridCol w:w="259"/>
        <w:gridCol w:w="949"/>
        <w:gridCol w:w="125"/>
        <w:gridCol w:w="109"/>
        <w:gridCol w:w="109"/>
        <w:gridCol w:w="109"/>
        <w:gridCol w:w="242"/>
        <w:gridCol w:w="888"/>
        <w:gridCol w:w="116"/>
        <w:gridCol w:w="116"/>
        <w:gridCol w:w="116"/>
        <w:gridCol w:w="116"/>
        <w:gridCol w:w="242"/>
        <w:gridCol w:w="888"/>
        <w:gridCol w:w="177"/>
      </w:tblGrid>
      <w:tr>
        <w:trPr/>
        <w:tc>
          <w:tcPr>
            <w:tcW w:w="15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25,698 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Less: preferred dividends and accretion</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to common shareholders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52,381 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69,532 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Basic:</w:t>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151,797 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151,574 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150,763 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(Loss) income per share</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0.08 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0.47 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restricted stock and performance awards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shares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152,207 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152,129 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151,970 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per share</w:t>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0.08 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0.46 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Potentially dilutive common shares issuable pursuant to equity-based awards of 479,623</w:t>
      </w:r>
      <w:r>
        <w:rPr>
          <w:color w:val="000000"/>
        </w:rPr>
        <w:t xml:space="preserve"> </w:t>
      </w:r>
      <w:r>
        <w:rPr>
          <w:rFonts w:ascii="Arial;sans-serif" w:hAnsi="Arial;sans-serif"/>
          <w:b w:val="false"/>
          <w:color w:val="000000"/>
          <w:sz w:val="22"/>
        </w:rPr>
        <w:t>and 473,074 were not included for the three and six months ended June 30, 2024, respectively, as their potential impact was anti-dilutive. Common shares issuable pursuant to equity-based awards of 52,609 and 57,263 were excluded from the Company’s diluted EPS calculation for the three and six months ended June 30, 2023, respectively, as their potential impact was anti-dilutive.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were no potentially dilutive common shares issuable pursuant to the Convertible Notes for both the six months ended June 30, 2024 and 2023, as the average market price of the Company’s common stock has not exceeded the exercise price since their issuance.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11.</w:t>
      </w:r>
      <w:r>
        <w:rPr>
          <w:color w:val="000000"/>
        </w:rPr>
        <w:t>    </w:t>
      </w:r>
      <w:r>
        <w:rPr>
          <w:rFonts w:ascii="Arial;sans-serif" w:hAnsi="Arial;sans-serif"/>
          <w:b/>
          <w:color w:val="000000"/>
          <w:sz w:val="22"/>
        </w:rPr>
        <w:t xml:space="preserve">Commitments and Contingencies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Legal Proceedings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May 14, 2021, a putative class action was filed in the U.S. District Court for the Southern District of New York against the Company and certain officers and directors alleging violations of Sections 10(b) and 20(a)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Securities Exchange Act of 1934, and Rule 10b-5, promulgated thereunder, and Sections 11, 12(a)(2) and 15 of the Securities Exchange Act of 1933 (“Plymouth Action”). The complaint alleges misstatements and/or omissions in the Company’s registration statements and prospectuses related to the Company’s October 2020 initial public offering (“IPO”),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30, 2021, a substantially similar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which was consolidated with the Plymouth Action.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4, 2023, the lead plaintiffs filed a notice of appeal of the Court’s dismissal of the consolidated amended complaint to the U.S. Court of Appeals for the Second Circuit. After full briefing, the Court of Appeals heard oral argument on June 26, 2024 and the case is pending decision by the Court.</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16, 2021, a verified derivative complaint was filed in the Southern District of New York against certain officers and directors of the Company.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On July 30, 2021, a second verified derivative complaint was filed in the Southern District of New York against certain officers and directors of the Company. The complaint alleges: (1) violations of Section 14(a) of the Securities Exchange Act of 1934 for causing the issuance of a false/misleading proxy statement, (2) breach of fiduciary duty, and (3) aiding and abetting breaches of fiduciary duty.</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24, 2021, the Southern District of New York derivative actions were consolidated and the Court appointed co-lead counsel. The consolidated cases remain stayed pending the outcome of the appeal of the Plymouth Action.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3, 2022, a verified derivative complaint was filed in the Court of Chancery of the State of Delaware against certain officers and directors of the Company, asserting claims for: (1) breach of fiduciary duty and (2) unjust enrichment. 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Chancery Court derivative cases were consolidated and the Court appointed co-lead counsel. The consolidated cases have been stayed pending the outcome of the appeal of the Plymouth Action.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June 30,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Commercial Supplier Settlement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March 2024, the Company reached a settlement with one of its vendors, in which the Company received $4.0 million in the form of a one-time $2.6 million cash payment due immediately, and $1.4 million in credits with the vendor which can be applied by the Company to future orders from the respective vendor. If the Company does not utilize all of the credits by January 2026, it will receive a one-time cash payment from the vendor for the remaining unused credit balance. As of March 31, 2024, the Company recognized $4.0 million in Prepaid and other expenses, net on the condensed consolidated balance sheet and for the three months ended March 31, 2024, a $4.0 million reduction to Cost of revenue on the condensed consolidated statement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Contingent Consideration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Tax Receivable Agreement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Concurrent with the Former Parent’s acquisition of Array Technologies Patent Holdings Co., LLC on July 8, 2016, the Company’s operating subsidiary, Array Tech, Inc. (f/k/a Array Technologies,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June 30, 2024 and December 31, 2023, the fair value of the TRA was $8.7 million and $10.4 million,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activity related to the estimated TRA liability (in thousands):</w:t>
      </w:r>
    </w:p>
    <w:tbl>
      <w:tblPr>
        <w:tblW w:w="8724" w:type="dxa"/>
        <w:jc w:val="left"/>
        <w:tblInd w:w="0" w:type="dxa"/>
        <w:tblLayout w:type="fixed"/>
        <w:tblCellMar>
          <w:top w:w="28" w:type="dxa"/>
          <w:left w:w="28" w:type="dxa"/>
          <w:bottom w:w="28" w:type="dxa"/>
          <w:right w:w="28" w:type="dxa"/>
        </w:tblCellMar>
      </w:tblPr>
      <w:tblGrid>
        <w:gridCol w:w="798"/>
        <w:gridCol w:w="703"/>
        <w:gridCol w:w="704"/>
        <w:gridCol w:w="301"/>
        <w:gridCol w:w="941"/>
        <w:gridCol w:w="145"/>
        <w:gridCol w:w="145"/>
        <w:gridCol w:w="145"/>
        <w:gridCol w:w="145"/>
        <w:gridCol w:w="301"/>
        <w:gridCol w:w="941"/>
        <w:gridCol w:w="145"/>
        <w:gridCol w:w="109"/>
        <w:gridCol w:w="109"/>
        <w:gridCol w:w="109"/>
        <w:gridCol w:w="262"/>
        <w:gridCol w:w="958"/>
        <w:gridCol w:w="126"/>
        <w:gridCol w:w="126"/>
        <w:gridCol w:w="126"/>
        <w:gridCol w:w="126"/>
        <w:gridCol w:w="262"/>
        <w:gridCol w:w="819"/>
        <w:gridCol w:w="178"/>
      </w:tblGrid>
      <w:tr>
        <w:trPr/>
        <w:tc>
          <w:tcPr>
            <w:tcW w:w="7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Beginning balance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8,201 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Payments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Ending balance</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8,704 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9,429 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8,704 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9,429 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TRA liability requires significant judgment and is classified as Level 3 in the fair value hierarchy.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June 30, 2024, the Company posted surety bonds in the total amount of $197.8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12.    Fair Value of Financial Instruments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carrying values and estimated fair values of the Company’s debt financial instruments were as follows (in thousands):</w:t>
      </w:r>
    </w:p>
    <w:tbl>
      <w:tblPr>
        <w:tblW w:w="8790" w:type="dxa"/>
        <w:jc w:val="left"/>
        <w:tblInd w:w="0" w:type="dxa"/>
        <w:tblLayout w:type="fixed"/>
        <w:tblCellMar>
          <w:top w:w="28" w:type="dxa"/>
          <w:left w:w="28" w:type="dxa"/>
          <w:bottom w:w="28" w:type="dxa"/>
          <w:right w:w="28" w:type="dxa"/>
        </w:tblCellMar>
      </w:tblPr>
      <w:tblGrid>
        <w:gridCol w:w="679"/>
        <w:gridCol w:w="597"/>
        <w:gridCol w:w="598"/>
        <w:gridCol w:w="293"/>
        <w:gridCol w:w="1230"/>
        <w:gridCol w:w="141"/>
        <w:gridCol w:w="109"/>
        <w:gridCol w:w="109"/>
        <w:gridCol w:w="109"/>
        <w:gridCol w:w="226"/>
        <w:gridCol w:w="946"/>
        <w:gridCol w:w="109"/>
        <w:gridCol w:w="109"/>
        <w:gridCol w:w="109"/>
        <w:gridCol w:w="109"/>
        <w:gridCol w:w="293"/>
        <w:gridCol w:w="1230"/>
        <w:gridCol w:w="141"/>
        <w:gridCol w:w="109"/>
        <w:gridCol w:w="109"/>
        <w:gridCol w:w="109"/>
        <w:gridCol w:w="226"/>
        <w:gridCol w:w="9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 2023</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Convertible Notes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416,573 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415,632 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Convertible Notes is estimated using Level 2 inputs, as they are not registered securities nor listed on any securities exchange but may be traded by qualified institutional buyers.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Term Loan Facility and Other Debt is estimated using Level 2 inputs. The carrying values of the Term Loan Facility outstanding under the Senior Secured Credit facility recorded in the condensed consolidated balance sheets approximate fair value due to the variable nature of the interest rates.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with an aggregate carrying value of $37.7 million, consists only of variable rate obligations. The carrying value of these variable rate obligations approximate fair value due to the variable nature of the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2"/>
        </w:rPr>
        <w:t>13.</w:t>
      </w:r>
      <w:r>
        <w:rPr>
          <w:color w:val="000000"/>
        </w:rPr>
        <w:t>    </w:t>
      </w:r>
      <w:r>
        <w:rPr>
          <w:rFonts w:ascii="Arial;sans-serif" w:hAnsi="Arial;sans-serif"/>
          <w:b/>
          <w:color w:val="000000"/>
          <w:sz w:val="22"/>
        </w:rPr>
        <w:t>Equity-Based Compensation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2020 Equity Incentive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Company’s 2020 Equity Incentive Plan (the “2020 Plan”) became effective. The 2020 Plan authorized 6,683,919 new shares, subject to adjustments pursuant to the 2020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Restricted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Pursuant to the 2020 Plan, the Company grants restricted stock units (“RSUs”) to employees and members of the Company’s board of directors. The fair value of the RSUs is determined using the market value of the Company’s common stock on the grant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RSU activity under the 2020 Plan during the six months ended June 30, 2024, was as follows:</w:t>
      </w:r>
    </w:p>
    <w:tbl>
      <w:tblPr>
        <w:tblW w:w="10205" w:type="dxa"/>
        <w:jc w:val="left"/>
        <w:tblInd w:w="0" w:type="dxa"/>
        <w:tblLayout w:type="fixed"/>
        <w:tblCellMar>
          <w:top w:w="28" w:type="dxa"/>
          <w:left w:w="28" w:type="dxa"/>
          <w:bottom w:w="28" w:type="dxa"/>
          <w:right w:w="28" w:type="dxa"/>
        </w:tblCellMar>
      </w:tblPr>
      <w:tblGrid>
        <w:gridCol w:w="1463"/>
        <w:gridCol w:w="1283"/>
        <w:gridCol w:w="1290"/>
        <w:gridCol w:w="669"/>
        <w:gridCol w:w="638"/>
        <w:gridCol w:w="619"/>
        <w:gridCol w:w="109"/>
        <w:gridCol w:w="109"/>
        <w:gridCol w:w="109"/>
        <w:gridCol w:w="812"/>
        <w:gridCol w:w="2542"/>
        <w:gridCol w:w="562"/>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2023</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1,670,509 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15.44 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1,104,000 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12.19 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(681,353)</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15.49 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(141,562)</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15.11 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June 30, 2024</w:t>
            </w:r>
          </w:p>
        </w:tc>
        <w:tc>
          <w:tcPr>
            <w:tcW w:w="13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1,951,594 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13.57 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Performance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granted performance stock units (“PSUs”) to certain employees.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six months ended June 30, 2024 and 2023:</w:t>
      </w:r>
    </w:p>
    <w:tbl>
      <w:tblPr>
        <w:tblW w:w="4463" w:type="dxa"/>
        <w:jc w:val="left"/>
        <w:tblInd w:w="0" w:type="dxa"/>
        <w:tblLayout w:type="fixed"/>
        <w:tblCellMar>
          <w:top w:w="28" w:type="dxa"/>
          <w:left w:w="28" w:type="dxa"/>
          <w:bottom w:w="28" w:type="dxa"/>
          <w:right w:w="28" w:type="dxa"/>
        </w:tblCellMar>
      </w:tblPr>
      <w:tblGrid>
        <w:gridCol w:w="808"/>
        <w:gridCol w:w="710"/>
        <w:gridCol w:w="717"/>
        <w:gridCol w:w="293"/>
        <w:gridCol w:w="293"/>
        <w:gridCol w:w="340"/>
        <w:gridCol w:w="109"/>
        <w:gridCol w:w="109"/>
        <w:gridCol w:w="109"/>
        <w:gridCol w:w="293"/>
        <w:gridCol w:w="293"/>
        <w:gridCol w:w="389"/>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Volatility</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Risk-free interest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4.62 </w:t>
            </w:r>
          </w:p>
        </w:tc>
        <w:tc>
          <w:tcPr>
            <w:tcW w:w="34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3.74 </w:t>
            </w:r>
          </w:p>
        </w:tc>
        <w:tc>
          <w:tcPr>
            <w:tcW w:w="3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Dividend yield</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activity under the 2020 Plan during the six months ended June 30, 2024, was as follows:</w:t>
      </w:r>
    </w:p>
    <w:tbl>
      <w:tblPr>
        <w:tblW w:w="10205" w:type="dxa"/>
        <w:jc w:val="left"/>
        <w:tblInd w:w="0" w:type="dxa"/>
        <w:tblLayout w:type="fixed"/>
        <w:tblCellMar>
          <w:top w:w="28" w:type="dxa"/>
          <w:left w:w="28" w:type="dxa"/>
          <w:bottom w:w="28" w:type="dxa"/>
          <w:right w:w="28" w:type="dxa"/>
        </w:tblCellMar>
      </w:tblPr>
      <w:tblGrid>
        <w:gridCol w:w="1463"/>
        <w:gridCol w:w="1283"/>
        <w:gridCol w:w="1290"/>
        <w:gridCol w:w="669"/>
        <w:gridCol w:w="638"/>
        <w:gridCol w:w="619"/>
        <w:gridCol w:w="109"/>
        <w:gridCol w:w="109"/>
        <w:gridCol w:w="109"/>
        <w:gridCol w:w="812"/>
        <w:gridCol w:w="2542"/>
        <w:gridCol w:w="562"/>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2023</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692,473 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14.54 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586,316 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11.74 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(128,399)</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35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21.53 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June 30, 2024</w:t>
            </w:r>
          </w:p>
        </w:tc>
        <w:tc>
          <w:tcPr>
            <w:tcW w:w="13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1,150,390 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12.80 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three months ended June 30, 2024 and 2023, the Company recognized $0.8 million and $5.2 million, respectively, in equity-based compensation costs. For six months ended June 30, 2024 and 2023, the Company recognized $4.8 million and $8.6 million, respectively, in equity-based compensation costs. At June 30, 2024, the Company had $26.7 million of unrecognized compensation costs related to RSUs and PSUs, which are expected to be recognized over 2.2 years each.</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Deferred Compensation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May 21, 2024, the Human Capital Committee (the “Committee”) of the Board of Directors (the “Board”) of Array Technologies, Inc. adopted the Array Tech, Inc. Deferred Compensation Plan (the “Plan”). The Plan is a non-qualified deferred compensation plan intended to comply with Section 409A of the Internal Revenue Code of 1986, as amended (the “Code”). Participation in the Plan is voluntary and is currently available to U.S. employees of the Company and its subsidiaries at the level of Vice President and above.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Plan allows participants to defer up to 50% of their base salary and/or up to 100% of their cash incentive compensation. There is no maximum dollar limit on the amount that may be deferred by a participant in any year.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addition, the Company will make a matching contribution to the Plan in respect of cash compensation that could not be recognized under the Company’s 401(k) plan due to the Code Section 401(a)(17) compensation limit ($0.3 million for 2024). The Plan matching contribution will be equal to the matching contribution for the Company’s 401(k) plan for the applicable year. Under the terms of the Plan, the Company may also provide discretionary contributions to participants annually as determined by the Committee. The participants are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vested in the amount they defer, and any Company contributions will vest fully on the second anniversary of the date on which the Company contribution was made.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Compensation deferred pursuant to the Plan, along with any Company contributions to the Plan, may be invested by participants in various investment fund vehicles, which mirror the investment fund vehicles offered to participants as part of the Company’s 401(k) plan.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Compensation deferred pursuant to the Plan will be distributed in accordance with elections made by the participant. Participants may elect to receive distributions upon a separation from service or a specified date in the form of a lump sum payment or annual installment payments for up to ten years, for distributions following a separation from service, or five years, for distributions upon a specified date. Compensation deferred pursuant to the Plan may also be distributed in the form of a lump sum benefit in the event of the participant’s death, disability, or unforeseeable emergency that results in “severe financial hardship,” as contemplated by Section 409A of the Code.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Plan does not require the Company to establish any trust, escrow account, or other mechanism to hold the participant deferrals and Company contributions. The obligations of the Company under the Plan are general unsecured obligations.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may amend the Plan at any time, except that no such amendment or termination may adversely affect a participant’s right with respect to the amount of the participant’s accounts as of the date of such amendment or termination. The Company may terminate the Plan at any time, in accordance with the requirements of Section 409A of the Code, and pay the participants their vested amounts in a single lump sum or on a schedule determined by the Committee.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14    Segment Reporting</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ASC 280 </w:t>
      </w:r>
      <w:r>
        <w:rPr>
          <w:rFonts w:ascii="Arial;sans-serif" w:hAnsi="Arial;sans-serif"/>
          <w:b w:val="false"/>
          <w:i/>
          <w:color w:val="000000"/>
          <w:sz w:val="22"/>
        </w:rPr>
        <w:t>Segment Reporting</w:t>
      </w:r>
      <w:r>
        <w:rPr>
          <w:color w:val="000000"/>
        </w:rPr>
        <w:t xml:space="preserve"> </w:t>
      </w:r>
      <w:r>
        <w:rPr>
          <w:rFonts w:ascii="Arial;sans-serif" w:hAnsi="Arial;sans-serif"/>
          <w:b w:val="false"/>
          <w:color w:val="000000"/>
          <w:sz w:val="22"/>
        </w:rPr>
        <w:t>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and reportable segment. Concurrent with the acquisition of STI in January 2022, the Company began operating as two segments; Array Legacy Operations and STI Operations.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provides a reconciliation of certain financial information for the Company’s reportable segments to information presented in its condensed consolidated financial statements for the three and six months ended June 30, 2024 and 2023 (in thousands):</w:t>
      </w:r>
    </w:p>
    <w:tbl>
      <w:tblPr>
        <w:tblW w:w="9095" w:type="dxa"/>
        <w:jc w:val="left"/>
        <w:tblInd w:w="0" w:type="dxa"/>
        <w:tblLayout w:type="fixed"/>
        <w:tblCellMar>
          <w:top w:w="28" w:type="dxa"/>
          <w:left w:w="28" w:type="dxa"/>
          <w:bottom w:w="28" w:type="dxa"/>
          <w:right w:w="28" w:type="dxa"/>
        </w:tblCellMar>
      </w:tblPr>
      <w:tblGrid>
        <w:gridCol w:w="932"/>
        <w:gridCol w:w="820"/>
        <w:gridCol w:w="827"/>
        <w:gridCol w:w="251"/>
        <w:gridCol w:w="1051"/>
        <w:gridCol w:w="121"/>
        <w:gridCol w:w="121"/>
        <w:gridCol w:w="121"/>
        <w:gridCol w:w="121"/>
        <w:gridCol w:w="251"/>
        <w:gridCol w:w="1051"/>
        <w:gridCol w:w="121"/>
        <w:gridCol w:w="109"/>
        <w:gridCol w:w="109"/>
        <w:gridCol w:w="109"/>
        <w:gridCol w:w="230"/>
        <w:gridCol w:w="962"/>
        <w:gridCol w:w="110"/>
        <w:gridCol w:w="110"/>
        <w:gridCol w:w="110"/>
        <w:gridCol w:w="110"/>
        <w:gridCol w:w="230"/>
        <w:gridCol w:w="962"/>
        <w:gridCol w:w="156"/>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185,160 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345,261 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650,465 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70,606 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162,464 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109,628 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234,033 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255,766 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507,725 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409,169 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884,498 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77,306 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102,950 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182,785 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43,452 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146,402 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141,043 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243,942 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Management’s Discussion and Analysis of Financial Condition and Results of Operations </w:t>
      </w:r>
    </w:p>
    <w:p>
      <w:pPr>
        <w:pStyle w:val="TextBody"/>
        <w:bidi w:val="0"/>
        <w:spacing w:lineRule="auto" w:line="276" w:before="0" w:after="0"/>
        <w:jc w:val="both"/>
        <w:rPr>
          <w:rFonts w:ascii="Arial;sans-serif" w:hAnsi="Arial;sans-serif"/>
          <w:b w:val="false"/>
          <w:i/>
          <w:color w:val="000000"/>
          <w:sz w:val="22"/>
        </w:rPr>
      </w:pPr>
      <w:r>
        <w:rPr>
          <w:rFonts w:ascii="Arial;sans-serif" w:hAnsi="Arial;sans-serif"/>
          <w:b w:val="false"/>
          <w:i/>
          <w:color w:val="000000"/>
          <w:sz w:val="22"/>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2023, and the related Management’s Discussion and Analysis of Financial Condition and Results of Operations included in our Annual Report on Form 10-K for the year ended December 31, 2023 (“2023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2023 Annual Report.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CAUTIONARY NOTE REGARDING 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typically generate more energy and deliver a lower Levelized Cost of Energy (“LCOE”) than projects that use “fixed tilt” mounting systems, which do not move. The vast majority of ground mounted solar systems in the U.S. use trackers.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STI in January of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sell our products to engineering, procurement and construction firms (“EPCs”) that build solar energy projects and to large solar developers, independent power producers and utilities, often under master supply agreements or multi-year procurement contracts. During the six months ended June 30, 2024, we derived 72% and 28% of our revenues from customers in the U.S. and the rest of the world, respectively. As of June 30, 2024, we had shipped more than 77.4 gigawatts of trackers to customers worldwide.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corporate headquarters are located in Albuquerque, New Mexico. As of June 30, 2024, we had 1,013 full-time employees.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incurs research and development (“R&amp;D”) costs during its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The Company expenses these costs as incurred prior to a respective product being ready for commercial production. Total engineering expense was $4.1 million and $4.3 million during the three months ended June 30, 2024 and 2023, respectively, of which $1.8 million and $2.3 million were related to R&amp;D activities performed by the Company during the same period, respectively. Total engineering expense was $8.3 million and $8.2 million during the six months ended June 30, 2024 and 2023, respectively, of which $3.7 million and $4.4 million were related to R&amp;D activities performed by the Company during the same period, respectively.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Acquisition of STI Norland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11, 2022, we completed our acquisition of STI, which resulted in the Company owning 100% of the equity interests in STI. Similar to Array Legacy operations, STI generates revenue through the design, manufacture and sale of its utility-scale solar tracker systems to customers in global markets that include Spain, Brazil, the U.S. and South Africa. The integration of STI has allowed us to accelerate our international expansion and better address rising global demand for utility-scale solar projects, particularly in developing countries in Latin America and Africa.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Reversal of Out-of-Period Adjustment Recorded During 2023 Interim Periods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 and Put Option</w:t>
      </w:r>
    </w:p>
    <w:p>
      <w:pPr>
        <w:pStyle w:val="TextBody"/>
        <w:bidi w:val="0"/>
        <w:spacing w:lineRule="auto" w:line="300" w:before="0" w:after="0"/>
        <w:jc w:val="both"/>
        <w:rPr/>
      </w:pPr>
      <w:r>
        <w:rPr>
          <w:rFonts w:ascii="Arial;sans-serif" w:hAnsi="Arial;sans-serif"/>
          <w:b w:val="false"/>
          <w:color w:val="000000"/>
          <w:sz w:val="22"/>
        </w:rPr>
        <w:t xml:space="preserve">During the three months ended December 31, 2023, the Company consulted with the staff of the Office of the Chief Accountant of the SEC, and after consultation with the staff, the Company concluded that the change from its historical accounting treatment for its Capped Calls and its Put Option that were made during the three months ended March 31, 2023, was not required. As a result, the Company has chosen to revert to its historical accounting and reverse the initial cumulative catch-up recorded during the three months ended March 31, 2023. as well as any subsequent fair value adjusting entries recorded during the interim periods in 2023. See </w:t>
      </w:r>
      <w:hyperlink w:anchor="i0cc77f0de86b435a9adf658793e064b9_37">
        <w:r>
          <w:rPr>
            <w:rStyle w:val="InternetLink"/>
            <w:rFonts w:ascii="Arial;sans-serif" w:hAnsi="Arial;sans-serif"/>
            <w:b w:val="false"/>
            <w:color w:val="0000FF"/>
            <w:sz w:val="22"/>
            <w:u w:val="single"/>
          </w:rPr>
          <w:t>Note 2 – Summary of Significant Accounting Policies</w:t>
        </w:r>
      </w:hyperlink>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Factors Affecting Results of Operations</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Project Timing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has been affected by a number of factors including: </w:t>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Weather</w:t>
      </w:r>
      <w:r>
        <w:rPr>
          <w:rFonts w:ascii="Arial;sans-serif" w:hAnsi="Arial;sans-serif"/>
          <w:b w:val="false"/>
          <w:color w:val="000000"/>
          <w:sz w:val="22"/>
        </w:rPr>
        <w:t xml:space="preserve">. Inclement weather can affect our customers’ ability to install their systems, particularly in the northeastern United States and in Europe. In addition, weather delays can adversely affect our logistics and operations by causing delays in the shipping and delivery of our materials.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The interest rate environment</w:t>
      </w:r>
      <w:r>
        <w:rPr>
          <w:rFonts w:ascii="Arial;sans-serif" w:hAnsi="Arial;sans-serif"/>
          <w:b w:val="false"/>
          <w:color w:val="000000"/>
          <w:sz w:val="22"/>
        </w:rPr>
        <w:t xml:space="preserve">. As interest rates have risen, we have seen customers looking to renegotiate power purchase agreements to improve project returns. Any unexpected or protracted negotiation can cause installation delays and delay our ability to recognize revenue relating to the relevant projects. In addition, we have had customers delay planned installations in anticipation of interest reductions and more favorable project financing conditions later in 2024.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Uncertainty regarding potential tariffs. </w:t>
      </w:r>
      <w:r>
        <w:rPr>
          <w:rFonts w:ascii="Arial;sans-serif" w:hAnsi="Arial;sans-serif"/>
          <w:b w:val="false"/>
          <w:color w:val="000000"/>
          <w:sz w:val="22"/>
        </w:rPr>
        <w:t>On April 24, 2024, the American Alliance for Solar Manufacturing Trade Committee, an ad hoc coalition of domestic producers of CSPV cells and modules, filed a petition with the USDOC and the U.S. International Trade Commission (the “USITC”) seeking the imposition of AD/CVD tariffs on imports of CSPV cells and modules from Cambodia, Malaysia, Thailand and Vietnam. The USITC made a preliminary affirmative determination on June 7, 2024, and the USDOC is expected to make its preliminary determination in November of 2024. As a result of these preliminary and expected preliminary determinations, we have had customers determine to pre-emptively change panel selection or plan on project delays in consideration of a potential panel selection change. Once the impact of any potential tariffs is clear, customers can better understand their impact on panel costs and can make relevant timing decisions for specific projects.</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Availability of necessary equipment</w:t>
      </w:r>
      <w:r>
        <w:rPr>
          <w:rFonts w:ascii="Arial;sans-serif" w:hAnsi="Arial;sans-serif"/>
          <w:b w:val="false"/>
          <w:color w:val="000000"/>
          <w:sz w:val="22"/>
        </w:rPr>
        <w:t>. We have a broad portfolio of customer relationships including presence with every Tier 1 utility in the United States. Each utility has unique specifications for access to its grid, which is generally not consistent across the industry. As the supply of renewables projects has increased, severe shortages and long lead-times in the supply of switches, transformers and HV breakers used in the interconnection of utility scale solar power plants to the grid, has affected the timing and completion of these projects, including for some of our customers.</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Macroeconomic factors. </w:t>
      </w:r>
      <w:r>
        <w:rPr>
          <w:rFonts w:ascii="Arial;sans-serif" w:hAnsi="Arial;sans-serif"/>
          <w:b w:val="false"/>
          <w:color w:val="000000"/>
          <w:sz w:val="22"/>
        </w:rPr>
        <w:t xml:space="preserve">There has been a rapid depreciation of the Brazilian Real in conjunction with existing pricing pressures on energy in the Brazilian market. Due to these dynamics, the economic cases for the power purchase agreements, or PPAs, for many solar projects have become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attractive for our customers. Many of the developers of these projects are now signaling delays as they renegotiate the pricing of these PPAs.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Local permitting</w:t>
      </w:r>
      <w:r>
        <w:rPr>
          <w:rFonts w:ascii="Arial;sans-serif" w:hAnsi="Arial;sans-serif"/>
          <w:b w:val="false"/>
          <w:color w:val="000000"/>
          <w:sz w:val="22"/>
        </w:rPr>
        <w:t xml:space="preserve">. If our customers cannot receive permitting for their projects, they are unable to begin and ultimately complete them in a timely manner. A dramatic increase in solar and battery storage sites has increased the average permitting time in many geographies in which our customers operate.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Impact of IRA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solar power is cost-competitive with conventional forms of generation in many U.S. states even without the ITC, we believe step-downs in the ITC have influenced the timing and quantity of some customers’ orders. With the passage of the Inflation Reduction Act (“IRA”) in August 2022, the ITC was raised to 30% with no step downs before 2032. Accordingly, we do not anticipate the ITC rate to impact our seasonality during that timeframe.</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45X Credit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After a period of uncertainty, in December the IRS published proposed regulations on 45X manufacturing credit benefits that largely confirmed our previous understanding around the eligibility of our torque tube. Beginning in late 2023 and continuing into 2024, we have and continue to successfully negotiate agreements with key suppliers around 45X manufacturing credit benefits associated with the torque tube.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six months ended June 30, 2024, we entered into vendor rebate agreements pertaining to additional parts we concluded qualify as structural fasteners in accordance with the IRC 45X Advanced Manufacturing Production Credit. We are pursuing initiatives to obtain further clarity regarding the eligibility of additional parts that qualify for the 45X Manufacturing Credit in conjunction with negotiating the split of the 45X benefits with suppliers for parts we do not manufacture internally.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Domestic Content Safe Harbor Guidance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 percentages. Notice 2024-41 and the elective safe harbor described therein has clarified some pre-existing uncertainty in the industry from Notice 2023-38, , but it has also introduced uncertainty of its own regarding issues such as what qualifies as a “fastener.” These uncertainties have and could continue to cause our customers to delay projects as they navigate the existing guidance in qualifying for the tax credit and possibly wait for further clarity.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Structured Cost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Attacks on Shipping in the Red Sea</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disruption of container shipping traffic through the Red Sea has created port congestion, especially in Asia, affecting transit times, capacity, and shipping costs for routes connecting the rest of the world with Asia.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 supply chain strategies, as to reduce any negative impact on our business, financial condition, and results of operations.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pressures persist and may continue to negatively impact our results of operations. To mitigate the inflationary pressures on our business, despite our ASPs decreasing due to the current deflationary environment for commodities like steel, we have continued to accelerate our productivity initiatives, expanded our supplier base, and continued to execute on our overhead cost containment practices.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AD/CVD Petitions and Determinations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United States currently imposes antidumping and countervailing duties (“AD/CVD”) on certain imported crystalline silicon PV(“CSPV”) cells and modules from China and Taiwan. Such AD/CVD can change over time pursuant to annual reviews conducted by the U.S. Department of Commerce (“USDOC”). In August 2023, the USDOC issued final affirmative circumvention rulings, finding that solar panels completed in Cambodia, Malaysia, Thailand, and Vietnam using parts and components produced in China circumvent the pre-existing AD/CVD orders on China. 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 and effective enforcement of the AD/CVD orders could negatively impact our results of operations.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More broadly, legislation has been proposed that would make it easier for domestic companies to obtain affirmative determinations in antidumping and countervailing duty investigations. The proposed USICA/America COMPETES Act, if enacted, could result in future successful petitions that limit imports from Asia and other regions.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Our operating results could be adversely impacted if the USDOC imposes duties on such imports. We continue to monitor developments in the above petition and investigation processes and work to mitigate their impact on our supply chain, but if we are unable to do so, the imposition of AD/CVD orders could negatively impact our business, financial condition, and results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possibility of additional tariffs and duties in the future like those described above has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Performance Measures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 shipped from period to period. MWs are measured for each individual project and are calculated based on the respective project’s expected megawatt output once installed and fully operational.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Key Components of Our Results of Operations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discussion describes certain line items in our consolidated statements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generate revenue from the sale of solar tracking systems,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and availability of government incentives to the end-users of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pStyle w:val="TextBody"/>
        <w:bidi w:val="0"/>
        <w:spacing w:before="0" w:after="0"/>
        <w:ind w:left="0" w:right="0" w:firstLine="55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Cost of revenue consists primarily of product costs, including raw materials, purchased components,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 modify our production schedules and processes to mitigate the impact of these disruptions and cost increases on our margins. We do not currently hedge against changes in the price of our raw materials.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Gross profit may vary from quarter to quarter and is primarily affected by our volume, ASPs, product costs, project mix, customer mix, geographical mix, commodity prices, logistics rates, warranty costs, and seasonality.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 Reduction Act Vendor Rebates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We have, and will continue to, enter into arrangements with manufacturing vendors that produce 45X Credit eligible parts, in which the vendors agree to share a portion of the benefit received related to our purchases, in the form of “Vendor Rebates”.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account for these Vendor Rebates as a reduction of the purchase prices of the vendors’ products and therefore a reduction in the cost of inventory until the inventory is sold, at which time we recognize such rebates as a reduction of cost of revenues on the condensed consolidated statements of operations. Rebates related to purchases that were made prior to the execution of the agreements are deferred and recognized as a reduction of the prices of future purchases.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 Reduction Act 45X Credits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three months ended June 30, 2024, the Company concluded that certain parts manufactured by the Company qualify for the 45X Advanced Manufacturing Production Credits. As a result, the Company recorded it an immaterial cumulative catch-up for 45X Advanced Manufacturing Production Credits related to torque tubes manufactured by the Company and sold from January 1, 2023 through March 31,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General and administrative expense consists primarily of salaries, benefits, and equity-based compensation related to our executive, sales, engineering, finance, human resources, information technology, and legal personnel, as well as travel, facility costs, marketing, bad debt provision, and professional fees. The majority of our sales in the first quarter of 2024 and 2023, were in the U.S.; however, in January 2022, we expanded our international operations with the STI Acquisition. We currently have a sales presence in the U.S., Spain, Brazil, South Africa, Australia, and the U.K. We intend to continue to expand our sales presence and marketing efforts to additional countries.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Contingent consideration consists of the changes in fair value of the tax receivable agreement (“TRA”) entered into with a former indirect stockholder, concurrent with the acquisition of Patent LLC by Former Parent. The TRA liability was recorded at fair value as of July 8, 2016 (the “Patent Acquisition Date”) and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pPr>
      <w:r>
        <w:rPr>
          <w:rFonts w:ascii="Arial;sans-serif" w:hAnsi="Arial;sans-serif"/>
          <w:b w:val="false"/>
          <w:color w:val="000000"/>
          <w:sz w:val="22"/>
        </w:rPr>
        <w:t xml:space="preserve">changes in the fair value are recognized in earnings. For discussion and analysis of the TRA see </w:t>
      </w:r>
      <w:hyperlink w:anchor="i0cc77f0de86b435a9adf658793e064b9_64">
        <w:r>
          <w:rPr>
            <w:rStyle w:val="InternetLink"/>
            <w:rFonts w:ascii="Arial;sans-serif" w:hAnsi="Arial;sans-serif"/>
            <w:b w:val="false"/>
            <w:color w:val="0000FF"/>
            <w:sz w:val="22"/>
            <w:u w:val="single"/>
          </w:rPr>
          <w:t>Note 11 – Commitments and Contingencies</w:t>
        </w:r>
      </w:hyperlink>
      <w:r>
        <w:rPr>
          <w:rFonts w:ascii="Arial;sans-serif" w:hAnsi="Arial;sans-serif"/>
          <w:b w:val="false"/>
          <w:color w:val="000000"/>
          <w:sz w:val="22"/>
        </w:rPr>
        <w: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Amortization consists of the expense recognized over the expected period of use of our customer relationships, contractual backlog, and STI trade name intangible assets. Amortization related to certain acquired intangible assets is recorded as Total cost of revenue under the caption "Amortization of developed technology".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Non-Operating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income consists of interest earned on our cash and cash equivalents balance.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expense consists of interest and other charges paid in connection with our Senior Secured Credit Facility, the Convertible Notes, and Other Debt held by our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U.S. federal, state and non-U.S. income taxes. As we expand into additional foreign markets, we may be subject to additional foreign tax.</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Reportable Segments</w:t>
      </w:r>
    </w:p>
    <w:p>
      <w:pPr>
        <w:pStyle w:val="TextBody"/>
        <w:bidi w:val="0"/>
        <w:spacing w:lineRule="auto" w:line="300" w:before="0" w:after="0"/>
        <w:jc w:val="both"/>
        <w:rPr/>
      </w:pPr>
      <w:r>
        <w:rPr>
          <w:rFonts w:ascii="Arial;sans-serif" w:hAnsi="Arial;sans-serif"/>
          <w:b w:val="false"/>
          <w:color w:val="000000"/>
          <w:sz w:val="22"/>
        </w:rPr>
        <w:t xml:space="preserve">Subsequent to the acquisition of STI, the Company began reporting its results of operations in two segments; the Array Legacy operating segment and the newly acquired STI Legacy operating segment (“STI Legacy Operations”) pertaining to legacy STI operations. The segment amounts included in this </w:t>
      </w:r>
      <w:hyperlink w:anchor="i0cc77f0de86b435a9adf658793e064b9_79">
        <w:r>
          <w:rPr>
            <w:rStyle w:val="InternetLink"/>
            <w:rFonts w:ascii="Arial;sans-serif" w:hAnsi="Arial;sans-serif"/>
            <w:b w:val="false"/>
            <w:color w:val="0000FF"/>
            <w:sz w:val="22"/>
            <w:u w:val="single"/>
          </w:rPr>
          <w:t>Item 2. Management’s Discussion and Analysis</w:t>
        </w:r>
      </w:hyperlink>
      <w:r>
        <w:rPr>
          <w:color w:val="000000"/>
        </w:rPr>
        <w:t xml:space="preserve"> </w:t>
      </w:r>
      <w:r>
        <w:rPr>
          <w:rFonts w:ascii="Arial;sans-serif" w:hAnsi="Arial;sans-serif"/>
          <w:b w:val="false"/>
          <w:color w:val="000000"/>
          <w:sz w:val="22"/>
        </w:rPr>
        <w:t xml:space="preserve">are presented on a basis consistent with our internal management reporting. Additional information on our reportable segments is contained in </w:t>
      </w:r>
      <w:hyperlink w:anchor="i0cc77f0de86b435a9adf658793e064b9_73">
        <w:r>
          <w:rPr>
            <w:rStyle w:val="InternetLink"/>
            <w:rFonts w:ascii="Arial;sans-serif" w:hAnsi="Arial;sans-serif"/>
            <w:b w:val="false"/>
            <w:color w:val="0000FF"/>
            <w:sz w:val="22"/>
            <w:u w:val="single"/>
          </w:rPr>
          <w:t>Note 14 – Segment Reporting</w:t>
        </w:r>
      </w:hyperlink>
      <w:r>
        <w:rPr>
          <w:color w:val="000000"/>
        </w:rPr>
        <w:t xml:space="preserve"> </w:t>
      </w:r>
      <w:r>
        <w:rPr>
          <w:rFonts w:ascii="Arial;sans-serif" w:hAnsi="Arial;sans-serif"/>
          <w:b w:val="false"/>
          <w:color w:val="000000"/>
          <w:sz w:val="22"/>
        </w:rPr>
        <w:t>in the accompanying notes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Results of Operations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sets forth our consolidated statement of operations (dollars in thousands):</w:t>
      </w:r>
    </w:p>
    <w:tbl>
      <w:tblPr>
        <w:tblW w:w="13445" w:type="dxa"/>
        <w:jc w:val="left"/>
        <w:tblInd w:w="0" w:type="dxa"/>
        <w:tblLayout w:type="fixed"/>
        <w:tblCellMar>
          <w:top w:w="28" w:type="dxa"/>
          <w:left w:w="28" w:type="dxa"/>
          <w:bottom w:w="28" w:type="dxa"/>
          <w:right w:w="28" w:type="dxa"/>
        </w:tblCellMar>
      </w:tblPr>
      <w:tblGrid>
        <w:gridCol w:w="829"/>
        <w:gridCol w:w="320"/>
        <w:gridCol w:w="322"/>
        <w:gridCol w:w="226"/>
        <w:gridCol w:w="946"/>
        <w:gridCol w:w="109"/>
        <w:gridCol w:w="109"/>
        <w:gridCol w:w="109"/>
        <w:gridCol w:w="109"/>
        <w:gridCol w:w="226"/>
        <w:gridCol w:w="946"/>
        <w:gridCol w:w="109"/>
        <w:gridCol w:w="109"/>
        <w:gridCol w:w="109"/>
        <w:gridCol w:w="109"/>
        <w:gridCol w:w="226"/>
        <w:gridCol w:w="961"/>
        <w:gridCol w:w="109"/>
        <w:gridCol w:w="109"/>
        <w:gridCol w:w="109"/>
        <w:gridCol w:w="109"/>
        <w:gridCol w:w="329"/>
        <w:gridCol w:w="332"/>
        <w:gridCol w:w="301"/>
        <w:gridCol w:w="109"/>
        <w:gridCol w:w="109"/>
        <w:gridCol w:w="109"/>
        <w:gridCol w:w="226"/>
        <w:gridCol w:w="946"/>
        <w:gridCol w:w="109"/>
        <w:gridCol w:w="109"/>
        <w:gridCol w:w="109"/>
        <w:gridCol w:w="109"/>
        <w:gridCol w:w="226"/>
        <w:gridCol w:w="946"/>
        <w:gridCol w:w="109"/>
        <w:gridCol w:w="109"/>
        <w:gridCol w:w="109"/>
        <w:gridCol w:w="109"/>
        <w:gridCol w:w="226"/>
        <w:gridCol w:w="961"/>
        <w:gridCol w:w="109"/>
        <w:gridCol w:w="109"/>
        <w:gridCol w:w="109"/>
        <w:gridCol w:w="109"/>
        <w:gridCol w:w="328"/>
        <w:gridCol w:w="333"/>
        <w:gridCol w:w="346"/>
      </w:tblGrid>
      <w:tr>
        <w:trPr/>
        <w:tc>
          <w:tcPr>
            <w:tcW w:w="8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884,498 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640,556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(372,430)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from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(loss) income,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(loss) gain,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net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before income tax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(45,393)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(66,937)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v:textbox>
                <w10:wrap type="none"/>
              </v:rect>
            </w:pict>
          </mc:Fallback>
        </mc:AlternateContent>
      </w:r>
    </w:p>
    <w:p>
      <w:pPr>
        <w:pStyle w:val="TextBody"/>
        <w:bidi w:val="0"/>
        <w:spacing w:before="120" w:after="120"/>
        <w:jc w:val="both"/>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provides details on our operating results by reportable segment for the respective periods (dollars in thousands):</w:t>
      </w:r>
    </w:p>
    <w:tbl>
      <w:tblPr>
        <w:tblW w:w="12695" w:type="dxa"/>
        <w:jc w:val="left"/>
        <w:tblInd w:w="0" w:type="dxa"/>
        <w:tblLayout w:type="fixed"/>
        <w:tblCellMar>
          <w:top w:w="28" w:type="dxa"/>
          <w:left w:w="28" w:type="dxa"/>
          <w:bottom w:w="28" w:type="dxa"/>
          <w:right w:w="28" w:type="dxa"/>
        </w:tblCellMar>
      </w:tblPr>
      <w:tblGrid>
        <w:gridCol w:w="434"/>
        <w:gridCol w:w="382"/>
        <w:gridCol w:w="385"/>
        <w:gridCol w:w="226"/>
        <w:gridCol w:w="946"/>
        <w:gridCol w:w="109"/>
        <w:gridCol w:w="109"/>
        <w:gridCol w:w="109"/>
        <w:gridCol w:w="109"/>
        <w:gridCol w:w="226"/>
        <w:gridCol w:w="946"/>
        <w:gridCol w:w="109"/>
        <w:gridCol w:w="109"/>
        <w:gridCol w:w="109"/>
        <w:gridCol w:w="109"/>
        <w:gridCol w:w="226"/>
        <w:gridCol w:w="961"/>
        <w:gridCol w:w="109"/>
        <w:gridCol w:w="109"/>
        <w:gridCol w:w="109"/>
        <w:gridCol w:w="109"/>
        <w:gridCol w:w="210"/>
        <w:gridCol w:w="211"/>
        <w:gridCol w:w="301"/>
        <w:gridCol w:w="109"/>
        <w:gridCol w:w="109"/>
        <w:gridCol w:w="109"/>
        <w:gridCol w:w="226"/>
        <w:gridCol w:w="946"/>
        <w:gridCol w:w="109"/>
        <w:gridCol w:w="109"/>
        <w:gridCol w:w="109"/>
        <w:gridCol w:w="109"/>
        <w:gridCol w:w="226"/>
        <w:gridCol w:w="946"/>
        <w:gridCol w:w="109"/>
        <w:gridCol w:w="109"/>
        <w:gridCol w:w="109"/>
        <w:gridCol w:w="109"/>
        <w:gridCol w:w="226"/>
        <w:gridCol w:w="961"/>
        <w:gridCol w:w="109"/>
        <w:gridCol w:w="109"/>
        <w:gridCol w:w="109"/>
        <w:gridCol w:w="109"/>
        <w:gridCol w:w="210"/>
        <w:gridCol w:w="211"/>
        <w:gridCol w:w="346"/>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884,498 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(102,899)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Comparison of the three months ended June 30, 2024 and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Revenue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decreased $252.0 million, or 50%, driven by a decrease in Array Legacy Operations of 46% and STI Operations of 57%.</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$160.1 million, or 46%, revenue decrease in Array Legacy Operations was driven by a decrease in the number of megawatts shipped, due primarily to project delays from our customers and an ASP decrease on lower input costs per watt.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$91.9 million, or 57%, revenue decrease in STI Operations was driven by a decrease in the number of megawatts shipped, largely due to a year-over-year shift from larger utility-scale projects to smaller distributed generation projects and an ASP decrease due to a smaller percentage of projects with construction services.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by $191.5 million, or 53%, driven primarily by a reduction in revenue combined with lower input costs per watt resulting from commodities coupled with supply chain and engineering cost out initiatives and the realization of 45X benefits associated with torque tubes and structural fasteners.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gross profit decreased by $60.4 million, or 41%. As a percentage of revenue, consolidated gross profit increased to 34% for the three months ended June 30, 2024, as compared to 29% during the same period in the prior year.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Legacy Operations gross profit decreased by $25.6 million, or 25%. As a percentage of revenue, gross profit increased to 42% from 30% for the three months ended June 30, 2024 and 2023, respectively. The increase in gross profit as a percent of revenue was driven by continued performance of our core gross margins, enhanced by the realization of 45X benefits associated with torque tubes and structural fasteners.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decreased by $34.8 million, or 80%. As a percentage of revenue, gross profit for STI Operations decreased to 12% from 27% for the three months ended June 30, 2024 and 2023, respectively, driven primarily by higher costs of locally sourced material to support on-time delivery for customers.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general and administrative expenses decreased by $3.3 million, or 8%. The decrease was primarily due to a change in estimate related to performance-based equity compensation and lower professional and consulting fees as a result of our initiative to reduce fees and internalize activities that were historically outsourced, more than offsetting incremental recruiting costs, and incremental severance costs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 in the fair value of contingent consideration resulted in a loss of $0.5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depreciation and amortization decreased by $0.3 million or 4%, effectively flat when compared to the same period in the prior year.</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Interest Income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income increased by $3.3 million, or 226%, due to higher cash on hand during the second quarter of 2024, coupled with higher interest rates.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Interest Expense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expense decreased by $3.0 million, or 26%, primarily due to impact of the $74.3 million of principal pay downs on our Term Loan during 2023. These pay downs were the result of focused efforts to decrease our outstanding debt balance with free cash flows from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Income Tax Expense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income tax decreased by $13.5 million, or 63%. The Company recorded income tax expense of $7.8 million for the three months ended June 30, 2024, compared to income tax expense of $21.4 million for the three months ended June 30, 2023. Our effective tax rate was 23.3% for the three months ended June 30, 2024, and 24.7% for the three months ended June 30, 2023. The tax expense for the three months ended June 30, 2024, was impacted by legislation in Brazil which resulted in a local tax incentive no longer being exempt from federal income tax beginning in 2024. Additionally, tax expense of $0.1 million was recorded discretely related to equity-based compensation. The tax expense for the three months ended June 30, 2023, was unfavorably impacted by higher income reported in non-U.S. jurisdictions, partially offset by benefits related to excess stock compensation deductions of $0.8 million recorded discretely during the quarter.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Comparison of the six months ended June 30, 2024 and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Revenue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decreased, $475.3 million, or 54%, driven by a decrease at Array Legacy Operations of $350.9 million and a decrease at STI Operations of $124.4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$350.9 million, or 54%, revenue decrease at Array Legacy Operations was driven by a decrease in the number of megawatts shipped and an ASP decrease due to lower input costs per watt.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$124.4 million, or 53%, revenue decrease at STI Operations was driven by a decrease in the number of megawatts shipped, largely due to a year-over-year shift from larger utility-scale projects to smaller distributed generation projects and an ASP decrease due to a smaller percentage of projects with construction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by $372.4 million, or 58%, driven primarily by a reduction in revenue combined with lower input costs per watt resulting from commodities coupled with supply chain and engineering cost out initiatives and the realization of 45X benefits associated with torque tubes and structural fasteners.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gross profit decreased by $102.9 million, or 42%. As a percentage of revenue, consolidated gross profit increased to 34% for the six months ended June 30, 2024, as compared to 28% during the same period in the prior year.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Array Legacy Operations gross profit decreased by $56.4 million, or 31%. As a percentage of revenue, gross profit at Array Legacy Operations increased to 42% from 28% for the six months ended June 30, 2024 and 2023, respectively. The increase in gross profit as a percent of revenue was primarily driven by the realization of 45X benefits associated with torque tubes and structural fasteners. The Company also recognized a one-time $4.0 million settlement with one of our vendors during the first quarter as a reduction of Cost of 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Operations gross profit decreased by $46.5 million, or 76%. As a percentage of revenue, gross profit for STI Operations decreased to 13% from 26% for the six months ended June 30, 2024 and 2023, respectively, driven primarily by higher costs of locally sourced material to support on-time delivery for customers.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general and administrative expenses decreased by $3.6 million, or 5%. The decrease was primarily due to a change in estimate related to performance-based equity compensation and lower professional and consulting fees as a result of our initiative to reduce fees and internalize activities that were historically outsourced, more than offsetting incremental recruiting costs, and incremental severance costs.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 in the fair value of contingent consideration resulted in a gain of $0.2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depreciation and amortization expense decreased by $1.3 million, or 7%, due to the decrease in the amortization of intangibles of $1.8 million, driven by a subset of intangible assets acquired in January 2022, becoming fully amortized during the first quarter of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Interest Income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income increased by $5.8 million, or 214%, due to higher cash on hand during the six months ended June 30, 2024, coupled with higher interest rates.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Interest Expense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expense decreased by $4.8 million, or 21%, primarily due to $74.3 million of principal pay downs on our Term Loan during 2023. These pay downs were the result of focused efforts to decrease our outstanding debt balance with free cash flows from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Income Tax Expense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income tax decreased by $20.6 million, or 69%. The Company recorded income tax expense of $9.1 million for the six months ended June 30, 2024, compared to an expense of $29.7 million for the six months ended June 30, 2023. Our effective tax rate was 24.6% and 23.8% for the six months ended June 30, 2024 and 2023, respectively. The income tax expense for the six months ended June 30, 2024, was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by legislation in Brazil which resulted in a local tax incentive no longer being exempt from federal income tax beginning in 2024. Additionally, tax expense of $0.5 million was recorded discretely related to equity-based compensation. The tax expense for the six months ended June 30, 2023, was unfavorably impacted by higher income reported in non-U.S. jurisdictions, partially offset by benefits related to excess stock compensation deductions of $1.2 million recorded discretely.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Liquidity and Capital Resources </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Divestiture of Investment in Equity Securities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June 2024, we divested 100 percent of our equity investment in preferred stock of a private company we purchased in 2021. We received $12.0 million in proceeds for the divestiture. The proceeds were received in July 2024, therefore we recorded a receivable in the amount of $12.0 million in Prepaid expenses and other on the condensed consolidated balance sheet at June 30, 2024. No gain or loss resulted from the transaction.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2"/>
        </w:rPr>
        <w:t xml:space="preserve">Cash Flows </w:t>
      </w:r>
      <w:r>
        <w:rPr>
          <w:rFonts w:ascii="Arial;sans-serif" w:hAnsi="Arial;sans-serif"/>
          <w:b w:val="false"/>
          <w:i/>
          <w:color w:val="000000"/>
          <w:sz w:val="22"/>
        </w:rPr>
        <w:t>(in thousands)</w:t>
      </w:r>
    </w:p>
    <w:tbl>
      <w:tblPr>
        <w:tblW w:w="9255" w:type="dxa"/>
        <w:jc w:val="left"/>
        <w:tblInd w:w="0" w:type="dxa"/>
        <w:tblLayout w:type="fixed"/>
        <w:tblCellMar>
          <w:top w:w="28" w:type="dxa"/>
          <w:left w:w="28" w:type="dxa"/>
          <w:bottom w:w="28" w:type="dxa"/>
          <w:right w:w="28" w:type="dxa"/>
        </w:tblCellMar>
      </w:tblPr>
      <w:tblGrid>
        <w:gridCol w:w="2273"/>
        <w:gridCol w:w="1998"/>
        <w:gridCol w:w="2004"/>
        <w:gridCol w:w="250"/>
        <w:gridCol w:w="915"/>
        <w:gridCol w:w="120"/>
        <w:gridCol w:w="120"/>
        <w:gridCol w:w="120"/>
        <w:gridCol w:w="120"/>
        <w:gridCol w:w="250"/>
        <w:gridCol w:w="915"/>
        <w:gridCol w:w="170"/>
      </w:tblGrid>
      <w:tr>
        <w:trPr/>
        <w:tc>
          <w:tcPr>
            <w:tcW w:w="227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w:t>
            </w:r>
          </w:p>
        </w:tc>
      </w:tr>
      <w:tr>
        <w:trPr/>
        <w:tc>
          <w:tcPr>
            <w:tcW w:w="6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r>
      <w:tr>
        <w:trPr/>
        <w:tc>
          <w:tcPr>
            <w:tcW w:w="627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51,459 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used in financing activities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(39,314)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(9,587)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4,447 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33,240 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22,065 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historically financed our operations primarily with the proceeds from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will be sufficient to meet our future cash needs.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June 30, 2024, our cash balance was $282.3 million, of which $45.5 million was held outside the U.S., and net working capital was $511.4 million. We had outstanding borrowings of $236.0 million under our $575 million Term Loan Facility and $184.1 million available to us under our $200 million Revolving Credit Facility.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Operating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2024, cash provided by operating activities was $51.5 million, of which $61.7 million was generated from net income as adjusted for the impact of non-cash expenses, consisting primarily of depreciation and amortization, amortization of developed technology, and equity-based compensation.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six months ended June 30, 2023, cash provided by operating activities was $66.4 million, of which $139.8 million was generated from net income as adjusted for the impact of non-cash expenses, consisting primarily of deferred tax expense, depreciation and amortization, equity-based compensation and both a $30.5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46</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million increase in accounts payable and a $22.8 million decrease in inventory. These increases were partially offset by an $81.0 million increase in accounts receivable and a $64.1 million decrease in deferred revenue.</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Investing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2024, net cash used in investing activities was $4.5 million, all of which was related to the purchase of property, plant and equipment, net of dispositions.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2023, net cash used in investing activities was $9.4 million, all of which was related to the purchase of property, plant and equipment.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Financing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2024, net cash used in financing activities was $4.1 million, driven primarily by a $12.7 million net reduction of other debt and $2.2 million in payments on our Term Loan Facility, as well as $1.4 million in TRA payments issued during the six months ended June 30,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six months ended June 30, 2023, net cash used in financing activities was $39.3 million, driven primarily by $22.2 million in payments on our Term Loan Facility and a $14.5 million net reduction of other debt.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10, 2021, we entered into a Securities Purchase Agreement (the “Securities Purchase Agreement”) with certain investors (the “Purchasers”). Pursuant to the Securities Purchase Agreement, on August 11, 2021, we issued and sold to the Purchaser 350,000 shares of a newly designated Series A Redeemable Perpetual Preferred Stock, par value $0.001 per share (the “Series A Shares”), having the powers, designations, preferences, and other rights set forth in the Certificate of Designations, and 7,098,765 shares of our common stock, par value $0.001 per share, for an aggregate purchase price of $346.0 million. Further, pursuant to the Securities Purchase Agreement, and subject to the terms and conditions set forth therein, as amended, we have issued and sold to the Purchasers 776,235 shares of common stock for an aggregate purchase price of $776.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January 2022, we issued 50,000 of Series A Shares, and 1,125,000 shares of our common stock in the Additional Closing for an aggregate purchase price of $49.4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For more information related to the Series A Shares, see </w:t>
      </w:r>
      <w:hyperlink w:anchor="i0cc77f0de86b435a9adf658793e064b9_55">
        <w:r>
          <w:rPr>
            <w:rStyle w:val="InternetLink"/>
            <w:rFonts w:ascii="Arial;sans-serif" w:hAnsi="Arial;sans-serif"/>
            <w:b w:val="false"/>
            <w:color w:val="0000FF"/>
            <w:sz w:val="22"/>
            <w:u w:val="single"/>
          </w:rPr>
          <w:t>Note 8 – Redeemable Perpetual Preferred Stock</w:t>
        </w:r>
      </w:hyperlink>
      <w:r>
        <w:rPr>
          <w:rFonts w:ascii="Arial;sans-serif" w:hAnsi="Arial;sans-serif"/>
          <w:b w:val="false"/>
          <w:color w:val="000000"/>
          <w:sz w:val="22"/>
        </w:rPr>
        <w:t>,” to the accompanying condensed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Debt Obligations </w:t>
      </w:r>
    </w:p>
    <w:p>
      <w:pPr>
        <w:pStyle w:val="TextBody"/>
        <w:bidi w:val="0"/>
        <w:spacing w:lineRule="auto" w:line="300" w:before="0" w:after="0"/>
        <w:jc w:val="both"/>
        <w:rPr/>
      </w:pPr>
      <w:r>
        <w:rPr>
          <w:rFonts w:ascii="Arial;sans-serif" w:hAnsi="Arial;sans-serif"/>
          <w:b w:val="false"/>
          <w:color w:val="000000"/>
          <w:sz w:val="22"/>
        </w:rPr>
        <w:t xml:space="preserve">For a discussion of our debt obligations see </w:t>
      </w:r>
      <w:hyperlink w:anchor="i0cc77f0de86b435a9adf658793e064b9_52">
        <w:r>
          <w:rPr>
            <w:rStyle w:val="InternetLink"/>
            <w:rFonts w:ascii="Arial;sans-serif" w:hAnsi="Arial;sans-serif"/>
            <w:b w:val="false"/>
            <w:color w:val="0000FF"/>
            <w:sz w:val="22"/>
            <w:u w:val="single"/>
          </w:rPr>
          <w:t>Note 7 – Debt</w:t>
        </w:r>
      </w:hyperlink>
      <w:r>
        <w:rPr>
          <w:color w:val="000000"/>
        </w:rPr>
        <w:t xml:space="preserve"> </w:t>
      </w:r>
      <w:r>
        <w:rPr>
          <w:rFonts w:ascii="Arial;sans-serif" w:hAnsi="Arial;sans-serif"/>
          <w:b w:val="false"/>
          <w:color w:val="000000"/>
          <w:sz w:val="22"/>
        </w:rPr>
        <w:t>to our condensed consolidated financial statements included in this Quarterly Report.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required to provide surety bonds to various parties as required for certain transactions initiated during the ordinary course of business to guarantee our performance in accordance with contractual or legal obligations. As of June 30, 2024, we posted surety bonds in the total amount of approximately $197.8 million. These off-balance sheet arrangements do not adversely impact our liquidity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Critical Accounting Policies and Significant Management Estimates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condensed consolidated financial statements are prepared in accordance with accounting principles generally accepted in the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u w:val="single"/>
        </w:rPr>
      </w:pPr>
      <w:r>
        <w:rPr>
          <w:rFonts w:ascii="Arial;sans-serif" w:hAnsi="Arial;sans-serif"/>
          <w:b w:val="false"/>
          <w:i/>
          <w:color w:val="000000"/>
          <w:sz w:val="22"/>
          <w:u w:val="single"/>
        </w:rPr>
        <w:t xml:space="preserve">Fair Value of Financial Instruments </w:t>
      </w:r>
    </w:p>
    <w:p>
      <w:pPr>
        <w:pStyle w:val="TextBody"/>
        <w:bidi w:val="0"/>
        <w:spacing w:lineRule="auto" w:line="300" w:before="0" w:after="0"/>
        <w:jc w:val="both"/>
        <w:rPr/>
      </w:pPr>
      <w:r>
        <w:rPr>
          <w:rFonts w:ascii="Arial;sans-serif" w:hAnsi="Arial;sans-serif"/>
          <w:b w:val="false"/>
          <w:color w:val="000000"/>
          <w:sz w:val="22"/>
        </w:rPr>
        <w:t xml:space="preserve">The capped call option agreements associated with conversion of the Convertible Notes (the “Capped Calls”) are accounted for as an asset that is recorded at fair value within Derivative assets in the consolidated balance sheets. The changes in fair value to Derivative assets are recorded within change in fair value of derivative assets in the Condensed Consolidated Statements of Operations. See </w:t>
      </w:r>
      <w:hyperlink w:anchor="i0cc77f0de86b435a9adf658793e064b9_34">
        <w:r>
          <w:rPr>
            <w:rStyle w:val="InternetLink"/>
            <w:rFonts w:ascii="Arial;sans-serif" w:hAnsi="Arial;sans-serif"/>
            <w:b w:val="false"/>
            <w:color w:val="0000FF"/>
            <w:sz w:val="22"/>
            <w:u w:val="single"/>
          </w:rPr>
          <w:t>Note 1 – Organization, Business and Out of Period Adjustments</w:t>
        </w:r>
      </w:hyperlink>
      <w:r>
        <w:rPr>
          <w:rFonts w:ascii="Arial;sans-serif" w:hAnsi="Arial;sans-serif"/>
          <w:b w:val="false"/>
          <w:color w:val="000000"/>
          <w:sz w:val="22"/>
        </w:rPr>
        <w:t xml:space="preserve">, and </w:t>
      </w:r>
      <w:hyperlink w:anchor="i0cc77f0de86b435a9adf658793e064b9_37">
        <w:r>
          <w:rPr>
            <w:rStyle w:val="InternetLink"/>
            <w:rFonts w:ascii="Arial;sans-serif" w:hAnsi="Arial;sans-serif"/>
            <w:b w:val="false"/>
            <w:color w:val="0000FF"/>
            <w:sz w:val="22"/>
            <w:u w:val="single"/>
          </w:rPr>
          <w:t>Note 2 – Summary of Significant Accounting Policies</w:t>
        </w:r>
      </w:hyperlink>
      <w:r>
        <w:rPr>
          <w:rFonts w:ascii="Arial;sans-serif" w:hAnsi="Arial;sans-serif"/>
          <w:b w:val="false"/>
          <w:color w:val="000000"/>
          <w:sz w:val="22"/>
        </w:rPr>
        <w:t>, of the condensed consolidated financial statements for further information regarding the accounting of these instruments.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Capped Calls are valued using a Black-Scholes model, with the most judgmental non-observable input being the volatility measure. Changes in the assumptions around the volatility can cause significant changes in the estimated fair value of the Capped Call.</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u w:val="single"/>
        </w:rPr>
      </w:pPr>
      <w:r>
        <w:rPr>
          <w:rFonts w:ascii="Arial;sans-serif" w:hAnsi="Arial;sans-serif"/>
          <w:b w:val="false"/>
          <w:i/>
          <w:color w:val="000000"/>
          <w:sz w:val="22"/>
          <w:u w:val="single"/>
        </w:rPr>
        <w:t>Goodwill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compared to a guideline publicly-traded companies (“GPC”) analysis to determine the fair value of the reporting unit.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48</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second quarter of 2024, we noted facts and circumstances around our STI Operations reporting unit Goodwill, were indicative that the fair value could be less than its carrying value. Accordingly, with the assistance of a third-party specialist, we performed the first step of the goodwill impairment test (“Step One”).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Step One impairment test consisted primarily of a DCF analysis compared to a GPC analysis to determine the fair value of the STI reporting unit. The significant assumptions used in determining the fair values primarily related to the selection of EBITDA multiples used in the GPC analysis, and the revenue growth rate, the forecasted EBITDA margin, and the selected discount rate used in the DCF model. As a result of the Step One impairment test performed, we concluded the fair value of Goodwill of the STI reporting unit was greater than its carrying value, thus the STI reporting unit was not impaired as of June 30, 2024.</w:t>
      </w:r>
    </w:p>
    <w:p>
      <w:pPr>
        <w:pStyle w:val="TextBody"/>
        <w:bidi w:val="0"/>
        <w:spacing w:before="0" w:after="0"/>
        <w:jc w:val="both"/>
        <w:rPr/>
      </w:pPr>
      <w:r>
        <w:rPr/>
      </w:r>
    </w:p>
    <w:p>
      <w:pPr>
        <w:pStyle w:val="TextBody"/>
        <w:bidi w:val="0"/>
        <w:spacing w:lineRule="auto" w:line="276" w:before="0" w:after="120"/>
        <w:jc w:val="left"/>
        <w:rPr>
          <w:rFonts w:ascii="Arial;sans-serif" w:hAnsi="Arial;sans-serif"/>
          <w:b w:val="false"/>
          <w:i/>
          <w:color w:val="000000"/>
          <w:sz w:val="22"/>
          <w:u w:val="single"/>
        </w:rPr>
      </w:pPr>
      <w:r>
        <w:rPr>
          <w:rFonts w:ascii="Arial;sans-serif" w:hAnsi="Arial;sans-serif"/>
          <w:b w:val="false"/>
          <w:i/>
          <w:color w:val="000000"/>
          <w:sz w:val="22"/>
          <w:u w:val="single"/>
        </w:rPr>
        <w:t>Long-lived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review long-lived assets, including our finite-lived intangible assets, for impairment whenever events or changes in circumstances, indicate that the carrying value of the long-lived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second quarter of 2024, we noted facts and circumstances indicated that the STI asset groups may not be recoverable, and that the carrying value may not be recoverable. We performed a recoverability test over our asset groups by comparing the sum of the estimated undiscounted future cash flows of the STI asset groups to the carrying amounts at June 30, 2024. The result of the recoverability test indicated the sum of the expected future undiscounted cash flows was greater than the carrying amount of the STI asset groups. Accordingly, we concluded the long-lived assets of STI were not impaired as of June 30, 2024.</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Adoption of New and Recently Issued Accounting Pronouncements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Refer to </w:t>
      </w:r>
      <w:hyperlink w:anchor="i0cc77f0de86b435a9adf658793e064b9_3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to our condensed consolidated financial statements for a discussion of adoption of new and recently issued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have been no material changes to the information previously provided under Item 7A. of our 2023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Evaluation of Disclosure Controls and Procedures.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also acting as interim Chief Financial Officer, to allow timely decisions regarding required disclosure.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49</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management, with the participation of our Chief Executive Officer and Chief Accounting Officer, evaluated the effectiveness of our disclosure controls and procedures as of June 30, 2024. Based upon the evaluation, our Chief Executive Officer concluded that, as of such date, our disclosure controls and procedures were not effective at a reasonable assurance level, due to the following outstanding material weakness previously reported in Part II, Item 9A. “Controls and Procedures” of our Annual Report on Form 10-K for the year ended December 31, 2023, as described below. </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After giving full consideration to this material weakness,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Remediation of Previously Identified Material Weakness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entity level material weakness was previously disclosed in our Annual Report on Form 10-K for the year ended December 31, 2023:</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Since the fourth quarter of 2023, management has been executing plans to remediate the above material weakness by hiring a robust team of experienced personnel at the appropriate levels. These personnel have been hired at our international and domestic locations, and have prior public accounting and public company experience, technical accounting experience, and financial reporting experience. In connection with these remediation efforts, we have also realigned the accounting functions to strengthen the performance of controls, and enhanced monitoring activities. Considering the fact these individuals have been in their respective roles and were able to effectively perform control activities as part of the first and second quarter 2024 financial reporting process, management concluded sufficient evidence has been obtained to demonstrate the previously identified material weakness has been remediated as of June 30, 2024.</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Remediation Plan for Previously Identified Material Weakness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actively focusing on effectively strengthening our ICFR and remediating the remaining material weakness by designing and implementing the following 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Control Activities – (STI): During the second quarter of 2024, we implemented an Enterprise Resource Planning system (“ERP”) for our operations in Brazil, which resulted in our ability to be able to implement automated controls and General Information Technology Controls, which will allow for less reliance on manual controls.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The steps involved to remediate the material weakness are subject to ongoing management review, as well as oversight by the audit committee of our board of directors. Additional or modified measures may also be required to remediate the material weakness. We will not be able to conclude that we have completely remediated the material weakness until the applicable controls are fully implemented and have operated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w:t>
      </w:r>
      <w:r>
        <w:rPr>
          <w:color w:val="000000"/>
        </w:rPr>
        <w:t xml:space="preserve"> </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Changes in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quarter ended June 30, 2024, except for the changes discussed above, there have been no other changes in the Company’s internal control over financial reporting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 Legal Proceedings</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See </w:t>
      </w:r>
      <w:hyperlink w:anchor="i0cc77f0de86b435a9adf658793e064b9_64">
        <w:r>
          <w:rPr>
            <w:rStyle w:val="InternetLink"/>
            <w:rFonts w:ascii="Arial;sans-serif" w:hAnsi="Arial;sans-serif"/>
            <w:b w:val="false"/>
            <w:color w:val="0000FF"/>
            <w:sz w:val="22"/>
            <w:u w:val="single"/>
          </w:rPr>
          <w:t>Note 11 – Commitments and Contingencies</w:t>
        </w:r>
      </w:hyperlink>
      <w:r>
        <w:rPr>
          <w:color w:val="000000"/>
        </w:rPr>
        <w:t xml:space="preserve"> </w:t>
      </w:r>
      <w:r>
        <w:rPr>
          <w:rFonts w:ascii="Arial;sans-serif" w:hAnsi="Arial;sans-serif"/>
          <w:b w:val="false"/>
          <w:color w:val="000000"/>
          <w:sz w:val="22"/>
        </w:rPr>
        <w:t>under the heading “Legal Proceedings” of our condensed consolidated financial statements for legal proceedings and related matters. In addition to the lawsuits described in Note 11 to our condensed consolidated financial statements, from time to time we may be involved in claims arising in the ordinary course of business. To our knowledge, other than the cases described in Note 11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1A. Risk Factors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Except as set forth below, and to the extent additional factual information disclosed elsewhere in this Quarterly Report relates to such risk factors (including, without limitation, the matters discussed in </w:t>
      </w:r>
      <w:hyperlink w:anchor="i0cc77f0de86b435a9adf658793e064b9_79">
        <w:r>
          <w:rPr>
            <w:rStyle w:val="InternetLink"/>
            <w:rFonts w:ascii="Arial;sans-serif" w:hAnsi="Arial;sans-serif"/>
            <w:b w:val="false"/>
            <w:color w:val="0000FF"/>
            <w:sz w:val="22"/>
            <w:u w:val="single"/>
          </w:rPr>
          <w:t>Part I, Item 2, “Management’s Discussion and Analysis of Financial Condition and Results of Operations”</w:t>
        </w:r>
      </w:hyperlink>
      <w:r>
        <w:rPr>
          <w:rFonts w:ascii="Arial;sans-serif" w:hAnsi="Arial;sans-serif"/>
          <w:b w:val="false"/>
          <w:color w:val="000000"/>
          <w:sz w:val="22"/>
        </w:rPr>
        <w:t xml:space="preserve">), there were no material changes to the risk factors disclosed in Part I, Item 1A, in our </w:t>
      </w:r>
      <w:r>
        <w:fldChar w:fldCharType="begin"/>
      </w:r>
      <w:r>
        <w:rPr>
          <w:rStyle w:val="InternetLink"/>
          <w:sz w:val="22"/>
          <w:u w:val="single"/>
          <w:b w:val="false"/>
          <w:rFonts w:ascii="Arial;sans-serif" w:hAnsi="Arial;sans-serif"/>
          <w:color w:val="0000FF"/>
        </w:rPr>
        <w:instrText xml:space="preserve"> HYPERLINK "https://www.sec.gov/ix?doc=/Archives/edgar/data/1820721/000182072122000033/arry-20211231.htm" \l "icfe32c6b4ab54bfe857c57aaba5fa86c_22"</w:instrText>
      </w:r>
      <w:r>
        <w:rPr>
          <w:rStyle w:val="InternetLink"/>
          <w:sz w:val="22"/>
          <w:u w:val="single"/>
          <w:b w:val="false"/>
          <w:rFonts w:ascii="Arial;sans-serif" w:hAnsi="Arial;sans-serif"/>
          <w:color w:val="0000FF"/>
        </w:rPr>
        <w:fldChar w:fldCharType="separate"/>
      </w:r>
      <w:r>
        <w:rPr>
          <w:rStyle w:val="InternetLink"/>
          <w:rFonts w:ascii="Arial;sans-serif" w:hAnsi="Arial;sans-serif"/>
          <w:b w:val="false"/>
          <w:color w:val="0000FF"/>
          <w:sz w:val="22"/>
          <w:u w:val="single"/>
        </w:rPr>
        <w:t>2023 Annual Report</w:t>
      </w:r>
      <w:r>
        <w:rPr>
          <w:rStyle w:val="InternetLink"/>
          <w:sz w:val="22"/>
          <w:u w:val="single"/>
          <w:b w:val="false"/>
          <w:rFonts w:ascii="Arial;sans-serif" w:hAnsi="Arial;sans-serif"/>
          <w:color w:val="0000FF"/>
        </w:rPr>
        <w:fldChar w:fldCharType="end"/>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Our results of operations may fluctuate across fiscal periods, which could make our future performance difficult to predict and could cause our results of operations for a particular period to fall below expectations, resulting in a decline in the price of our common stock.</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quarterly results of operations are difficult to predict and fluctuate significantly. Because we recognize revenue on projects as legal title to equipment is transferred from us to the customer, any delays in large projects from one quarter to another for any reason may cause our results of operations for a particular period to fall below expectations.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have experienced seasonal and quarterly fluctuations in the past as a result of seasonal fluctuations in our customers’ business. Our end-users’ ability to install solar energy systems is affected by weather, as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51</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example during the winter months in Europe and the northeastern U.S. Such installation delays can impact the timing of orders for our products. Inclement weather may also affect our logistics and operations by causing delays in the shipping and delivery of our materials, components and products which may, in turn, cause delays in our customers’ solar projects.</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In addition, we have had, and may continue to have, customers experience project delays for reasons as varied as changes in government regulations, including the impact of U.S. trade tariffs and uncertainty relating to the imposition of additional potential tariffs, supply chain challenges, tax incentives, macroeconomic factors abroad,</w:t>
      </w:r>
      <w:r>
        <w:rPr>
          <w:color w:val="000000"/>
        </w:rPr>
        <w:t xml:space="preserve"> </w:t>
      </w:r>
      <w:r>
        <w:rPr>
          <w:rFonts w:ascii="Arial;sans-serif" w:hAnsi="Arial;sans-serif"/>
          <w:b w:val="false"/>
          <w:color w:val="000000"/>
          <w:sz w:val="22"/>
        </w:rPr>
        <w:t>and the interest rate environment. Any unexpected delay in a material project could materially adversely affect our financial performance in a fiscal period. Our financial performance, sales, working capital requirements and cash flow may fluctuate, and our past results of operations may not be good indicators of future performance. Any substantial decrease in revenues would have an adverse effect on our financial condition, results of operations, cash flows and stock price for any given period.</w:t>
      </w:r>
    </w:p>
    <w:p>
      <w:pPr>
        <w:pStyle w:val="TextBody"/>
        <w:bidi w:val="0"/>
        <w:spacing w:before="0" w:after="0"/>
        <w:jc w:val="left"/>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Changes in the global trade environment, including the imposition of import tariffs, could adversely affect the amount or timing of our revenues, results of operations or cash flows.</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In addition, the threat of potential tariffs can create uncertainty among our customers and slow down the rate of existing projects and projects in our orderbook.</w:t>
      </w:r>
      <w:r>
        <w:rPr>
          <w:color w:val="000000"/>
        </w:rPr>
        <w:t xml:space="preserve">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example, 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President Biden extended the safeguard tariff for an additional four years, starting at a rate of 14.75% and reducing that rate each year to 14% in 2026, and directed the U.S. Trade Representative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 Furthermore, in July 2018, the U.S.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unexpected delays or decreased demand for our products.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June 2022, the U.S. President authorized the U.S. Secretary of Commerce to provide a 24-month antidumping and countervailing duty (“AD/CVD”) tariff exemption for imported solar panels from certain Southeast Asian countries. The U.S. Department of Commerce (“USDOC”) previously issued regulations implementing the AD/CVD moratorium in the event that it found circumvention with respect to such Southeast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52</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Asian countries. In August 2023, the USDOC issued final affirmative circumvention rulings, finding that solar panels completed in Cambodia, Malaysia, Thailand, and Vietnam using parts and components produced in China circumvent pre-existing AD/CVD orders on China. At this time, it is expected that duties will apply to such solar panels unless they are imported, used, and installed by certain dates in June 2024. 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 The repeal of the 24-month exemption, and any affirmative determinations made once the exemption expires in any event, would have an adverse effect on our business, financial condition, and results of operations.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Our operating results could be adversely impacted if the USDOC imposes duties on such imports. In April 2024, the American Alliance for Solar Manufacturing Trade Committee, an ad hoc coalition of domestic producers of CSPV cells and modules, filed a petition with the USDOC and the U.S. International Trade Commission (the “USITC”) seeking the imposition of AD/CVD tariffs on imports of CSPV cells and modules from Cambodia, Malaysia, Thailand and Vietnam. The USITC made a preliminary affirmative determination on June 7, 2024, and the USDOC is expected to make its preliminary determination in November of 2024. We have been told by our customers that the uncertainty around the implementation of these tariffs has and could continue to result in delays in plans for their projects, which in turn has an impact on the timing of our project delivery.</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Our results of operations may ﬂuctuate from quarter to quarter, which could make our future performance difficult to predict and could cause our results of operations for a particular period to fall below expectations.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quarterly results of operations are diﬃcult to predict and may ﬂuctuate signiﬁcantly in the future. Because we recognize revenue on projects as legal title to equipment is transferred from us to the customer, any delays in large projects from one quarter to another may cause our results of operations for a particular period to fall below expectations. We have experienced seasonal and quarterly ﬂuctuations in the past as a result of ﬂuctuations in our customers’ businesses, changes in local and global market trends, seasonal weather-related disruptions, regulatory uncertainty, uncertainty regarding tariffs, permitting and interconnection delays and equipment shortages. For example, our customers’ ability to install solar energy systems is aﬀected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53</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weather, such as during the winter months. Inclement weather may also aﬀect our logistics and operations by causing delays in the shipping and delivery of our materials, components and products which may, in turn, cause delays in our customers’ solar projects.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Further, given that we operate in a rapidly growing industry, the true extent of these fluctuations may be difficult to predict. Our financial performance, sales, working capital requirements and cash flows may fluctuate, and our past quarterly results of operations may not be good indicators of future performance or prospects. Any substantial fluctuation in revenues could have an adverse effect on our financial condition, results of operations, cash flows and stock price for any given period. In addition, revenue, and other operating results in future fiscal quarters may fall short of the expectations of investors and financial analysts, which could have an adverse effect on the price of our common stock.</w:t>
      </w:r>
    </w:p>
    <w:p>
      <w:pPr>
        <w:pStyle w:val="TextBody"/>
        <w:bidi w:val="0"/>
        <w:spacing w:before="0" w:after="0"/>
        <w:jc w:val="left"/>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The reduction, elimination, expiration, or our failure to optimize the benefits of government incentives for, or regulations mandating the use of, renewable energy and solar energy, particularly in relation to our competitors, could reduce demand for solar energy systems and harm our business.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Federal, state, local and foreign government bodies provide incentives to owners, end users, distributors, system integrators and manufacturers of solar energy systems to promote solar electricity in the form of rebates, tax credits and other financial incentives. The range and duration of these incentives varies widely by jurisdiction. 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supporting the use of renewable energy. Consequently, the reduction, elimination or expiration of government incentives for grid-connected solar electricity may negatively affect the competitiveness of solar electricity relative to conventional and non-solar renewable sources of electricity and could harm or halt the growth of the solar electricity industry and our business. These reductions, eliminations or expirations could occur without warning. Any changes to the existing framework of these incentives could cause fluctuation in our results of operations.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IRA makes significant changes to the tax credit regime that applies to solar facilities. As a result of changes made by the IRA, U.S. taxpayers generally will be entitled to a 30% ITC for projects placed in service after 2021, increased to 40% if certain “domestic content” requirements are satisfied, subject, in each case, to an 80% reduction if certain wage and apprenticeship requirements are not satisfied or deemed satisfied (either because the project has a net output of less than 1 megawatt or because construction begins before January 29, 2023, the date that is 60 days after the IRS released guidance relating to the prevailing wage and apprenticeship requirements). 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 percentages. Notice 2024-41 and the elective safe harbor described therein has clarified some pre-existing uncertainty in the industry from Notice 2023-38, , but it has also introduced uncertainty of its own regarding issues such as what qualifies as a “fastener.” These uncertainties have and could continue to cause our customers to delay projects as they navigate the existing guidance in qualifying for the tax credit and possibly wait for further clarity, thereby having a negative effect on our results of operations.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a result of changes made by the IRA, U.S. taxpayers will generally also be allowed to elect to receive a PTC in lieu of the ITC for qualified solar facilities the construction of which begins before January 1, 2025 that are placed in service after 2021. The PTC is available for electricity produced and sold to unrelated persons in the ten years following a project’s placement in service and is equal to an inflation-adjusted amount (currently 2.75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54</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 Certain additional incremental PTCs are also available similar to the incremental ITCs described above.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case of projects placed in service after 2024, each of the ITC and PTC will be replaced by similar “technology neutral” tax credit incentives that mimic the ITC and PTC but also require that projects satisfy a “zero greenhouse gas emissions” standard (which solar does) in order to qualify for the credits. This new credit regime will continue to apply to projects that begin construction prior to the end of 2033 (and possibly later), at which point the credits will become subject to a phase-out schedule.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these changes are intended to encourage investments in new solar projects, the impact these changes will have on our results of operations is unclear. In particular, the tax credit regime in place prior to the IRA’s enactment provided annual reductions in the applicable credit amount at the beginning of 2023 and 2024 and therefore encouraged customers to acquire our products prior to calendar year-end dates in order to qualify for a higher tax credit available for projects that commenced construction (within the meaning of IRS guidance) prior to those dates. As a result of the changes made by the IRA, while there may continue to be an incentive for taxpayers to commence construction on facilities before certain dates, the tax credits will not experience annual reductions similar to those that would have occurred at the end of 2022 and 2023 for at least ten years and therefore customer sales may not be as high as they otherwise would have been through 2023 with the prior ITC step-down schedule. This change could have an adverse impact on our results of operations in the near term, as we anticipated an increase in demand for our products in calendar years 2022 and 2023 (and our fiscal years 2023 and 2024) related to the prior ITC step-down schedule.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if we are unable to meet the domestic content requirements necessary for customers using our tracker products to qualify for the incremental domestic content bonus credit and our competitors are able to do so, we might experience a decline in sales for U.S. projects. The timing and nature of implementing regulations clarifying the domestic content requirements as applied to our products remain uncertain. Depending on the criteria set forth in those regulations, we may not have an adequate supply of tracker products satisfying the requirements, which could put us at a competitive disadvantage relative to suppliers who are able to maintain a more robust domestic supply chain. In addition, compliance with this requirement may increase our production costs. As a result of these risks, the domestic content requirement may have a material adverse impact on our U.S. sales, business and results of operations.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is no assurance that these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would adversely affect demand for our solar products.</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55</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2. Unregistered Sales of Equity Securities, Use of Proceeds and Issuer Purchases of Equity Securities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Defaults Upon Senior Securities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5. Other Information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the three months ended June 30, 2024, none of our directors or officers adopted, amended or terminated any such plan or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54"/>
        <w:gridCol w:w="311"/>
        <w:gridCol w:w="312"/>
        <w:gridCol w:w="109"/>
        <w:gridCol w:w="109"/>
        <w:gridCol w:w="109"/>
        <w:gridCol w:w="2158"/>
        <w:gridCol w:w="1881"/>
        <w:gridCol w:w="1886"/>
        <w:gridCol w:w="109"/>
        <w:gridCol w:w="109"/>
        <w:gridCol w:w="109"/>
        <w:gridCol w:w="220"/>
        <w:gridCol w:w="220"/>
        <w:gridCol w:w="221"/>
        <w:gridCol w:w="109"/>
        <w:gridCol w:w="109"/>
        <w:gridCol w:w="109"/>
        <w:gridCol w:w="252"/>
        <w:gridCol w:w="252"/>
        <w:gridCol w:w="254"/>
        <w:gridCol w:w="109"/>
        <w:gridCol w:w="109"/>
        <w:gridCol w:w="109"/>
        <w:gridCol w:w="166"/>
        <w:gridCol w:w="166"/>
        <w:gridCol w:w="244"/>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2"/>
                  <w:u w:val="single"/>
                </w:rPr>
                <w:t>Amended and Restated Certificate of Incorporation of Array Technologies, Inc., dated October 19,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2"/>
                  <w:u w:val="single"/>
                </w:rPr>
                <w:t>Amended and Restated Bylaws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2"/>
                  <w:u w:val="single"/>
                </w:rPr>
                <w:t>Certificate of Designations of Series A Perpetual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2"/>
                  <w:u w:val="single"/>
                </w:rPr>
                <w:t>Array Technologies, Inc. Deferred Compensation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5/24/2024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transitionandseparationa.htm">
              <w:r>
                <w:rPr>
                  <w:rStyle w:val="InternetLink"/>
                  <w:rFonts w:ascii="Arial;sans-serif" w:hAnsi="Arial;sans-serif"/>
                  <w:b w:val="false"/>
                  <w:color w:val="0000FF"/>
                  <w:sz w:val="22"/>
                  <w:u w:val="single"/>
                </w:rPr>
                <w:t>Transition and Separation Agreement, dated June 5, 2024, by and between Array Technologies, Inc. and Kurt Wood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2024q2.htm">
              <w:r>
                <w:rPr>
                  <w:rStyle w:val="InternetLink"/>
                  <w:rFonts w:ascii="Arial;sans-serif" w:hAnsi="Arial;sans-serif"/>
                  <w:b w:val="false"/>
                  <w:color w:val="000080"/>
                  <w:sz w:val="22"/>
                  <w:u w:val="single"/>
                </w:rPr>
                <w:t>Certification of the Chief Executive Officer and</w:t>
              </w:r>
            </w:hyperlink>
            <w:hyperlink w:anchor="exhibit3112024q2.htm">
              <w:r>
                <w:rPr>
                  <w:rStyle w:val="InternetLink"/>
                  <w:rFonts w:ascii="Arial;sans-serif" w:hAnsi="Arial;sans-serif"/>
                  <w:b w:val="false"/>
                  <w:color w:val="000080"/>
                  <w:sz w:val="22"/>
                  <w:u w:val="single"/>
                </w:rPr>
                <w:t xml:space="preserve"> Interim Chief Financial Officer, as required by Section 302 of the Sarbanes- 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2024q2.htm">
              <w:r>
                <w:rPr>
                  <w:rStyle w:val="InternetLink"/>
                  <w:rFonts w:ascii="Arial;sans-serif" w:hAnsi="Arial;sans-serif"/>
                  <w:b w:val="false"/>
                  <w:color w:val="000080"/>
                  <w:sz w:val="22"/>
                  <w:u w:val="single"/>
                </w:rPr>
                <w:t xml:space="preserve">Certification of the Chief Executive Officer and </w:t>
              </w:r>
            </w:hyperlink>
            <w:hyperlink w:anchor="exhibit3212024q2.htm">
              <w:r>
                <w:rPr>
                  <w:rStyle w:val="InternetLink"/>
                  <w:rFonts w:ascii="Arial;sans-serif" w:hAnsi="Arial;sans-serif"/>
                  <w:b w:val="false"/>
                  <w:color w:val="000080"/>
                  <w:sz w:val="22"/>
                  <w:u w:val="single"/>
                </w:rPr>
                <w:t>Interim Chief Financial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56</w:t>
                      </w:r>
                    </w:p>
                  </w:txbxContent>
                </v:textbox>
                <w10:wrap type="none"/>
              </v:rect>
            </w:pict>
          </mc:Fallback>
        </mc:AlternateContent>
      </w:r>
    </w:p>
    <w:p>
      <w:pPr>
        <w:pStyle w:val="TextBody"/>
        <w:bidi w:val="0"/>
        <w:spacing w:before="120" w:after="120"/>
        <w:jc w:val="both"/>
        <w:rPr/>
      </w:pPr>
      <w:r>
        <w:rPr/>
      </w:r>
    </w:p>
    <w:tbl>
      <w:tblPr>
        <w:tblW w:w="10191" w:type="dxa"/>
        <w:jc w:val="center"/>
        <w:tblInd w:w="0" w:type="dxa"/>
        <w:tblLayout w:type="fixed"/>
        <w:tblCellMar>
          <w:top w:w="28" w:type="dxa"/>
          <w:left w:w="28" w:type="dxa"/>
          <w:bottom w:w="28" w:type="dxa"/>
          <w:right w:w="28" w:type="dxa"/>
        </w:tblCellMar>
      </w:tblPr>
      <w:tblGrid>
        <w:gridCol w:w="364"/>
        <w:gridCol w:w="320"/>
        <w:gridCol w:w="321"/>
        <w:gridCol w:w="109"/>
        <w:gridCol w:w="109"/>
        <w:gridCol w:w="109"/>
        <w:gridCol w:w="2038"/>
        <w:gridCol w:w="2038"/>
        <w:gridCol w:w="2044"/>
        <w:gridCol w:w="109"/>
        <w:gridCol w:w="109"/>
        <w:gridCol w:w="109"/>
        <w:gridCol w:w="220"/>
        <w:gridCol w:w="220"/>
        <w:gridCol w:w="221"/>
        <w:gridCol w:w="109"/>
        <w:gridCol w:w="109"/>
        <w:gridCol w:w="109"/>
        <w:gridCol w:w="195"/>
        <w:gridCol w:w="195"/>
        <w:gridCol w:w="196"/>
        <w:gridCol w:w="109"/>
        <w:gridCol w:w="109"/>
        <w:gridCol w:w="109"/>
        <w:gridCol w:w="149"/>
        <w:gridCol w:w="149"/>
        <w:gridCol w:w="213"/>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Cover Page Interactive Data Files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Filed herewith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57</w:t>
                      </w:r>
                    </w:p>
                  </w:txbxContent>
                </v:textbox>
                <w10:wrap type="none"/>
              </v:rect>
            </w:pict>
          </mc:Fallback>
        </mc:AlternateContent>
      </w:r>
    </w:p>
    <w:p>
      <w:pPr>
        <w:pStyle w:val="TextBody"/>
        <w:bidi w:val="0"/>
        <w:spacing w:before="120" w:after="120"/>
        <w:jc w:val="both"/>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Array Technologies, Inc.</w:t>
      </w:r>
    </w:p>
    <w:p>
      <w:pPr>
        <w:pStyle w:val="TextBody"/>
        <w:bidi w:val="0"/>
        <w:spacing w:before="0" w:after="0"/>
        <w:jc w:val="left"/>
        <w:rPr/>
      </w:pPr>
      <w:r>
        <w:rPr/>
      </w:r>
    </w:p>
    <w:tbl>
      <w:tblPr>
        <w:tblW w:w="5684" w:type="dxa"/>
        <w:jc w:val="left"/>
        <w:tblInd w:w="0" w:type="dxa"/>
        <w:tblLayout w:type="fixed"/>
        <w:tblCellMar>
          <w:top w:w="28" w:type="dxa"/>
          <w:left w:w="28" w:type="dxa"/>
          <w:bottom w:w="28" w:type="dxa"/>
          <w:right w:w="28" w:type="dxa"/>
        </w:tblCellMar>
      </w:tblPr>
      <w:tblGrid>
        <w:gridCol w:w="162"/>
        <w:gridCol w:w="143"/>
        <w:gridCol w:w="145"/>
        <w:gridCol w:w="994"/>
        <w:gridCol w:w="994"/>
        <w:gridCol w:w="997"/>
        <w:gridCol w:w="209"/>
        <w:gridCol w:w="209"/>
        <w:gridCol w:w="211"/>
        <w:gridCol w:w="474"/>
        <w:gridCol w:w="474"/>
        <w:gridCol w:w="67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Kevin G. Hostetler</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Date: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August 8, 2024</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Kevin G. Hostetler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Chief Executive Officer and </w:t>
              <w:br/>
              <w:t>Interim Chief Financial Officer</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transitionandseparationa.htm"/>
      <w:bookmarkStart w:id="1" w:name="kstransitionandseparationa"/>
      <w:bookmarkEnd w:id="0"/>
      <w:bookmarkEnd w:id="1"/>
      <w:r>
        <w:rPr/>
        <w:drawing>
          <wp:inline distT="0" distB="0" distL="0" distR="0">
            <wp:extent cx="10048875" cy="13001625"/>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58</w:t>
                      </w:r>
                    </w:p>
                  </w:txbxContent>
                </v:textbox>
                <w10:wrap type="none"/>
              </v:rect>
            </w:pict>
          </mc:Fallback>
        </mc:AlternateContent>
      </w:r>
    </w:p>
    <w:p>
      <w:pPr>
        <w:pStyle w:val="TextBody"/>
        <w:bidi w:val="0"/>
        <w:jc w:val="center"/>
        <w:rPr>
          <w:color w:val="FFFFFF"/>
          <w:sz w:val="2"/>
        </w:rPr>
      </w:pPr>
      <w:r>
        <w:rPr>
          <w:color w:val="FFFFFF"/>
          <w:sz w:val="2"/>
        </w:rPr>
        <w:t xml:space="preserve">-1- Exhibit 10.2 June 5, 2024 Kurt Wood Dear Kurt: The purpose of this letter agreement (this “Agreement”) is to confirm the terms of the remainder of your employment with Array Technologies, Inc. (together with its subsidiaries, the “Company”) and your separation from the Company. Capitalized terms not defined herein shall have the respective meanings ascribed to them in the Company's Executive Severance &amp; Change in Control Plan (the “Severance Plan”). 1. Transition Period and Separation Date. (a) Effective as of June 6, 2024 (the “Transition Date”) through the date that your employment terminates (the “Separation Date”), you will continue to be employed by the Company. Provided that you comply with your obligations hereunder, it is expected that the Separation Date will be September 30, 2024. The period beginning on the Transition Date and concluding on the Separation Date is hereinafter referred to as the “Transition Period”. It is understood and agreed that the transition contemplated in this Agreement will not constitute “Good Reason” for purposes of the Severance Plan. (b) During the Transition Period, you will continue to receive your base salary, payable at the rate in effect as of the date hereof, and to participate in all employee benefit plans of the Company in accordance with the terms of those plans. During the Transition Period, you will perform duties as may be reasonably assigned to you from time to time by the Chief Executive Officer of the Company (the “CEO”) or his designee, and assist with the transition of your duties and responsibilities to any Company designees; provided, however, that you will no longer serve as the Company's Chief Financial Officer or as director or Company representative on any board of directors of any Company subsidiary as of June 30, 2024, and thereafter will serve in the nonwexecutive role of Strategic Advisor. During the Transition Period, you will continue to devote your best professional efforts to the Company, and to abide by all Company policies and procedures as in effect from time to time. You will not incur any business expenses following the Transition Date without the advance approval of the CEO or his designee. You will also continue to fully comply with any directives to preserve documents, as applicable. During the Transition Period, you may perform your duties on a remote basis if approved by the Company. During the Transition Period, you agree to make yourself available to provide up to eighty (80) hours per month of service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The Company may terminate your employment at any time before and during the Transition Period upon notice to you. If the Company terminates your employment for Cause or if you voluntarily resign, you will not be eligible to receive the severance payments and benefits set forth in Section 3 hereof. For the avoidance of doubt, if your employment with the Company ends as a result of your termination by the Company without Cause, or as a result of your death or Disability during the Transition Period, you or your estate will receive the severance payments and benefits as set forth in this Agreement as if you had remained employed through the contemplated Separation Date of September 30, 2024 and the Separation Date will be deemed to be September 30, 2024 for the purposes of Section 3. 2. Final Salary and Vacation Pay. You will receive, on or before the earlier of the date that is seven (7) days following the Separation Date and the Company's next regular payday following the Separation Date, pay for all work you performed for the Company through the Separation Date, to the extent not previously paid, as well as pay, at your final base rate of pay, for any vacation days you had earned but not used as of the Separation Date, determined in accordance with Company policy. You will receive the payments described in this Section 2 regardless of whether or not you sign this Agreement. 3. Severance Benefits. In consideration of your acceptance (without subsequent revocation) of this Agreement and subject to your meeting your obligations hereunder, including your Continuing Obligations (defined below) and your obligation to execute a post- employment general release and waiver of claims in the form attached hereto as Exhibit A (the “Release”), and in full consideration of any rights you may have under the Severance Plan or otherwise, upon a termination of your employment on the Separation Date (or as set forth in Section l(c)), you will be entitled to the payments and benefits described in Section 4.1 of the Severance Plan, subject to the terms and conditions set forth in the Severance Plan, and the following additional benefits: (a) An annual cash bonus for the 2024 fiscal year, based on achievement at one hundred percent (100%) of target, but prorated for the portion of the fiscal year during which you were employed, including as a Strategic Advisor, which bonus shall be paid at the same time annual cash bonuses for the 2024 fiscal year are paid to active executives of the Company and, for the avoidance of doubt, will not be subject to proration; and (b) The prorated vesting of performance-based restricted stock units as set forth in Section 4.1(c)(ii) of the Severance Plan shall be applied as if you remained employed through September 30, 2025. 4. Acknowledgement of Full Payment and Withholding. (a) You acknowledge and agree that the payments provided under Section 2 of this Agreement are in complete satisfaction of any and all compensation or benefits due to you from the Company, whether for services provided to the Company or otherwise, through the Separation Date and that, except as expressly provided under this Agreement, no further compensation or benefits are owed or will be provided to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All payments made by the Company under this Agreement shall be reduced by any tax or other amounts required to be withheld by the Company under applicable law and all other lawful deductions authorized by you. 5. Status of Employee Benefits, Paid Time Off, and Expenses. (a) Except for any right you may have to continue your participation and that of your eligible dependents in the Company's group health plans under the federal law known as “COBRA” or similar applicable law, your participation in all employee benefit plans of the Company will end as of the Separation Date, in accordance with the terms of those plans. You will not continue to earn paid time off or other similar benefits after the Separation Date. You will receive information about your COBRA continuation rights under separate cover. (b) Within two (2) weeks following the Separation Date, you must submit your final expense reimbursement statement reflecting all business expenses you incurred through the Separation Date, if any, for which you seek reimbursement, and, in accordance with Company policy, reasonable substantiation and documentation for the same. The Company will reimburse you for your authorized and documented expenses within thirty (30) days of receiving such statement pursuant to its regular business practice. (c) The Company will reimburse you (or pay directly) for reasonable attorneys' fees actually incurred by you in connection with the negotiation and execution of this Agreement following the Company's receipt of invoices from your attorney; provided that the aggregate reimbursement in respect of the foregoing shall not exceed $10,000. 6. Continuing Obligations, Non-Competition, Non-Disparagement and Cooperation. (a) Subject to Section 8(b) of this Agreement, you acknowledge that you continue to be bound by your obligations under the Severance Plan and any other agreement concerning confidentiality, non-competition and/or assignment of rights to intellectual property by and between you and the Company or any of its Affiliates, including but not limited to the Confidential Information, Non-Disparagement and Non-Solicitation Agreement between you and the Company dated as of November 3, 2023 (collectively, the “Continuing Obligations”). For the avoidance of doubt, you will not be held criminally or civilly liable under any federal or state trade secret law for, and are not prohibited from, disclosing any information, including a trade secret (x) in confidence to a federal, state, or local government official, either directly or indirectly, or to an attorney, solely for the purpose of reporting or investigating a suspected violation of law, or (y) in a complaint or other document filed under seal in a lawsuit or other proceeding; provided, however, that notwithstanding this immunity from liability, you may be held liable if you unlawfully access trade secrets by unauthorized means. (b) In further consideration of the severance payments and benefits to be paid to you hereunder, you acknowledge that during the course of your employment with the Company you have become familiar with the Company's and its Affiliates' trade secrets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with other Confidential Information concerning the Company and its Affiliates and that your services were special, unique and of extraordinary value to the Company and its Affiliates, and therefore, during the period of your employment by the Company and continuing until the first anniversary of the Separation Date, you shall not, directly or indirectly, provide services to (whether as an employee or a consultant, with or without pay) or own, manage, operate, join, control, participate in or be connected with (as a stockholder, partner or otherwise), any business, individual, partner, firm, corporation, partnership, limited liability company or other entity that is an electrical balance of systems company, or is competing with the tracker business of the Company or any Affiliate, as such business exists on the Separation Date (collectively, the “Restricted Business”), and that, in either case, operates in a geographic area in which the Company or any Affiliate operates as of the Separation Date (each competitor in the Restricted Business, a “Competitor of the Company”); provided, however, that “beneficial ownership” by you, either individually or as a member of a “group” as such terms are used in Rule 13d of the General Rules and Regulations under the Securities Exchange Act of 1934, as amended, of not more than two percent (2%) of the voting stock of any publicly held corporation shall not constitute a violation of this paragraph. (c) Subject to Section 8(b) of this Agreement, you agree that you will never disparage or criticize any of the Released Parties (as defined below), the Company, its Affiliates, their business, their management or their products or services, and that you will not otherwise do or say anything that could disrupt the good morale of employees of the Company or any of its Affiliates or harm the interest or reputation of the Company or any of its Affiliates, and the Company agrees (i) to instruct its officers and directors as of the Separation Date not to disparage or criticize you and (ii) not to disparage or criticize you in authorized corporate communications to third parties. (d) You agree to cooperate as reasonably necessary with the Company and its Affiliates, subject to your reasonable availability, with respect to all matters arising during or related to your employment, including but not limited to all matters in connection with any governmental investigation, litigation or regulatory or other proceeding which may have arisen or which may arise following the signing of this Agreement. The Company will pay you $400 per hour and reimburse your out-of-pocket expenses incurred in complying with Company requests hereunder, provided such expenses are authorized by the Company in advance. 7. Return of Company Documents and Other Property. In signing this Agreement, you agree that following the date of your termination of employment with the Company, you will return to the Company any and all documents, materials and information (whether in hardcopy, on electronic media or otherwise) related to the business of the Company and its Affiliates (whether present or otherwise), and all keys, access cards, credit cards, computer hardware and software, telephones and telephone-related equipment and all other property of the Company or any of its Affiliates in your possession or control; provided, that, you may retain your Company-provided laptop (after the Company has transferred all information from such laptop to the satisfaction of the Company). Further, following the date of your termination of employment with the Company, you agree that you will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retain any copy or derivation of any documents, materials or information (whether in hardcopy, on electronic media or otherwise) of the Company or any of its Affiliates. Recognizing that your role with the Company will transition as of the Transition Date, you agree that, as of the Transition Date, you will access and use the computer networks and systems of the Company and its Affiliates, including without limitation the electronic mail system, only as reasonably required for you to fulfill your transition duties, or as otherwise authorized by the CEO or his designee. Following the termination of your employment with the Company, you agree that you will not for any purpose, attempt to access or use any computer or computer network or system of the Company or any of its Affiliates, including without limitation the electronic mail system. Further, you agree to disclose to the Company, on or before the Separation Date, any and all passwords necessary or desirable to obtain access to, or that would assist in obtaining access to, all information which you have password-protected on any computer equipment, network or system of the Company or any of its Affiliates. You agree that if you later become aware of Company documents, materials, or information which is non-public and was inadvertently in your possession, including such maintained on personal devices, that you will promptly transfer such information to the Company. 8. General Release and Waiver of Claims. (a) In exchange for the severance payments and benefits provided to you under this Agreement, to which you would not otherwise be entitled, and other good and valuable consideration, the receipt and sufficiency of which you hereby acknowledge, on your own behalf and that of your heirs, executors, administrators, beneficiaries, personal representatives, successors and assigns, and all others connected with or claiming through you, you agree that this Agreement shall be in complete and final settlement of any and all causes of action, suits, rights and claims, demands, damages and compensation, whether at law or in equity, whether now known or unknown, suspected or unsuspected, accrued or unaccrued, contingent or otherwise, which you have had in the past, now have, or might now have, against the Company or any of its Affiliates of any nature whatsoever, including but not limited to those in any way related to, connected with or arising out of your employment, its termination, or your other association with the Company or any of its Affiliates, whether pursuant to the Severance Plan or pursuant to Title VII of the Civil Rights Act, the Americans with Disabilities Act, the Family and Medical Leave Act, the Age Discrimination in Employment Act, as amended by the Older Workers Benefit Protection Act, the Employee Retirement Income Security Act, the wage and hour, wage payment and/or fair employment practices laws and statutes (each as amended from time to time) of the State of Arizona and any other states in which you have provided services to the Company or any of its Affiliates, and/or any other federal, state or local law, regulation or other requirement or otherwise (collectively, the “Claims”), and you hereby release and forever discharge the Company, its Affiliates and all of their respective past, present and future directors, shareholders, officers, members, managers, general and limited partners, employees, employee benefit plans, administrators, trustees, agents, representatives, predecessors, successors and assigns, and all others connected with any of them, both individually and in their official capacities (collectively, the “Released Parties”), from, and you hereby waive, any and all such Claims. This release does not cover (1) any vested rights you may have under the employee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plans, programs, or policies of the Company and its Affiliates; (2) any indemnification rights to which you may be entitled under the Company's governing documents, by contract, or as a matter of law; (3) your rights following the date hereof with respect to any vested equity interests you hold in the Company or any of its past or present Affiliates; or (4) your right to enforce the terms of this Agreement. (b) Nothing contained in this Agreement shall be construed to prohibit you from filing a charge with or participating in any investigation or proceeding conducted by the federal Equal Employment Opportunity Commission or a comparable state or local agency; provided, however, that you hereby waive your right to recover monetary damages or other individual relief in any such charge, investigation or proceeding or any related complaint or lawsuit filed by you or by anyone else on your behalf; provided, further, that you are not waiving any right to seek and receive a financial incentive award for any information you provide to a governmental agency or entity. Nothing in this Agreement or any prior agreement between you and the Company or policy or procedure of the Company limits, restricts or in any other way affects you or any of the Released Parties (i) communicating with any governmental agency or entity, or communicating with any official or staff person of a governmental agency or entity, concerning matters relevant to such governmental agency or entity, (ii) reporting possible violations of the law or regulations to any governmental agency or entity or making other disclosures that are protected under the whistleblower provisions of federal law or regulation, or (iii) testifying truthfully in any legal or administrative proceeding where such testimony is compelled or requested, or from otherwise complying with applicable legal requirements. (c) This Agreement, including the general release of claims set forth in Section 8(a), creates legally binding obligations and the Company and its Affiliates therefore advise you to consult an attorney before signing this Agreement. In signing this Agreement, you give the Company and its Affiliates assurance that you have signed it voluntarily and with a full understanding of its terms; that you have had sufficient opportunity of not less than twenty-one (21) days, before signing this Agreement, to consider its terms and to consult with an attorney, if you wished to do so; and that you have not relied on any promises or representations, express or implied, that are not set forth expressly in this Agreement. You acknowledge and agree that you may not sign the Release prior to the Separation Date. (d) You agree to sign the Release by the later of seven (7) days following the Separation Date and twenty-one (21) days following the date hereof (and in no event before the Separation Date). You further agree that a signed and unrevoked Release is an express condition to your receipt and retention of the severance payments and benefits described in Section 3 above. 9. Miscellaneous. (a) This Agreement constitutes the entire agreement between you and the Company and supersedes all prior and contemporaneous communications, agreements and understandings, whether written or oral, with respect to your employment, its termination and all related matters, excluding only the Severance Plan, the Continuing Obligations, and your obligations with respect to the securities of the Company, all of which shall remain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in full force and effect in accordance with their terms; provided, however, that to the extent that the Severance Plan conflicts with any term set forth herein, the term in this Agreement will be controlling. (b)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provided, however, and for the avoidance of doubt, in no event shall the Company be required to provide payments or benefits to you pursuant to Section 3 of this Agreement if all or part of the general release in Section 8 of this Agreement is held to be invalid or unenforceable. (c) This Agreement may not be modified or amended, and no breach shall be deemed to be waived, unless agreed to in writing by you and the Chair of the Board of Directors of the Company or his expressly authorized designee. The captions and headings in this Agreement are for convenience only, and in no way define or describe the scope or content of any provision of this Agreement. (d) The obligation of the Company to make payments or provide benefits to you or on your behalf under this Agreement, and your right to retain the same, is expressly conditioned upon your continued performance of your obligations under this Agreement and of the Continuing Obligations. (e) All issues and questions concerning the construction, validity and enforcement and interpretation of this Agreement shall be governed by, and construed in accordance with, the laws of the State of Arizona, without giving effect to any choice of law or conflict of law rules or provisions (whether of the State of Arizona or any other jurisdiction) that would cause the application of the laws of any jurisdiction other than the State of Arizona. Each party agrees to commence any action, suit or proceeding arising out of this Agreement or the transactions contemplated hereby in a United States District Court located in the State of Arizona and irrevocably and unconditionally waives any objection to the laying of venue of any action, suit or proceeding arising out of this Agreement or the transactions contemplated hereby in such court and any claim that any such proceeding brought in such court has been brought in an inconvenient forum. You and the Company (after having the opportunity to consult with an attorney) hereby waive trial by jury as to any and all litigation arising out of and/or relating to this Agreement. (f) This Agreement may be executed in any number of counterparts, any of which may be executed and transmitted by DocuSign, facsimile, electronic mail (including “pdf'), and any other means of electronic transmission complying with the U.S. federal ESIGN Act of 2000, and each of which shall be deemed to be an original, but all of which together shall be deemed to be one and the same instrument. If the terms of this Agreement are acceptable to you, please sign, date and return it to me within twenty-one (21) days of the date that you receive it. You may revoke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this Agreement at any time during the seven (7)-day period immediately following the date of your signing by notifying me in writing of your revocation within that period, and this Agreement shall not become effective or enforceable until that seven (7)-day revocation period has expired. If you do not revoke this Agreement, then, on the eighth (8th) day following the date that you signed it, this Agreement shall take effect as a legally binding agreement between you and the Company on the basis set forth above. The enclosed copy of this letter, which you should also sign and date, is for your records. Sincerely, ARRAY TECHNOLOGIES, INC. By: /s/ Kevin G. Hostetler Kevin Hostetler Chief Executive Officer Accepted and agreed: Signature: /s/ Kurt R. Wood Kurt Wood Date: June 6,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Exhibit A Post-Employment General Release and Waiver of Claims [Date] For and in consideration of the continued employment and the severance payments and benefits provided to me under the Transition and Separation Agreement between me and Array Technologies, Inc. (together with its subsidiaries, the “Company”), dated as of June 5, 2024 (the “Agreement”), which are conditioned on my signing this General Release and Waiver of Claims (this “Release of Claims”) and on my compliance with the Continuing Obligations (as defined in the Agreement), and to which I am not otherwise entitled, and other good and valuable consideration, the receipt and sufficiency of which I hereby acknowledge, on my own behalf and on behalf of my heirs, executors, administrators, beneficiaries, personal representatives, successors and assigns, and all others connected with or claiming through me, I agree that the Agreement and this Release of Claims shall be in complete and final settlement any and all causes of action, suits, rights and claims, demands, damages and compensation, whether at law or in equity, whether now known or unknown, suspected or unsuspected, accrued or unaccrued, contingent or otherwise, which I have had in the past, now have or might now have, against the Company or any of its Affiliates (as defined in the Agreement) of any nature whatsoever, including but not limited to those in any way related to, connected with or arising out of my employment, its termination, or my other association with the Company or any of its Affiliates (as defined in the Agreement), whether pursuant to the Severance Plan (as defined in the Agreement) or pursuant to Title VII of the Civil Rights Act, the Americans with Disabilities Act, the Family and Medical Leave Act, the Age Discrimination in Employment Act, as amended by the OIder Workers Benefit Protection Act, the Employee Retirement Income Security Act, the wage and hour, wage payment and/or fair employment practices laws and statutes (each as amended from time to time) of the State of Arizona and any other states in which I have provided services to the Company or any of its Affiliates, and/or any other federal, state or local law, regulation, or other requirement or otherwise (collectively, the “Claims”), and I hereby release and forever discharge the Company, its Affiliates and all of their respective past, present and future directors, shareholders, officers, members, managers, general and limited partners, employees, employee benefit plans, administrators, trustees, agents, representatives, predecessors, successors and assigns, and all others connected with any of them, both individually and in their official capacities (collectively, the “Released Parties”), from, and I hereby waive, any and all such Claims. This Release of Claims does not cover (1) any vested rights I may have under the employee benefit plans, programs, or policies of the Company and its Affiliates; (2) any indemnification rights to which I may be entitled under the Company's governing documents, by contract, or as a matter of law; (3) my rights following the date hereof with respect to any vested equity interests I hold in the Company or any of its past or present Affiliates; or (4) my right to enforce the terms of this Agreement and/or this Release of Claims. I understand that nothing contained in this Release of Claims shall be construed to prohibit me from filing a charge with or participating in any investigation or proceeding conducted by the federal Equal Employment Opportunity Commission or a comparable state or local agency; provided. however, that I hereby waive my right to recover monetary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damages or other individual relief in any such charge, investigation or proceeding or any related complaint or lawsuit filed by me or by anyone else on my behalf; provided, further, that I am not waiving any right to seek and receive a financial incentive award for any information I provide to a governmental agency or entity. I further understand that nothing contained herein or any prior agreement between me and the Company or policy or procedure of the Company limits, restricts or in any other way affects my communicating with any governmental agency or entity, reporting possible violations of law or regulations to any governmental agency or entity or making other disclosures that are protected under the whistleblower provisions of federal law or regulation or communicating with any official or staff person of a governmental agency or entity, concerning matters relevant to such governmental agency or entity. I represent and warrant that, in accordance with Section 7 of the Agreement, I have returned to the Company any and all documents, materials, information and other property of the Company and its Affiliates that I had in my possession, custody or control on the date my employment with the Company terminated and that I have retained no such property. Without limiting the foregoing, I also represent and warrant that I have retained no copy of any such documents, materials, infonnation, or property. I acknowledge that this Release of Claims creates legally binding obligations, and that the Company has advised me to consult an attorney before signing it. I further acknowledge that I may not sign this Release of Claims prior to the Separation Date (as such term is defined in the Agreement). In signing this Release of Claims, I give the Company assurance that I have signed it voluntarily and with a full understanding of its terms; that I have had sufficient opportunity of not less than twenty-one (21) days before signing this Release of Claims to consider itꞏsterms and to consult with an attorney, if I wished to do so; and that I have not relied on any promises or representations, express or implied, that are not set forth expressly in this Release of Claims. I understand that I will have seven (7) days after signing this Release of Claims to revoke my signature, and that, if I intend to revoke my signature, I must do so in writing addressed and delivered to the Chief Executive Officer of the Company prior to the end of the seven (7)-day revocation period. I understand that this Release of Claims will become effective upon the eighth (8th) day following the date that I sign it, provided that I do not revoke my acceptance in accordance with the immediately preceding sentence. This Release of Claims constitutes the entire agreement between me and the Company and its Affiliates and supersedes all prior and contemporaneous communications, agreements and understandings, whether written or oral, with respect to my employment or other service relationship, its termination and all related matters, excluding only the Agreement and the Continuing Obligations, and my rights and obligations with respect to the securities of the Company, all of which shall remain in full force and effect in accordance with their terms. This Release of Claims may not be modified or amended, and no breach shall be deemed to be waived, unless agreed to in writing by me and the Chair of the Board of Directors of the Company or his expressly authorized designee.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Accepted and agreed: Signature: ____________________________ Kurt Wood Date: 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Kevin G. Hostetler,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1.</w:t>
      </w:r>
      <w:r>
        <w:rPr>
          <w:rFonts w:ascii="Arial;sans-serif" w:hAnsi="Arial;sans-serif"/>
          <w:b w:val="false"/>
          <w:color w:val="000000"/>
          <w:sz w:val="20"/>
        </w:rPr>
        <w:t>I have reviewed this Quarterly Report on Form 10-Q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760" w:type="dxa"/>
        <w:jc w:val="left"/>
        <w:tblInd w:w="0" w:type="dxa"/>
        <w:tblLayout w:type="fixed"/>
        <w:tblCellMar>
          <w:top w:w="28" w:type="dxa"/>
          <w:left w:w="28" w:type="dxa"/>
          <w:bottom w:w="28" w:type="dxa"/>
          <w:right w:w="28" w:type="dxa"/>
        </w:tblCellMar>
      </w:tblPr>
      <w:tblGrid>
        <w:gridCol w:w="884"/>
        <w:gridCol w:w="776"/>
        <w:gridCol w:w="1100"/>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Executive Officer and </w:t>
              <w:br/>
              <w:t>Interim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8,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this Quarterly Report of Array Technologies, Inc. (the "Company") filed on Form 10-Q for the quarter ended June 30, 2024, as filed with the Securities and Exchange Commission on the date hereof (the “Report”), I, Kevin G. Hostetler, Chief Executive Officer and Interim Chief Financial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760" w:type="dxa"/>
        <w:jc w:val="left"/>
        <w:tblInd w:w="0" w:type="dxa"/>
        <w:tblLayout w:type="fixed"/>
        <w:tblCellMar>
          <w:top w:w="28" w:type="dxa"/>
          <w:left w:w="28" w:type="dxa"/>
          <w:bottom w:w="28" w:type="dxa"/>
          <w:right w:w="28" w:type="dxa"/>
        </w:tblCellMar>
      </w:tblPr>
      <w:tblGrid>
        <w:gridCol w:w="884"/>
        <w:gridCol w:w="776"/>
        <w:gridCol w:w="1100"/>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Executive Officer and </w:t>
              <w:br/>
              <w:t>Interim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8, 2024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0721/000119312520272092/d50569dex31.htm" TargetMode="External"/><Relationship Id="rId4" Type="http://schemas.openxmlformats.org/officeDocument/2006/relationships/hyperlink" Target="https://www.sec.gov/Archives/edgar/data/1820721/000119312520272092/d50569dex32.htm" TargetMode="External"/><Relationship Id="rId5" Type="http://schemas.openxmlformats.org/officeDocument/2006/relationships/hyperlink" Target="https://www.sec.gov/Archives/edgar/data/0001820721/000182072121000057/helios-certificateofdesign.htm" TargetMode="External"/><Relationship Id="rId6" Type="http://schemas.openxmlformats.org/officeDocument/2006/relationships/hyperlink" Target="https://www.sec.gov/Archives/edgar/data/1820721/000119312524147322/d844337dex101.htm"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30048</Words>
  <Characters>164770</Characters>
  <CharactersWithSpaces>193514</CharactersWithSpaces>
  <Paragraphs>2612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transitionandseparationa</dc:title>
</cp:coreProperties>
</file>