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3" w:lineRule="exact"/>
        <w:rPr>
          <w:sz w:val="24"/>
          <w:szCs w:val="24"/>
          <w:color w:val="auto"/>
        </w:rPr>
      </w:pPr>
    </w:p>
    <w:p>
      <w:pPr>
        <w:ind w:left="3940" w:right="2780" w:hanging="3932"/>
        <w:spacing w:after="0" w:line="304" w:lineRule="auto"/>
        <w:tabs>
          <w:tab w:leader="none" w:pos="19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March 31, 2025</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ind w:left="3640" w:right="2780" w:hanging="3632"/>
        <w:spacing w:after="0" w:line="304" w:lineRule="auto"/>
        <w:tabs>
          <w:tab w:leader="none" w:pos="2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44"/>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49" w:lineRule="exact"/>
        <w:rPr>
          <w:sz w:val="24"/>
          <w:szCs w:val="24"/>
          <w:color w:val="auto"/>
        </w:rPr>
      </w:pPr>
    </w:p>
    <w:p>
      <w:pPr>
        <w:ind w:right="220"/>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ind w:right="2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8"/>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As of May 1, 2025, there were 152,547,038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200" w:type="dxa"/>
            <w:vAlign w:val="bottom"/>
            <w:tcBorders>
              <w:top w:val="single" w:sz="8" w:color="CCEEFF"/>
            </w:tcBorders>
            <w:gridSpan w:val="3"/>
          </w:tcPr>
          <w:p>
            <w:pPr>
              <w:jc w:val="center"/>
              <w:ind w:right="20"/>
              <w:spacing w:after="0" w:line="189" w:lineRule="exact"/>
              <w:rPr>
                <w:sz w:val="20"/>
                <w:szCs w:val="20"/>
                <w:color w:val="auto"/>
              </w:rPr>
            </w:pPr>
            <w:r>
              <w:rPr>
                <w:rFonts w:ascii="Arial" w:cs="Arial" w:eastAsia="Arial" w:hAnsi="Arial"/>
                <w:sz w:val="18"/>
                <w:szCs w:val="18"/>
                <w:color w:val="0000FF"/>
                <w:w w:val="99"/>
              </w:rPr>
              <w:t>1</w:t>
            </w: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3</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2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0000FF"/>
                <w:w w:val="99"/>
              </w:rPr>
              <w:t>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w:t>
            </w:r>
          </w:p>
        </w:tc>
        <w:tc>
          <w:tcPr>
            <w:tcW w:w="6040" w:type="dxa"/>
            <w:vAlign w:val="bottom"/>
            <w:tcBorders>
              <w:top w:val="single" w:sz="8" w:color="0000FF"/>
            </w:tcBorders>
            <w:gridSpan w:val="1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60" w:type="dxa"/>
            <w:vAlign w:val="bottom"/>
            <w:tcBorders>
              <w:top w:val="single" w:sz="8" w:color="CCEEFF"/>
            </w:tcBorders>
            <w:gridSpan w:val="2"/>
            <w:vMerge w:val="continue"/>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200" w:type="dxa"/>
            <w:vAlign w:val="bottom"/>
            <w:gridSpan w:val="3"/>
          </w:tcPr>
          <w:p>
            <w:pPr>
              <w:jc w:val="center"/>
              <w:ind w:right="20"/>
              <w:spacing w:after="0" w:line="183" w:lineRule="exact"/>
              <w:rPr>
                <w:sz w:val="20"/>
                <w:szCs w:val="20"/>
                <w:color w:val="auto"/>
              </w:rPr>
            </w:pPr>
            <w:r>
              <w:rPr>
                <w:rFonts w:ascii="Arial" w:cs="Arial" w:eastAsia="Arial" w:hAnsi="Arial"/>
                <w:sz w:val="18"/>
                <w:szCs w:val="18"/>
                <w:color w:val="0000FF"/>
                <w:w w:val="99"/>
              </w:rPr>
              <w:t>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gridSpan w:val="6"/>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8</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4"/>
          </w:tcPr>
          <w:p>
            <w:pPr>
              <w:jc w:val="center"/>
              <w:ind w:right="520"/>
              <w:spacing w:after="0" w:line="189" w:lineRule="exact"/>
              <w:rPr>
                <w:sz w:val="20"/>
                <w:szCs w:val="20"/>
                <w:color w:val="auto"/>
              </w:rPr>
            </w:pPr>
            <w:r>
              <w:rPr>
                <w:rFonts w:ascii="Arial" w:cs="Arial" w:eastAsia="Arial" w:hAnsi="Arial"/>
                <w:sz w:val="18"/>
                <w:szCs w:val="18"/>
                <w:color w:val="0000FF"/>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39</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2"/>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39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40</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40</w:t>
            </w: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42</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43</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43</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43</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1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43</w:t>
            </w:r>
          </w:p>
        </w:tc>
        <w:tc>
          <w:tcPr>
            <w:tcW w:w="120" w:type="dxa"/>
            <w:vAlign w:val="bottom"/>
          </w:tcPr>
          <w:p>
            <w:pPr>
              <w:spacing w:after="0"/>
              <w:rPr>
                <w:sz w:val="18"/>
                <w:szCs w:val="18"/>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 w:name="page4"/>
    <w:bookmarkEnd w:id="3"/>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40"/>
        </w:trPr>
        <w:tc>
          <w:tcPr>
            <w:tcW w:w="6520" w:type="dxa"/>
            <w:vAlign w:val="bottom"/>
            <w:tcBorders>
              <w:top w:val="single" w:sz="8" w:color="CCEEFF"/>
            </w:tcBorders>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300" w:type="dxa"/>
            <w:vAlign w:val="bottom"/>
            <w:tcBorders>
              <w:top w:val="single" w:sz="8" w:color="auto"/>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348,324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362,992</w:t>
            </w: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Restricted cash</w:t>
            </w:r>
          </w:p>
        </w:tc>
        <w:tc>
          <w:tcPr>
            <w:tcW w:w="3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1,169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1,149</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Accounts receivable, net of allowance of $6,601 and $4,848,</w:t>
            </w:r>
          </w:p>
        </w:tc>
        <w:tc>
          <w:tcPr>
            <w:tcW w:w="300" w:type="dxa"/>
            <w:vAlign w:val="bottom"/>
            <w:shd w:val="clear" w:color="auto" w:fill="CCEEFF"/>
          </w:tcPr>
          <w:p>
            <w:pPr>
              <w:spacing w:after="0"/>
              <w:rPr>
                <w:sz w:val="16"/>
                <w:szCs w:val="16"/>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282,575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275,838</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respectively</w:t>
            </w:r>
          </w:p>
        </w:tc>
        <w:tc>
          <w:tcPr>
            <w:tcW w:w="300" w:type="dxa"/>
            <w:vAlign w:val="bottom"/>
            <w:shd w:val="clear" w:color="auto" w:fill="CCEEFF"/>
          </w:tcPr>
          <w:p>
            <w:pPr>
              <w:spacing w:after="0"/>
              <w:rPr>
                <w:sz w:val="21"/>
                <w:szCs w:val="21"/>
                <w:color w:val="auto"/>
              </w:rPr>
            </w:pPr>
          </w:p>
        </w:tc>
        <w:tc>
          <w:tcPr>
            <w:tcW w:w="20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Inventories, net</w:t>
            </w:r>
          </w:p>
        </w:tc>
        <w:tc>
          <w:tcPr>
            <w:tcW w:w="3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186,875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200,818</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30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157,348</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157,927</w:t>
            </w:r>
          </w:p>
        </w:tc>
        <w:tc>
          <w:tcPr>
            <w:tcW w:w="0" w:type="dxa"/>
            <w:vAlign w:val="bottom"/>
          </w:tcPr>
          <w:p>
            <w:pPr>
              <w:spacing w:after="0"/>
              <w:rPr>
                <w:sz w:val="1"/>
                <w:szCs w:val="1"/>
                <w:color w:val="auto"/>
              </w:rPr>
            </w:pPr>
          </w:p>
        </w:tc>
      </w:tr>
      <w:tr>
        <w:trPr>
          <w:trHeight w:val="250"/>
        </w:trPr>
        <w:tc>
          <w:tcPr>
            <w:tcW w:w="6520" w:type="dxa"/>
            <w:vAlign w:val="bottom"/>
          </w:tcPr>
          <w:p>
            <w:pPr>
              <w:ind w:left="520"/>
              <w:spacing w:after="0"/>
              <w:rPr>
                <w:sz w:val="20"/>
                <w:szCs w:val="20"/>
                <w:color w:val="auto"/>
              </w:rPr>
            </w:pPr>
            <w:r>
              <w:rPr>
                <w:rFonts w:ascii="Arial" w:cs="Arial" w:eastAsia="Arial" w:hAnsi="Arial"/>
                <w:sz w:val="20"/>
                <w:szCs w:val="20"/>
                <w:color w:val="auto"/>
              </w:rPr>
              <w:t>Total current assets</w:t>
            </w:r>
          </w:p>
        </w:tc>
        <w:tc>
          <w:tcPr>
            <w:tcW w:w="3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976,291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998,724</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28,740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164,221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160,189</w:t>
            </w: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3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176,347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assets</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16,049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17,754</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64,110</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41,701</w:t>
            </w: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20"/>
                <w:szCs w:val="20"/>
                <w:color w:val="auto"/>
              </w:rPr>
              <w:t>Total assets</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1,425,758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0" w:right="1140" w:firstLine="1131"/>
        <w:spacing w:after="0" w:line="281"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0"/>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740" w:type="dxa"/>
            <w:vAlign w:val="bottom"/>
            <w:shd w:val="clear" w:color="auto" w:fill="CCEEFF"/>
          </w:tcPr>
          <w:p>
            <w:pPr>
              <w:jc w:val="right"/>
              <w:ind w:right="501"/>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153,781</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172,368</w:t>
            </w: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Accrued expenses and other</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77,576</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91,183</w:t>
            </w: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warranty reserve</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2,045</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2,063</w:t>
            </w: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Income tax payable</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8,734</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5,227</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revenue</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120,225</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119,775</w:t>
            </w: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2,528</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1,193</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debt</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34,472</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30,714</w:t>
            </w:r>
          </w:p>
        </w:tc>
      </w:tr>
      <w:tr>
        <w:trPr>
          <w:trHeight w:val="256"/>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Other current liabilities</w:t>
            </w: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9,132</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15,291</w:t>
            </w:r>
          </w:p>
        </w:tc>
      </w:tr>
      <w:tr>
        <w:trPr>
          <w:trHeight w:val="250"/>
        </w:trPr>
        <w:tc>
          <w:tcPr>
            <w:tcW w:w="65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current liabilities</w:t>
            </w: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408,493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437,814</w:t>
            </w:r>
          </w:p>
        </w:tc>
      </w:tr>
      <w:tr>
        <w:trPr>
          <w:trHeight w:val="270"/>
        </w:trPr>
        <w:tc>
          <w:tcPr>
            <w:tcW w:w="6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liabilities</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21,634</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21,398</w:t>
            </w: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5,179</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7,868</w:t>
            </w: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long-term liabilities</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17,311</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18,684</w:t>
            </w: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Long-term warranty</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5,021</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4,830</w:t>
            </w: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w:t>
            </w: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644,520</w:t>
            </w:r>
          </w:p>
        </w:tc>
        <w:tc>
          <w:tcPr>
            <w:tcW w:w="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646,570</w:t>
            </w:r>
          </w:p>
        </w:tc>
      </w:tr>
      <w:tr>
        <w:trPr>
          <w:trHeight w:val="250"/>
        </w:trPr>
        <w:tc>
          <w:tcPr>
            <w:tcW w:w="6520" w:type="dxa"/>
            <w:vAlign w:val="bottom"/>
          </w:tcPr>
          <w:p>
            <w:pPr>
              <w:ind w:left="520"/>
              <w:spacing w:after="0"/>
              <w:rPr>
                <w:sz w:val="20"/>
                <w:szCs w:val="20"/>
                <w:color w:val="auto"/>
              </w:rPr>
            </w:pPr>
            <w:r>
              <w:rPr>
                <w:rFonts w:ascii="Arial" w:cs="Arial" w:eastAsia="Arial" w:hAnsi="Arial"/>
                <w:sz w:val="20"/>
                <w:szCs w:val="20"/>
                <w:color w:val="auto"/>
              </w:rPr>
              <w:t>Total liabilities</w:t>
            </w:r>
          </w:p>
        </w:tc>
        <w:tc>
          <w:tcPr>
            <w:tcW w:w="7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1,102,158</w:t>
            </w:r>
          </w:p>
        </w:tc>
        <w:tc>
          <w:tcPr>
            <w:tcW w:w="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1,137,164</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c>
          <w:tcPr>
            <w:tcW w:w="0" w:type="dxa"/>
            <w:vAlign w:val="bottom"/>
          </w:tcPr>
          <w:p>
            <w:pPr>
              <w:spacing w:after="0"/>
              <w:rPr>
                <w:sz w:val="1"/>
                <w:szCs w:val="1"/>
                <w:color w:val="auto"/>
              </w:rPr>
            </w:pPr>
          </w:p>
        </w:tc>
      </w:tr>
      <w:tr>
        <w:trPr>
          <w:trHeight w:val="253"/>
        </w:trPr>
        <w:tc>
          <w:tcPr>
            <w:tcW w:w="65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11)</w:t>
            </w:r>
          </w:p>
        </w:tc>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Series A Redeemable Perpetual Preferred Stock of $0.001 par value;</w:t>
            </w: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line="197" w:lineRule="exact"/>
              <w:rPr>
                <w:sz w:val="20"/>
                <w:szCs w:val="20"/>
                <w:color w:val="auto"/>
              </w:rPr>
            </w:pPr>
            <w:r>
              <w:rPr>
                <w:rFonts w:ascii="Arial" w:cs="Arial" w:eastAsia="Arial" w:hAnsi="Arial"/>
                <w:sz w:val="20"/>
                <w:szCs w:val="20"/>
                <w:color w:val="auto"/>
              </w:rPr>
              <w:t>500,000 authorized; 468,122 and 460,920 shares issued as of March 31,</w:t>
            </w: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2025 and December 31, 2024, respectively; liquidation preference of</w:t>
            </w:r>
          </w:p>
        </w:tc>
        <w:tc>
          <w:tcPr>
            <w:tcW w:w="300" w:type="dxa"/>
            <w:vAlign w:val="bottom"/>
          </w:tcPr>
          <w:p>
            <w:pPr>
              <w:spacing w:after="0"/>
              <w:rPr>
                <w:sz w:val="16"/>
                <w:szCs w:val="16"/>
                <w:color w:val="auto"/>
              </w:rPr>
            </w:pP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421,374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406,931</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$493.1 million at both dates</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Stockholders’ equity</w:t>
            </w:r>
          </w:p>
        </w:tc>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40"/>
              <w:spacing w:after="0" w:line="194" w:lineRule="exact"/>
              <w:rPr>
                <w:sz w:val="20"/>
                <w:szCs w:val="20"/>
                <w:color w:val="auto"/>
              </w:rPr>
            </w:pPr>
            <w:r>
              <w:rPr>
                <w:rFonts w:ascii="Arial" w:cs="Arial" w:eastAsia="Arial" w:hAnsi="Arial"/>
                <w:sz w:val="20"/>
                <w:szCs w:val="20"/>
                <w:color w:val="auto"/>
              </w:rPr>
              <w:t>Preferred stock of $0.001 par value - 4,500,000 shares authorized;</w:t>
            </w:r>
          </w:p>
        </w:tc>
        <w:tc>
          <w:tcPr>
            <w:tcW w:w="300" w:type="dxa"/>
            <w:vAlign w:val="bottom"/>
            <w:shd w:val="clear" w:color="auto" w:fill="CCEEFF"/>
          </w:tcPr>
          <w:p>
            <w:pPr>
              <w:spacing w:after="0"/>
              <w:rPr>
                <w:sz w:val="16"/>
                <w:szCs w:val="16"/>
                <w:color w:val="auto"/>
              </w:rPr>
            </w:pPr>
          </w:p>
        </w:tc>
        <w:tc>
          <w:tcPr>
            <w:tcW w:w="2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none issued at respective dates</w:t>
            </w:r>
          </w:p>
        </w:tc>
        <w:tc>
          <w:tcPr>
            <w:tcW w:w="300" w:type="dxa"/>
            <w:vAlign w:val="bottom"/>
            <w:shd w:val="clear" w:color="auto" w:fill="CCEEFF"/>
          </w:tcPr>
          <w:p>
            <w:pPr>
              <w:spacing w:after="0"/>
              <w:rPr>
                <w:sz w:val="21"/>
                <w:szCs w:val="21"/>
                <w:color w:val="auto"/>
              </w:rPr>
            </w:pPr>
          </w:p>
        </w:tc>
        <w:tc>
          <w:tcPr>
            <w:tcW w:w="21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Common stock of $0.001 par value - 1,000,000,000 shares authorized;</w:t>
            </w:r>
          </w:p>
        </w:tc>
        <w:tc>
          <w:tcPr>
            <w:tcW w:w="300" w:type="dxa"/>
            <w:vAlign w:val="bottom"/>
          </w:tcPr>
          <w:p>
            <w:pPr>
              <w:spacing w:after="0"/>
              <w:rPr>
                <w:sz w:val="16"/>
                <w:szCs w:val="16"/>
                <w:color w:val="auto"/>
              </w:rPr>
            </w:pP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51"/>
        </w:trPr>
        <w:tc>
          <w:tcPr>
            <w:tcW w:w="6520" w:type="dxa"/>
            <w:vAlign w:val="bottom"/>
          </w:tcPr>
          <w:p>
            <w:pPr>
              <w:ind w:left="20"/>
              <w:spacing w:after="0"/>
              <w:rPr>
                <w:sz w:val="20"/>
                <w:szCs w:val="20"/>
                <w:color w:val="auto"/>
              </w:rPr>
            </w:pPr>
            <w:r>
              <w:rPr>
                <w:rFonts w:ascii="Arial" w:cs="Arial" w:eastAsia="Arial" w:hAnsi="Arial"/>
                <w:sz w:val="20"/>
                <w:szCs w:val="20"/>
                <w:color w:val="auto"/>
              </w:rPr>
              <w:t>152,512,805 and 151,951,652 shares issued at respective dates</w:t>
            </w:r>
          </w:p>
        </w:tc>
        <w:tc>
          <w:tcPr>
            <w:tcW w:w="30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286,079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297,780</w:t>
            </w:r>
          </w:p>
        </w:tc>
        <w:tc>
          <w:tcPr>
            <w:tcW w:w="0" w:type="dxa"/>
            <w:vAlign w:val="bottom"/>
          </w:tcPr>
          <w:p>
            <w:pPr>
              <w:spacing w:after="0"/>
              <w:rPr>
                <w:sz w:val="1"/>
                <w:szCs w:val="1"/>
                <w:color w:val="auto"/>
              </w:rPr>
            </w:pP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3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(353,878)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(370,624)</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30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(30,126)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(45,403)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520"/>
              <w:spacing w:after="0"/>
              <w:rPr>
                <w:sz w:val="20"/>
                <w:szCs w:val="20"/>
                <w:color w:val="auto"/>
              </w:rPr>
            </w:pPr>
            <w:r>
              <w:rPr>
                <w:rFonts w:ascii="Arial" w:cs="Arial" w:eastAsia="Arial" w:hAnsi="Arial"/>
                <w:sz w:val="20"/>
                <w:szCs w:val="20"/>
                <w:color w:val="auto"/>
              </w:rPr>
              <w:t>Total stockholders’ equity</w:t>
            </w: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(97,774)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(118,096)</w:t>
            </w:r>
          </w:p>
        </w:tc>
        <w:tc>
          <w:tcPr>
            <w:tcW w:w="0" w:type="dxa"/>
            <w:vAlign w:val="bottom"/>
          </w:tcPr>
          <w:p>
            <w:pPr>
              <w:spacing w:after="0"/>
              <w:rPr>
                <w:sz w:val="1"/>
                <w:szCs w:val="1"/>
                <w:color w:val="auto"/>
              </w:rPr>
            </w:pPr>
          </w:p>
        </w:tc>
      </w:tr>
      <w:tr>
        <w:trPr>
          <w:trHeight w:val="174"/>
        </w:trPr>
        <w:tc>
          <w:tcPr>
            <w:tcW w:w="6520" w:type="dxa"/>
            <w:vAlign w:val="bottom"/>
            <w:shd w:val="clear" w:color="auto" w:fill="CCEEFF"/>
          </w:tcPr>
          <w:p>
            <w:pPr>
              <w:ind w:left="520"/>
              <w:spacing w:after="0" w:line="174" w:lineRule="exact"/>
              <w:rPr>
                <w:sz w:val="20"/>
                <w:szCs w:val="20"/>
                <w:color w:val="auto"/>
              </w:rPr>
            </w:pPr>
            <w:r>
              <w:rPr>
                <w:rFonts w:ascii="Arial" w:cs="Arial" w:eastAsia="Arial" w:hAnsi="Arial"/>
                <w:sz w:val="20"/>
                <w:szCs w:val="20"/>
                <w:color w:val="auto"/>
              </w:rPr>
              <w:t>Total liabilities, redeemable perpetual preferred stock and</w:t>
            </w:r>
          </w:p>
        </w:tc>
        <w:tc>
          <w:tcPr>
            <w:tcW w:w="30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1,425,758</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1,425,999</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520"/>
              <w:spacing w:after="0" w:line="224" w:lineRule="exact"/>
              <w:rPr>
                <w:sz w:val="20"/>
                <w:szCs w:val="20"/>
                <w:color w:val="auto"/>
              </w:rPr>
            </w:pPr>
            <w:r>
              <w:rPr>
                <w:rFonts w:ascii="Arial" w:cs="Arial" w:eastAsia="Arial" w:hAnsi="Arial"/>
                <w:sz w:val="20"/>
                <w:szCs w:val="20"/>
                <w:color w:val="auto"/>
              </w:rPr>
              <w:t>stockholders’ equity</w:t>
            </w: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20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2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ind w:left="444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ind w:right="20"/>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20" w:type="dxa"/>
            <w:vAlign w:val="bottom"/>
          </w:tcPr>
          <w:p>
            <w:pPr>
              <w:spacing w:after="0"/>
              <w:rPr>
                <w:sz w:val="23"/>
                <w:szCs w:val="23"/>
                <w:color w:val="auto"/>
              </w:rPr>
            </w:pPr>
          </w:p>
        </w:tc>
        <w:tc>
          <w:tcPr>
            <w:tcW w:w="382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840" w:type="dxa"/>
            <w:vAlign w:val="bottom"/>
            <w:tcBorders>
              <w:bottom w:val="single" w:sz="8" w:color="auto"/>
            </w:tcBorders>
          </w:tcPr>
          <w:p>
            <w:pPr>
              <w:spacing w:after="0"/>
              <w:rPr>
                <w:sz w:val="21"/>
                <w:szCs w:val="21"/>
                <w:color w:val="auto"/>
              </w:rPr>
            </w:pPr>
          </w:p>
        </w:tc>
      </w:tr>
      <w:tr>
        <w:trPr>
          <w:trHeight w:val="250"/>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Revenue</w:t>
            </w:r>
          </w:p>
        </w:tc>
        <w:tc>
          <w:tcPr>
            <w:tcW w:w="142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302,363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153,403</w:t>
            </w: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Cost of revenue</w:t>
            </w:r>
          </w:p>
        </w:tc>
        <w:tc>
          <w:tcPr>
            <w:tcW w:w="1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65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Cost of product and service revenue</w:t>
            </w:r>
          </w:p>
        </w:tc>
        <w:tc>
          <w:tcPr>
            <w:tcW w:w="14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222,296</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94,674</w:t>
            </w:r>
          </w:p>
        </w:tc>
      </w:tr>
      <w:tr>
        <w:trPr>
          <w:trHeight w:val="257"/>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Amortization of developed technology</w:t>
            </w:r>
          </w:p>
        </w:tc>
        <w:tc>
          <w:tcPr>
            <w:tcW w:w="1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r>
      <w:tr>
        <w:trPr>
          <w:trHeight w:val="250"/>
        </w:trPr>
        <w:tc>
          <w:tcPr>
            <w:tcW w:w="6520" w:type="dxa"/>
            <w:vAlign w:val="bottom"/>
            <w:shd w:val="clear" w:color="auto" w:fill="CCEEFF"/>
          </w:tcPr>
          <w:p>
            <w:pPr>
              <w:ind w:left="540"/>
              <w:spacing w:after="0"/>
              <w:rPr>
                <w:sz w:val="20"/>
                <w:szCs w:val="20"/>
                <w:color w:val="auto"/>
              </w:rPr>
            </w:pPr>
            <w:r>
              <w:rPr>
                <w:rFonts w:ascii="Arial" w:cs="Arial" w:eastAsia="Arial" w:hAnsi="Arial"/>
                <w:sz w:val="20"/>
                <w:szCs w:val="20"/>
                <w:color w:val="auto"/>
              </w:rPr>
              <w:t>Total cost of revenue</w:t>
            </w:r>
          </w:p>
        </w:tc>
        <w:tc>
          <w:tcPr>
            <w:tcW w:w="1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225,935</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98,313</w:t>
            </w:r>
          </w:p>
        </w:tc>
      </w:tr>
      <w:tr>
        <w:trPr>
          <w:trHeight w:val="250"/>
        </w:trPr>
        <w:tc>
          <w:tcPr>
            <w:tcW w:w="65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Gross profit</w:t>
            </w:r>
          </w:p>
        </w:tc>
        <w:tc>
          <w:tcPr>
            <w:tcW w:w="1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76,428</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55,090</w:t>
            </w:r>
          </w:p>
        </w:tc>
      </w:tr>
      <w:tr>
        <w:trPr>
          <w:trHeight w:val="250"/>
        </w:trPr>
        <w:tc>
          <w:tcPr>
            <w:tcW w:w="65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6"/>
        </w:trPr>
        <w:tc>
          <w:tcPr>
            <w:tcW w:w="6520" w:type="dxa"/>
            <w:vAlign w:val="bottom"/>
          </w:tcPr>
          <w:p>
            <w:pPr>
              <w:spacing w:after="0"/>
              <w:rPr>
                <w:sz w:val="20"/>
                <w:szCs w:val="20"/>
                <w:color w:val="auto"/>
              </w:rPr>
            </w:pPr>
            <w:r>
              <w:rPr>
                <w:rFonts w:ascii="Arial" w:cs="Arial" w:eastAsia="Arial" w:hAnsi="Arial"/>
                <w:sz w:val="20"/>
                <w:szCs w:val="20"/>
                <w:color w:val="auto"/>
              </w:rPr>
              <w:t>Operating expenses</w:t>
            </w:r>
          </w:p>
        </w:tc>
        <w:tc>
          <w:tcPr>
            <w:tcW w:w="1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65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General and administrative</w:t>
            </w:r>
          </w:p>
        </w:tc>
        <w:tc>
          <w:tcPr>
            <w:tcW w:w="14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43,945</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37,784</w:t>
            </w:r>
          </w:p>
        </w:tc>
      </w:tr>
      <w:tr>
        <w:trPr>
          <w:trHeight w:val="257"/>
        </w:trPr>
        <w:tc>
          <w:tcPr>
            <w:tcW w:w="6520" w:type="dxa"/>
            <w:vAlign w:val="bottom"/>
          </w:tcPr>
          <w:p>
            <w:pPr>
              <w:ind w:left="220"/>
              <w:spacing w:after="0"/>
              <w:rPr>
                <w:sz w:val="20"/>
                <w:szCs w:val="20"/>
                <w:color w:val="auto"/>
              </w:rPr>
            </w:pPr>
            <w:r>
              <w:rPr>
                <w:rFonts w:ascii="Arial" w:cs="Arial" w:eastAsia="Arial" w:hAnsi="Arial"/>
                <w:sz w:val="20"/>
                <w:szCs w:val="20"/>
                <w:color w:val="auto"/>
              </w:rPr>
              <w:t>Change in fair value of contingent consideration</w:t>
            </w:r>
          </w:p>
        </w:tc>
        <w:tc>
          <w:tcPr>
            <w:tcW w:w="1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(735)</w:t>
            </w:r>
          </w:p>
        </w:tc>
      </w:tr>
      <w:tr>
        <w:trPr>
          <w:trHeight w:val="257"/>
        </w:trPr>
        <w:tc>
          <w:tcPr>
            <w:tcW w:w="65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Depreciation and amortization</w:t>
            </w:r>
          </w:p>
        </w:tc>
        <w:tc>
          <w:tcPr>
            <w:tcW w:w="1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5,349</w:t>
            </w:r>
          </w:p>
        </w:tc>
        <w:tc>
          <w:tcPr>
            <w:tcW w:w="8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9,627</w:t>
            </w:r>
          </w:p>
        </w:tc>
      </w:tr>
      <w:tr>
        <w:trPr>
          <w:trHeight w:val="250"/>
        </w:trPr>
        <w:tc>
          <w:tcPr>
            <w:tcW w:w="6520" w:type="dxa"/>
            <w:vAlign w:val="bottom"/>
            <w:tcBorders>
              <w:bottom w:val="single" w:sz="8" w:color="CCEEFF"/>
            </w:tcBorders>
          </w:tcPr>
          <w:p>
            <w:pPr>
              <w:ind w:left="540"/>
              <w:spacing w:after="0"/>
              <w:rPr>
                <w:sz w:val="20"/>
                <w:szCs w:val="20"/>
                <w:color w:val="auto"/>
              </w:rPr>
            </w:pPr>
            <w:r>
              <w:rPr>
                <w:rFonts w:ascii="Arial" w:cs="Arial" w:eastAsia="Arial" w:hAnsi="Arial"/>
                <w:sz w:val="20"/>
                <w:szCs w:val="20"/>
                <w:color w:val="auto"/>
              </w:rPr>
              <w:t>Total operating expenses</w:t>
            </w:r>
          </w:p>
        </w:tc>
        <w:tc>
          <w:tcPr>
            <w:tcW w:w="1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49,144</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46,676</w:t>
            </w:r>
          </w:p>
        </w:tc>
      </w:tr>
      <w:tr>
        <w:trPr>
          <w:trHeight w:val="250"/>
        </w:trPr>
        <w:tc>
          <w:tcPr>
            <w:tcW w:w="65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Income from operations</w:t>
            </w:r>
          </w:p>
        </w:tc>
        <w:tc>
          <w:tcPr>
            <w:tcW w:w="142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27,284</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8,414</w:t>
            </w:r>
          </w:p>
        </w:tc>
      </w:tr>
      <w:tr>
        <w:trPr>
          <w:trHeight w:val="270"/>
        </w:trPr>
        <w:tc>
          <w:tcPr>
            <w:tcW w:w="65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57"/>
        </w:trPr>
        <w:tc>
          <w:tcPr>
            <w:tcW w:w="6520" w:type="dxa"/>
            <w:vAlign w:val="bottom"/>
          </w:tcPr>
          <w:p>
            <w:pPr>
              <w:ind w:left="220"/>
              <w:spacing w:after="0"/>
              <w:rPr>
                <w:sz w:val="20"/>
                <w:szCs w:val="20"/>
                <w:color w:val="auto"/>
              </w:rPr>
            </w:pPr>
            <w:r>
              <w:rPr>
                <w:rFonts w:ascii="Arial" w:cs="Arial" w:eastAsia="Arial" w:hAnsi="Arial"/>
                <w:sz w:val="20"/>
                <w:szCs w:val="20"/>
                <w:color w:val="auto"/>
              </w:rPr>
              <w:t>Other expense, net</w:t>
            </w:r>
          </w:p>
        </w:tc>
        <w:tc>
          <w:tcPr>
            <w:tcW w:w="142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814</w:t>
            </w:r>
          </w:p>
        </w:tc>
      </w:tr>
      <w:tr>
        <w:trPr>
          <w:trHeight w:val="257"/>
        </w:trPr>
        <w:tc>
          <w:tcPr>
            <w:tcW w:w="65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Interest income</w:t>
            </w:r>
          </w:p>
        </w:tc>
        <w:tc>
          <w:tcPr>
            <w:tcW w:w="14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3,319</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3,680</w:t>
            </w:r>
          </w:p>
        </w:tc>
      </w:tr>
      <w:tr>
        <w:trPr>
          <w:trHeight w:val="257"/>
        </w:trPr>
        <w:tc>
          <w:tcPr>
            <w:tcW w:w="6520" w:type="dxa"/>
            <w:vAlign w:val="bottom"/>
          </w:tcPr>
          <w:p>
            <w:pPr>
              <w:ind w:left="220"/>
              <w:spacing w:after="0"/>
              <w:rPr>
                <w:sz w:val="20"/>
                <w:szCs w:val="20"/>
                <w:color w:val="auto"/>
              </w:rPr>
            </w:pPr>
            <w:r>
              <w:rPr>
                <w:rFonts w:ascii="Arial" w:cs="Arial" w:eastAsia="Arial" w:hAnsi="Arial"/>
                <w:sz w:val="20"/>
                <w:szCs w:val="20"/>
                <w:color w:val="auto"/>
              </w:rPr>
              <w:t>Foreign currency gain (loss), net</w:t>
            </w:r>
          </w:p>
        </w:tc>
        <w:tc>
          <w:tcPr>
            <w:tcW w:w="142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689</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(499)</w:t>
            </w:r>
          </w:p>
        </w:tc>
      </w:tr>
      <w:tr>
        <w:trPr>
          <w:trHeight w:val="256"/>
        </w:trPr>
        <w:tc>
          <w:tcPr>
            <w:tcW w:w="65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Interest expense</w:t>
            </w:r>
          </w:p>
        </w:tc>
        <w:tc>
          <w:tcPr>
            <w:tcW w:w="1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(8,035)</w:t>
            </w:r>
          </w:p>
        </w:tc>
        <w:tc>
          <w:tcPr>
            <w:tcW w:w="8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(8,940)</w:t>
            </w:r>
          </w:p>
        </w:tc>
      </w:tr>
      <w:tr>
        <w:trPr>
          <w:trHeight w:val="250"/>
        </w:trPr>
        <w:tc>
          <w:tcPr>
            <w:tcW w:w="6520" w:type="dxa"/>
            <w:vAlign w:val="bottom"/>
            <w:tcBorders>
              <w:bottom w:val="single" w:sz="8" w:color="CCEEFF"/>
            </w:tcBorders>
          </w:tcPr>
          <w:p>
            <w:pPr>
              <w:ind w:left="580"/>
              <w:spacing w:after="0"/>
              <w:rPr>
                <w:sz w:val="20"/>
                <w:szCs w:val="20"/>
                <w:color w:val="auto"/>
              </w:rPr>
            </w:pPr>
            <w:r>
              <w:rPr>
                <w:rFonts w:ascii="Arial" w:cs="Arial" w:eastAsia="Arial" w:hAnsi="Arial"/>
                <w:sz w:val="20"/>
                <w:szCs w:val="20"/>
                <w:color w:val="auto"/>
              </w:rPr>
              <w:t>Total other expense, net</w:t>
            </w:r>
          </w:p>
        </w:tc>
        <w:tc>
          <w:tcPr>
            <w:tcW w:w="1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(4,004)</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(4,945)</w:t>
            </w:r>
          </w:p>
        </w:tc>
      </w:tr>
      <w:tr>
        <w:trPr>
          <w:trHeight w:val="250"/>
        </w:trPr>
        <w:tc>
          <w:tcPr>
            <w:tcW w:w="65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Income before income tax expense</w:t>
            </w:r>
          </w:p>
        </w:tc>
        <w:tc>
          <w:tcPr>
            <w:tcW w:w="142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23,280</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3,469</w:t>
            </w:r>
          </w:p>
        </w:tc>
      </w:tr>
      <w:tr>
        <w:trPr>
          <w:trHeight w:val="256"/>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Income tax expense</w:t>
            </w:r>
          </w:p>
        </w:tc>
        <w:tc>
          <w:tcPr>
            <w:tcW w:w="1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6,534</w:t>
            </w:r>
          </w:p>
        </w:tc>
        <w:tc>
          <w:tcPr>
            <w:tcW w:w="8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1,304</w:t>
            </w:r>
          </w:p>
        </w:tc>
      </w:tr>
      <w:tr>
        <w:trPr>
          <w:trHeight w:val="250"/>
        </w:trPr>
        <w:tc>
          <w:tcPr>
            <w:tcW w:w="6520" w:type="dxa"/>
            <w:vAlign w:val="bottom"/>
          </w:tcPr>
          <w:p>
            <w:pPr>
              <w:spacing w:after="0"/>
              <w:rPr>
                <w:sz w:val="20"/>
                <w:szCs w:val="20"/>
                <w:color w:val="auto"/>
              </w:rPr>
            </w:pPr>
            <w:r>
              <w:rPr>
                <w:rFonts w:ascii="Arial" w:cs="Arial" w:eastAsia="Arial" w:hAnsi="Arial"/>
                <w:sz w:val="20"/>
                <w:szCs w:val="20"/>
                <w:color w:val="auto"/>
              </w:rPr>
              <w:t>Net income</w:t>
            </w:r>
          </w:p>
        </w:tc>
        <w:tc>
          <w:tcPr>
            <w:tcW w:w="142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16,746</w:t>
            </w: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2,165</w:t>
            </w:r>
          </w:p>
        </w:tc>
      </w:tr>
      <w:tr>
        <w:trPr>
          <w:trHeight w:val="257"/>
        </w:trPr>
        <w:tc>
          <w:tcPr>
            <w:tcW w:w="6520" w:type="dxa"/>
            <w:vAlign w:val="bottom"/>
            <w:shd w:val="clear" w:color="auto" w:fill="CCEEFF"/>
          </w:tcPr>
          <w:p>
            <w:pPr>
              <w:spacing w:after="0"/>
              <w:rPr>
                <w:sz w:val="20"/>
                <w:szCs w:val="20"/>
                <w:color w:val="auto"/>
              </w:rPr>
            </w:pPr>
            <w:r>
              <w:rPr>
                <w:rFonts w:ascii="Arial" w:cs="Arial" w:eastAsia="Arial" w:hAnsi="Arial"/>
                <w:sz w:val="20"/>
                <w:szCs w:val="20"/>
                <w:color w:val="auto"/>
              </w:rPr>
              <w:t>Preferred dividends and accretion</w:t>
            </w:r>
          </w:p>
        </w:tc>
        <w:tc>
          <w:tcPr>
            <w:tcW w:w="1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14,443</w:t>
            </w:r>
          </w:p>
        </w:tc>
        <w:tc>
          <w:tcPr>
            <w:tcW w:w="8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13,502</w:t>
            </w:r>
          </w:p>
        </w:tc>
      </w:tr>
      <w:tr>
        <w:trPr>
          <w:trHeight w:val="250"/>
        </w:trPr>
        <w:tc>
          <w:tcPr>
            <w:tcW w:w="6520" w:type="dxa"/>
            <w:vAlign w:val="bottom"/>
          </w:tcPr>
          <w:p>
            <w:pPr>
              <w:spacing w:after="0"/>
              <w:rPr>
                <w:sz w:val="20"/>
                <w:szCs w:val="20"/>
                <w:color w:val="auto"/>
              </w:rPr>
            </w:pPr>
            <w:r>
              <w:rPr>
                <w:rFonts w:ascii="Arial" w:cs="Arial" w:eastAsia="Arial" w:hAnsi="Arial"/>
                <w:sz w:val="20"/>
                <w:szCs w:val="20"/>
                <w:color w:val="auto"/>
              </w:rPr>
              <w:t>Net income (loss) to common shareholders</w:t>
            </w:r>
          </w:p>
        </w:tc>
        <w:tc>
          <w:tcPr>
            <w:tcW w:w="1420" w:type="dxa"/>
            <w:vAlign w:val="bottom"/>
            <w:tcBorders>
              <w:bottom w:val="single" w:sz="8" w:color="auto"/>
            </w:tcBorders>
          </w:tcPr>
          <w:p>
            <w:pPr>
              <w:jc w:val="right"/>
              <w:ind w:right="120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2,303</w:t>
            </w:r>
          </w:p>
        </w:tc>
        <w:tc>
          <w:tcPr>
            <w:tcW w:w="80" w:type="dxa"/>
            <w:vAlign w:val="bottom"/>
          </w:tcPr>
          <w:p>
            <w:pPr>
              <w:spacing w:after="0"/>
              <w:rPr>
                <w:sz w:val="21"/>
                <w:szCs w:val="21"/>
                <w:color w:val="auto"/>
              </w:rPr>
            </w:pPr>
          </w:p>
        </w:tc>
        <w:tc>
          <w:tcPr>
            <w:tcW w:w="144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(11,337)</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20"/>
                <w:szCs w:val="20"/>
                <w:color w:val="auto"/>
              </w:rPr>
              <w:t>Income (loss) per common share</w:t>
            </w:r>
          </w:p>
        </w:tc>
        <w:tc>
          <w:tcPr>
            <w:tcW w:w="1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2"/>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Basic</w:t>
            </w:r>
          </w:p>
        </w:tc>
        <w:tc>
          <w:tcPr>
            <w:tcW w:w="142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0.02</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20"/>
                <w:szCs w:val="20"/>
                <w:color w:val="auto"/>
              </w:rPr>
              <w:t>Diluted</w:t>
            </w:r>
          </w:p>
        </w:tc>
        <w:tc>
          <w:tcPr>
            <w:tcW w:w="1420" w:type="dxa"/>
            <w:vAlign w:val="bottom"/>
            <w:tcBorders>
              <w:bottom w:val="single" w:sz="8" w:color="auto"/>
            </w:tcBorders>
          </w:tcPr>
          <w:p>
            <w:pPr>
              <w:jc w:val="right"/>
              <w:ind w:right="120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line="224" w:lineRule="exact"/>
              <w:rPr>
                <w:sz w:val="20"/>
                <w:szCs w:val="20"/>
                <w:color w:val="auto"/>
              </w:rPr>
            </w:pPr>
            <w:r>
              <w:rPr>
                <w:rFonts w:ascii="Arial" w:cs="Arial" w:eastAsia="Arial" w:hAnsi="Arial"/>
                <w:sz w:val="20"/>
                <w:szCs w:val="20"/>
                <w:color w:val="auto"/>
              </w:rPr>
              <w:t>Weighted average number of common shares outstanding</w:t>
            </w:r>
          </w:p>
        </w:tc>
        <w:tc>
          <w:tcPr>
            <w:tcW w:w="1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Basic</w:t>
            </w:r>
          </w:p>
        </w:tc>
        <w:tc>
          <w:tcPr>
            <w:tcW w:w="1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152,076</w:t>
            </w:r>
          </w:p>
        </w:tc>
        <w:tc>
          <w:tcPr>
            <w:tcW w:w="8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151,351</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Diluted</w:t>
            </w:r>
          </w:p>
        </w:tc>
        <w:tc>
          <w:tcPr>
            <w:tcW w:w="14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152,783</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151,351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02" w:right="359" w:bottom="1440" w:gutter="0" w:footer="0" w:header="0"/>
        </w:sectPr>
      </w:pPr>
    </w:p>
    <w:bookmarkStart w:id="6" w:name="page7"/>
    <w:bookmarkEnd w:id="6"/>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8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20" w:type="dxa"/>
            <w:vAlign w:val="bottom"/>
            <w:tcBorders>
              <w:bottom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2025</w:t>
            </w: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2024</w:t>
            </w:r>
          </w:p>
        </w:tc>
        <w:tc>
          <w:tcPr>
            <w:tcW w:w="820" w:type="dxa"/>
            <w:vAlign w:val="bottom"/>
            <w:tcBorders>
              <w:bottom w:val="single" w:sz="8" w:color="auto"/>
            </w:tcBorders>
          </w:tcPr>
          <w:p>
            <w:pPr>
              <w:spacing w:after="0"/>
              <w:rPr>
                <w:sz w:val="21"/>
                <w:szCs w:val="2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500" w:type="dxa"/>
            <w:vAlign w:val="bottom"/>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16,746</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261"/>
              <w:spacing w:after="0"/>
              <w:rPr>
                <w:sz w:val="20"/>
                <w:szCs w:val="20"/>
                <w:color w:val="auto"/>
              </w:rPr>
            </w:pPr>
            <w:r>
              <w:rPr>
                <w:rFonts w:ascii="Arial" w:cs="Arial" w:eastAsia="Arial" w:hAnsi="Arial"/>
                <w:sz w:val="20"/>
                <w:szCs w:val="20"/>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2,165</w:t>
            </w:r>
          </w:p>
        </w:tc>
      </w:tr>
      <w:tr>
        <w:trPr>
          <w:trHeight w:val="257"/>
        </w:trPr>
        <w:tc>
          <w:tcPr>
            <w:tcW w:w="654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Foreign currency translation</w:t>
            </w:r>
            <w:r>
              <w:rPr>
                <w:rFonts w:ascii="Arial" w:cs="Arial" w:eastAsia="Arial" w:hAnsi="Arial"/>
                <w:sz w:val="25"/>
                <w:szCs w:val="25"/>
                <w:color w:val="auto"/>
                <w:vertAlign w:val="superscript"/>
              </w:rPr>
              <w:t>(1)</w:t>
            </w:r>
          </w:p>
        </w:tc>
        <w:tc>
          <w:tcPr>
            <w:tcW w:w="1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15,277</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(19,242)</w:t>
            </w:r>
          </w:p>
        </w:tc>
      </w:tr>
      <w:tr>
        <w:trPr>
          <w:trHeight w:val="2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1500" w:type="dxa"/>
            <w:vAlign w:val="bottom"/>
            <w:tcBorders>
              <w:bottom w:val="single" w:sz="8" w:color="auto"/>
            </w:tcBorders>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32,023</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6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(17,077)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36"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There are no tax effects on foreign currency adjustments.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 w:name="page8"/>
    <w:bookmarkEnd w:id="7"/>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March 31, 2025</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tcBorders>
              <w:right w:val="single" w:sz="8" w:color="auto"/>
            </w:tcBorders>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Pr>
          <w:p>
            <w:pPr>
              <w:spacing w:after="0"/>
              <w:rPr>
                <w:sz w:val="15"/>
                <w:szCs w:val="15"/>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Pr>
          <w:p>
            <w:pPr>
              <w:spacing w:after="0"/>
              <w:rPr>
                <w:sz w:val="20"/>
                <w:szCs w:val="20"/>
                <w:color w:val="auto"/>
              </w:rPr>
            </w:pPr>
          </w:p>
        </w:tc>
        <w:tc>
          <w:tcPr>
            <w:tcW w:w="158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$406,931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151,952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297,780</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(370,624)</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(45,403)</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(118,096)</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accretion</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20" w:type="dxa"/>
            <w:vAlign w:val="bottom"/>
            <w:gridSpan w:val="2"/>
            <w:vMerge w:val="continue"/>
            <w:shd w:val="clear" w:color="auto" w:fill="CCEEFF"/>
          </w:tcPr>
          <w:p>
            <w:pPr>
              <w:spacing w:after="0"/>
              <w:rPr>
                <w:sz w:val="21"/>
                <w:szCs w:val="21"/>
                <w:color w:val="auto"/>
              </w:rPr>
            </w:pPr>
          </w:p>
        </w:tc>
        <w:tc>
          <w:tcPr>
            <w:tcW w:w="96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20"/>
              <w:spacing w:after="0" w:line="156"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March 31,</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421,374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152,513</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286,079</w:t>
            </w: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(353,878)</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(30,126)</w:t>
            </w:r>
          </w:p>
        </w:tc>
        <w:tc>
          <w:tcPr>
            <w:tcW w:w="80" w:type="dxa"/>
            <w:vAlign w:val="bottom"/>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(97,774)</w:t>
            </w:r>
          </w:p>
        </w:tc>
        <w:tc>
          <w:tcPr>
            <w:tcW w:w="0" w:type="dxa"/>
            <w:vAlign w:val="bottom"/>
          </w:tcPr>
          <w:p>
            <w:pPr>
              <w:spacing w:after="0"/>
              <w:rPr>
                <w:sz w:val="1"/>
                <w:szCs w:val="1"/>
                <w:color w:val="auto"/>
              </w:rPr>
            </w:pPr>
          </w:p>
        </w:tc>
      </w:tr>
      <w:tr>
        <w:trPr>
          <w:trHeight w:val="261"/>
        </w:trPr>
        <w:tc>
          <w:tcPr>
            <w:tcW w:w="1180" w:type="dxa"/>
            <w:vAlign w:val="bottom"/>
          </w:tcPr>
          <w:p>
            <w:pPr>
              <w:ind w:left="20"/>
              <w:spacing w:after="0"/>
              <w:rPr>
                <w:sz w:val="20"/>
                <w:szCs w:val="20"/>
                <w:color w:val="auto"/>
              </w:rPr>
            </w:pPr>
            <w:r>
              <w:rPr>
                <w:rFonts w:ascii="Arial" w:cs="Arial" w:eastAsia="Arial" w:hAnsi="Arial"/>
                <w:sz w:val="18"/>
                <w:szCs w:val="18"/>
                <w:color w:val="auto"/>
              </w:rPr>
              <w:t>2025</w:t>
            </w: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tbl>
      <w:tblPr>
        <w:tblLayout w:type="fixed"/>
        <w:tblInd w:w="0" w:type="dxa"/>
        <w:tblCellMar>
          <w:top w:w="0" w:type="dxa"/>
          <w:left w:w="0" w:type="dxa"/>
          <w:bottom w:w="0" w:type="dxa"/>
          <w:right w:w="0" w:type="dxa"/>
        </w:tblCellMar>
      </w:tblPr>
      <w:tr>
        <w:trPr>
          <w:trHeight w:val="261"/>
        </w:trPr>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right"/>
              <w:spacing w:after="0"/>
              <w:rPr>
                <w:sz w:val="20"/>
                <w:szCs w:val="20"/>
                <w:color w:val="auto"/>
              </w:rPr>
            </w:pPr>
            <w:r>
              <w:rPr>
                <w:rFonts w:ascii="Arial" w:cs="Arial" w:eastAsia="Arial" w:hAnsi="Arial"/>
                <w:sz w:val="20"/>
                <w:szCs w:val="20"/>
                <w:i w:val="1"/>
                <w:iCs w:val="1"/>
                <w:color w:val="auto"/>
              </w:rPr>
              <w:t>(in thousands)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70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Three Months Ended March 31, 2024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1680" w:type="dxa"/>
            <w:vAlign w:val="bottom"/>
            <w:gridSpan w:val="4"/>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Preferred Stock</w:t>
            </w:r>
          </w:p>
        </w:tc>
        <w:tc>
          <w:tcPr>
            <w:tcW w:w="16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6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$351,260</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151,242</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(130,230)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259,248</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31, 2023</w:t>
            </w: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Shares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issued in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line="186" w:lineRule="exact"/>
              <w:rPr>
                <w:sz w:val="20"/>
                <w:szCs w:val="20"/>
                <w:color w:val="auto"/>
              </w:rPr>
            </w:pPr>
            <w:r>
              <w:rPr>
                <w:rFonts w:ascii="Arial" w:cs="Arial" w:eastAsia="Arial" w:hAnsi="Arial"/>
                <w:sz w:val="18"/>
                <w:szCs w:val="18"/>
                <w:i w:val="1"/>
                <w:iCs w:val="1"/>
                <w:color w:val="auto"/>
              </w:rPr>
              <w:t>connection</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80" w:type="dxa"/>
            <w:vAlign w:val="bottom"/>
          </w:tcPr>
          <w:p>
            <w:pPr>
              <w:ind w:left="20"/>
              <w:spacing w:after="0"/>
              <w:rPr>
                <w:sz w:val="20"/>
                <w:szCs w:val="20"/>
                <w:color w:val="auto"/>
              </w:rPr>
            </w:pPr>
            <w:r>
              <w:rPr>
                <w:rFonts w:ascii="Arial" w:cs="Arial" w:eastAsia="Arial" w:hAnsi="Arial"/>
                <w:sz w:val="18"/>
                <w:szCs w:val="18"/>
                <w:i w:val="1"/>
                <w:iCs w:val="1"/>
                <w:color w:val="auto"/>
              </w:rPr>
              <w:t>with:</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of</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Employee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Tax</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withholding</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related to</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80" w:type="dxa"/>
            <w:vAlign w:val="bottom"/>
          </w:tcPr>
          <w:p>
            <w:pPr>
              <w:ind w:left="20"/>
              <w:spacing w:after="0" w:line="181" w:lineRule="exact"/>
              <w:rPr>
                <w:sz w:val="20"/>
                <w:szCs w:val="20"/>
                <w:color w:val="auto"/>
              </w:rPr>
            </w:pPr>
            <w:r>
              <w:rPr>
                <w:rFonts w:ascii="Arial" w:cs="Arial" w:eastAsia="Arial" w:hAnsi="Arial"/>
                <w:sz w:val="18"/>
                <w:szCs w:val="18"/>
                <w:color w:val="auto"/>
              </w:rPr>
              <w:t>vesting of</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(1,722)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4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0" w:type="dxa"/>
            <w:vAlign w:val="bottom"/>
          </w:tcPr>
          <w:p>
            <w:pPr>
              <w:spacing w:after="0"/>
              <w:rPr>
                <w:sz w:val="1"/>
                <w:szCs w:val="1"/>
                <w:color w:val="auto"/>
              </w:rPr>
            </w:pPr>
          </w:p>
        </w:tc>
      </w:tr>
      <w:tr>
        <w:trPr>
          <w:trHeight w:val="235"/>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accretion</w:t>
            </w: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20" w:type="dxa"/>
            <w:vAlign w:val="bottom"/>
            <w:tcBorders>
              <w:left w:val="single" w:sz="8" w:color="CCEEFF"/>
            </w:tcBorders>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74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2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364,762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151,727</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333,570</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(128,065)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25,568</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231,224</w:t>
            </w:r>
          </w:p>
        </w:tc>
        <w:tc>
          <w:tcPr>
            <w:tcW w:w="0" w:type="dxa"/>
            <w:vAlign w:val="bottom"/>
          </w:tcPr>
          <w:p>
            <w:pPr>
              <w:spacing w:after="0"/>
              <w:rPr>
                <w:sz w:val="1"/>
                <w:szCs w:val="1"/>
                <w:color w:val="auto"/>
              </w:rPr>
            </w:pPr>
          </w:p>
        </w:tc>
      </w:tr>
      <w:tr>
        <w:trPr>
          <w:trHeight w:val="256"/>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9" w:name="page10"/>
    <w:bookmarkEnd w:id="9"/>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spacing w:after="0"/>
              <w:rPr>
                <w:sz w:val="23"/>
                <w:szCs w:val="23"/>
                <w:color w:val="auto"/>
              </w:rPr>
            </w:pPr>
          </w:p>
        </w:tc>
        <w:tc>
          <w:tcPr>
            <w:tcW w:w="39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Three Months Ended March 31,</w:t>
            </w:r>
          </w:p>
        </w:tc>
        <w:tc>
          <w:tcPr>
            <w:tcW w:w="780" w:type="dxa"/>
            <w:vAlign w:val="bottom"/>
            <w:tcBorders>
              <w:bottom w:val="single" w:sz="8" w:color="auto"/>
            </w:tcBorders>
          </w:tcPr>
          <w:p>
            <w:pPr>
              <w:spacing w:after="0"/>
              <w:rPr>
                <w:sz w:val="23"/>
                <w:szCs w:val="23"/>
                <w:color w:val="auto"/>
              </w:rPr>
            </w:pPr>
          </w:p>
        </w:tc>
      </w:tr>
      <w:tr>
        <w:trPr>
          <w:trHeight w:val="250"/>
        </w:trPr>
        <w:tc>
          <w:tcPr>
            <w:tcW w:w="65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2024</w:t>
            </w:r>
          </w:p>
        </w:tc>
        <w:tc>
          <w:tcPr>
            <w:tcW w:w="780" w:type="dxa"/>
            <w:vAlign w:val="bottom"/>
            <w:tcBorders>
              <w:bottom w:val="single" w:sz="8" w:color="auto"/>
            </w:tcBorders>
          </w:tcPr>
          <w:p>
            <w:pPr>
              <w:spacing w:after="0"/>
              <w:rPr>
                <w:sz w:val="21"/>
                <w:szCs w:val="21"/>
                <w:color w:val="auto"/>
              </w:rPr>
            </w:pPr>
          </w:p>
        </w:tc>
      </w:tr>
      <w:tr>
        <w:trPr>
          <w:trHeight w:val="263"/>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activities</w:t>
            </w: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57"/>
        </w:trPr>
        <w:tc>
          <w:tcPr>
            <w:tcW w:w="650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146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16,746</w:t>
            </w:r>
          </w:p>
        </w:tc>
        <w:tc>
          <w:tcPr>
            <w:tcW w:w="80" w:type="dxa"/>
            <w:vAlign w:val="bottom"/>
          </w:tcPr>
          <w:p>
            <w:pPr>
              <w:spacing w:after="0"/>
              <w:rPr>
                <w:sz w:val="22"/>
                <w:szCs w:val="22"/>
                <w:color w:val="auto"/>
              </w:rPr>
            </w:pPr>
          </w:p>
        </w:tc>
        <w:tc>
          <w:tcPr>
            <w:tcW w:w="1520" w:type="dxa"/>
            <w:vAlign w:val="bottom"/>
          </w:tcPr>
          <w:p>
            <w:pPr>
              <w:jc w:val="right"/>
              <w:ind w:right="1301"/>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2,165</w:t>
            </w:r>
          </w:p>
        </w:tc>
      </w:tr>
      <w:tr>
        <w:trPr>
          <w:trHeight w:val="194"/>
        </w:trPr>
        <w:tc>
          <w:tcPr>
            <w:tcW w:w="65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Adjustments to reconcile net income to cash provided by operating</w:t>
            </w:r>
          </w:p>
        </w:tc>
        <w:tc>
          <w:tcPr>
            <w:tcW w:w="1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51"/>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activities:</w:t>
            </w:r>
          </w:p>
        </w:tc>
        <w:tc>
          <w:tcPr>
            <w:tcW w:w="1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Provision for bad debts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1,671</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896</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expense (benefit)</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1,024</w:t>
            </w: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5,932</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10,125</w:t>
            </w:r>
          </w:p>
        </w:tc>
      </w:tr>
      <w:tr>
        <w:trPr>
          <w:trHeight w:val="285"/>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developed technology</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3,639</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1,506</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1,553</w:t>
            </w:r>
          </w:p>
        </w:tc>
      </w:tr>
      <w:tr>
        <w:trPr>
          <w:trHeight w:val="258"/>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Equity-based compensation</w:t>
            </w: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2,798</w:t>
            </w: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3,926</w:t>
            </w:r>
          </w:p>
        </w:tc>
      </w:tr>
      <w:tr>
        <w:trPr>
          <w:trHeight w:val="257"/>
        </w:trPr>
        <w:tc>
          <w:tcPr>
            <w:tcW w:w="6500" w:type="dxa"/>
            <w:vAlign w:val="bottom"/>
          </w:tcPr>
          <w:p>
            <w:pPr>
              <w:ind w:left="460"/>
              <w:spacing w:after="0"/>
              <w:rPr>
                <w:sz w:val="20"/>
                <w:szCs w:val="20"/>
                <w:color w:val="auto"/>
              </w:rPr>
            </w:pPr>
            <w:r>
              <w:rPr>
                <w:rFonts w:ascii="Arial" w:cs="Arial" w:eastAsia="Arial" w:hAnsi="Arial"/>
                <w:sz w:val="20"/>
                <w:szCs w:val="20"/>
                <w:color w:val="auto"/>
              </w:rPr>
              <w:t>Change in fair value of contingent consideration</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(735)</w:t>
            </w:r>
          </w:p>
        </w:tc>
      </w:tr>
      <w:tr>
        <w:trPr>
          <w:trHeight w:val="283"/>
        </w:trPr>
        <w:tc>
          <w:tcPr>
            <w:tcW w:w="65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1,720</w:t>
            </w: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(1,138)</w:t>
            </w:r>
          </w:p>
        </w:tc>
      </w:tr>
      <w:tr>
        <w:trPr>
          <w:trHeight w:val="282"/>
        </w:trPr>
        <w:tc>
          <w:tcPr>
            <w:tcW w:w="6500" w:type="dxa"/>
            <w:vAlign w:val="bottom"/>
          </w:tcPr>
          <w:p>
            <w:pPr>
              <w:ind w:left="460"/>
              <w:spacing w:after="0"/>
              <w:rPr>
                <w:sz w:val="20"/>
                <w:szCs w:val="20"/>
                <w:color w:val="auto"/>
              </w:rPr>
            </w:pPr>
            <w:r>
              <w:rPr>
                <w:rFonts w:ascii="Arial" w:cs="Arial" w:eastAsia="Arial" w:hAnsi="Arial"/>
                <w:sz w:val="20"/>
                <w:szCs w:val="20"/>
                <w:color w:val="auto"/>
              </w:rPr>
              <w:t>Inventory reserve</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839</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600</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Changes in working capital, net</w:t>
            </w:r>
          </w:p>
        </w:tc>
        <w:tc>
          <w:tcPr>
            <w:tcW w:w="1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(48,784)</w:t>
            </w:r>
          </w:p>
        </w:tc>
        <w:tc>
          <w:tcPr>
            <w:tcW w:w="80" w:type="dxa"/>
            <w:vAlign w:val="bottom"/>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26,484</w:t>
            </w:r>
          </w:p>
        </w:tc>
      </w:tr>
      <w:tr>
        <w:trPr>
          <w:trHeight w:val="262"/>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20"/>
                <w:szCs w:val="20"/>
                <w:color w:val="auto"/>
              </w:rPr>
              <w:t>Net cash provided by (used in) operating activities</w:t>
            </w:r>
          </w:p>
        </w:tc>
        <w:tc>
          <w:tcPr>
            <w:tcW w:w="1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(13,059)</w:t>
            </w:r>
          </w:p>
        </w:tc>
        <w:tc>
          <w:tcPr>
            <w:tcW w:w="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47,502</w:t>
            </w:r>
          </w:p>
        </w:tc>
      </w:tr>
      <w:tr>
        <w:trPr>
          <w:trHeight w:val="265"/>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82"/>
        </w:trPr>
        <w:tc>
          <w:tcPr>
            <w:tcW w:w="6500" w:type="dxa"/>
            <w:vAlign w:val="bottom"/>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(2,352)</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(2,396)</w:t>
            </w:r>
          </w:p>
        </w:tc>
      </w:tr>
      <w:tr>
        <w:trPr>
          <w:trHeight w:val="285"/>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Retirement/disposal of property, plant and equipment</w:t>
            </w:r>
          </w:p>
        </w:tc>
        <w:tc>
          <w:tcPr>
            <w:tcW w:w="14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w:t>
            </w:r>
          </w:p>
        </w:tc>
      </w:tr>
      <w:tr>
        <w:trPr>
          <w:trHeight w:val="262"/>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20"/>
                <w:szCs w:val="20"/>
                <w:color w:val="auto"/>
              </w:rPr>
              <w:t>Net cash used in investing activities</w:t>
            </w:r>
          </w:p>
        </w:tc>
        <w:tc>
          <w:tcPr>
            <w:tcW w:w="1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(2,352)</w:t>
            </w:r>
          </w:p>
        </w:tc>
        <w:tc>
          <w:tcPr>
            <w:tcW w:w="8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(2,386)</w:t>
            </w:r>
          </w:p>
        </w:tc>
      </w:tr>
      <w:tr>
        <w:trPr>
          <w:trHeight w:val="265"/>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Financing activities</w:t>
            </w: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sectPr>
          <w:pgSz w:w="11900" w:h="16838" w:orient="portrait"/>
          <w:cols w:equalWidth="0" w:num="1">
            <w:col w:w="11200"/>
          </w:cols>
          <w:pgMar w:left="340" w:top="602" w:right="359" w:bottom="1440" w:gutter="0" w:footer="0" w:header="0"/>
        </w:sectPr>
      </w:pPr>
    </w:p>
    <w:p>
      <w:pPr>
        <w:ind w:left="240"/>
        <w:spacing w:after="0"/>
        <w:rPr>
          <w:sz w:val="20"/>
          <w:szCs w:val="20"/>
          <w:color w:val="auto"/>
        </w:rPr>
      </w:pPr>
      <w:r>
        <w:rPr>
          <w:rFonts w:ascii="Arial" w:cs="Arial" w:eastAsia="Arial" w:hAnsi="Arial"/>
          <w:sz w:val="20"/>
          <w:szCs w:val="20"/>
          <w:color w:val="auto"/>
        </w:rPr>
        <w:t>Proceeds from issuance of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Principal payments on other debt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Principal payments on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Contingent consideration payments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Other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used in financing activities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 and restricted cash</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and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Cash and cash equivalents and restricted cash, end of period</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7,862</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2,283</w:t>
            </w:r>
          </w:p>
        </w:tc>
      </w:tr>
      <w:tr>
        <w:trPr>
          <w:trHeight w:val="28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(7,294)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(3,781)</w:t>
            </w:r>
          </w:p>
        </w:tc>
      </w:tr>
      <w:tr>
        <w:trPr>
          <w:trHeight w:val="28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(1,075)</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(1,070)</w:t>
            </w:r>
          </w:p>
        </w:tc>
      </w:tr>
      <w:tr>
        <w:trPr>
          <w:trHeight w:val="284"/>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(1,204)</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(14)</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w:t>
            </w:r>
          </w:p>
        </w:tc>
      </w:tr>
      <w:tr>
        <w:trPr>
          <w:trHeight w:val="26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(1,725)</w:t>
            </w:r>
          </w:p>
        </w:tc>
        <w:tc>
          <w:tcPr>
            <w:tcW w:w="8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(4,575)</w:t>
            </w:r>
          </w:p>
        </w:tc>
      </w:tr>
      <w:tr>
        <w:trPr>
          <w:trHeight w:val="264"/>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2,488</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(2,001)</w:t>
            </w:r>
          </w:p>
        </w:tc>
      </w:tr>
      <w:tr>
        <w:trPr>
          <w:trHeight w:val="28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(14,648)</w:t>
            </w:r>
          </w:p>
        </w:tc>
        <w:tc>
          <w:tcPr>
            <w:tcW w:w="8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38,540</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w w:val="96"/>
              </w:rPr>
              <w:t>364,141</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249,080</w:t>
            </w:r>
          </w:p>
        </w:tc>
      </w:tr>
      <w:tr>
        <w:trPr>
          <w:trHeight w:val="253"/>
        </w:trPr>
        <w:tc>
          <w:tcPr>
            <w:tcW w:w="880" w:type="dxa"/>
            <w:vAlign w:val="bottom"/>
          </w:tcPr>
          <w:p>
            <w:pPr>
              <w:jc w:val="right"/>
              <w:ind w:right="61"/>
              <w:spacing w:after="0"/>
              <w:rPr>
                <w:sz w:val="20"/>
                <w:szCs w:val="20"/>
                <w:color w:val="auto"/>
              </w:rPr>
            </w:pPr>
            <w:r>
              <w:rPr>
                <w:rFonts w:ascii="Arial" w:cs="Arial" w:eastAsia="Arial" w:hAnsi="Arial"/>
                <w:sz w:val="20"/>
                <w:szCs w:val="20"/>
                <w:color w:val="auto"/>
                <w:w w:val="96"/>
              </w:rPr>
              <w:t>349,493</w:t>
            </w:r>
          </w:p>
        </w:tc>
        <w:tc>
          <w:tcPr>
            <w:tcW w:w="8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287,620</w:t>
            </w:r>
          </w:p>
        </w:tc>
      </w:tr>
      <w:tr>
        <w:trPr>
          <w:trHeight w:val="20"/>
        </w:trPr>
        <w:tc>
          <w:tcPr>
            <w:tcW w:w="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-8255</wp:posOffset>
            </wp:positionV>
            <wp:extent cx="1465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-745490</wp:posOffset>
            </wp:positionV>
            <wp:extent cx="1465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180"/>
          </w:cols>
          <w:pgMar w:left="340" w:top="602" w:right="35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2" w:right="3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Array Technologies, Inc. (the “Company”) is a leading global provider of solar tracking technology to utility-scale and distributed generation customers, who construct, develop and operate solar PV sites, and is headquartered in Albuquerque, New Mexico.</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w:t>
      </w:r>
    </w:p>
    <w:p>
      <w:pPr>
        <w:spacing w:after="0" w:line="192" w:lineRule="exact"/>
        <w:rPr>
          <w:sz w:val="20"/>
          <w:szCs w:val="20"/>
          <w:color w:val="auto"/>
        </w:rPr>
      </w:pPr>
    </w:p>
    <w:p>
      <w:pPr>
        <w:jc w:val="both"/>
        <w:ind w:right="20"/>
        <w:spacing w:after="0" w:line="313" w:lineRule="auto"/>
        <w:rPr>
          <w:sz w:val="20"/>
          <w:szCs w:val="20"/>
          <w:color w:val="auto"/>
        </w:rPr>
      </w:pPr>
      <w:r>
        <w:rPr>
          <w:rFonts w:ascii="Arial" w:cs="Arial" w:eastAsia="Arial" w:hAnsi="Arial"/>
          <w:sz w:val="19"/>
          <w:szCs w:val="19"/>
          <w:color w:val="auto"/>
        </w:rPr>
        <w:t>Upon completion of the STI Acquisition, the Company began operating as two reportable operating segments: the Array Legacy operating segment (“Array Legacy Operations”) and the acquired operating segment (“STI Operations”) pertaining to STI.</w:t>
      </w:r>
    </w:p>
    <w:p>
      <w:pPr>
        <w:spacing w:after="0" w:line="17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accompanying unaudited condensed consolidated financial statements in this Quarterly Report have been prepared on the accrual basis of accounting in accordance with accounting principles generally accepted in the United States of America (“U.S. GAAP”) for interim financial information and pursuant to the instructions to Form 10-Q and Article 10 of Regulation S-X of the Securities and Exchange Commission (the “SEC”). Accordingly, these interim financial statements do not include all of the information and footnotes required by U.S. GAAP for annual financial statements. In the opinion of Array’s management, all adjustments (consisting only of normal recurring adjustments) considered necessary for a fair statement of results for the interim periods reported have been included. These unaudited condensed consolidated financial statements should be read in conjunction with the Company’s audited consolidated financial statements included in our Annual Report on Form 10-K for the year ended December 31, 2024, filed with the SEC on March 3, 2025.</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Vendor Rebates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16, 2022, the Inflation Reduction Act of 2022 (“IRA”) was enacted into law, which includes numerous green energy credits. The 45X advanced manufacturing production tax credit (“45X Credit”) was established as part of the IRA. The section 45X Credit is a per-unit tax credit that is earned over time for each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line="312"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clean energy component domestically produced and sold by a manufacturer. The Company has, and will continue to enter into, arrangements with manufacturing vendors that produce section 45X Credit eligible parts, in which the vendors agree to share a portion of the benefit received related to Array purchases, in the form of “Vendor Rebates.”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accounts for these Vendor Rebates as a reduction of the purchase prices of the vendors’ products and therefore a reduction in the cost of inventory until the inventory is sold, at which time the Company recognizes such rebates as a reduction of cost of product and service revenue on the condensed consolidated statements of operations. For vendor rebates related to past purchases that are owed to the Company upon execution of the agreement, the Company defers recognition of this portion of the rebate and recognizes the amounts as a reduction to cost of product and service revenue as future purchases occur.</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March 31, 2025, the Company had an outstanding Vendor Rebate receivable of $116.7 million and $23.1 million, respectively, included in Prepaid expenses and other and Other Assets. As of December 31, 2024 the Company had an outstanding Vendor Rebate receivable of $115.5 million, included in Prepaid expenses and other.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 45X Credits</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Company accounts for the 45X Advanced Manufacturing Production Credit established by the IRA, under IAS 20 - Accounting for Government Grants and Disclosure of Government Assistance (“IAS 20”), as a reduction to production costs. The tax credit is recorded as a reduction to the Income tax payable on the condensed consolidated balance sheets dated March 31, 2025 and December 31, 2024.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Indefinite-Lived Intangible Assets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The Company does not amortize goodwill but instead tests goodwill for impairment annually, or more frequently if events or changes in circumstances indicate that it is more likely than not that the asset is impaired. Such triggering events potentially warranting an annual or interim goodwill impairment assessment include, among other factors, declines in historical or projected revenue, operating income or cash flows, and sustained decreases in the Company’s stock price or market capitalization.</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Goodwill is assessed for impairment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of the reporting unit is less than the carrying amount of the reporting unit, and an impairment charge is recognized for the differential.</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When determining the fair value of a reporting unit using the quantitative approach, we determine the fair value of the reporting unit using an income approach based on discounted cash flows. The fair value determined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under the income approach is then compared to guideline publicly-traded companies (“GPC”) market place EBITDA multiples to corroborate the fair value of the reporting unit determined under the income approach.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During the three months ended March 31, 2025, the Company did not identify indicators of impairment.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 testing long-lived assets and goodwill for impairment, the Company first tests its long-lived assets for impairment, and then tests the goodwill of a reporting unit that includes the long-lived assets covered under the long-lived asset test for impairment. If an asset group includes only a portion of a reporting unit, the carrying amount of goodwill is not included in the asset group. The carrying values are adjusted, if necessary, for the result of each impairment test prior to performing the next test.</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When events, circumstances or operating results indicate that the carrying values of long-lived assets might not be recoverable through future operations, the Company prepares projections of the undiscounted future cash flows expected to be generated from the underlying asset group and the cash flows resulting from the asset grouping’s eventual disposition. If the projections indicate that the underlying asset grouping is not expected to be recoverable, the estimated fair value of the asset group is determined. An impairment loss is recognized based on the difference between the carrying value of the asset group and its estimated fair value. The loss is allocated to the long-lived asset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During the three months ended March 31, 2025, the Company did not identify indicators of impairment.</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incurs research and development costs while researching and developing new products and significant enhancements to existing products. Research and development costs consist primarily of personnel-related costs associated with our internal engineers, third-party consultants, materials and overhead. The Company expenses these costs as incurred prior to a respective product being ready for commercial production. Research and development expense was $2.4 million and $1.9 million during the three months ended March 31, 2025 and 2024,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December 2023, the Financial Accounting Standards Board (the “FASB”) issued ASU 2023-09, Income Taxes (Topic 740): Improvements to Income Tax Disclosures, which requires disclosure of disaggregated income taxes paid, prescribes standard categories for the components of the effective tax rate reconciliation,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1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and modifies other income tax-related disclosures. The standard will become effective for the Company’s fiscal year ended December 31, 2025, with early adoption permitted. The Company will adopt this reporting standard with its annual report on Form 10-K for 2025 and expects no material impacts upon adoption.</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November 2024, the FASB issued ASU 2024-03, Income Statement - Reporting Comprehensive Income - Expense Disaggregation Disclosures (Subtopic 220-40), which requires public entities to disclose additional information about specific expense categories in the notes to the financial statements on an interim and annual basis. ASU 2024-03 is effective for fiscal years beginning after December 31, 2026, and for interim periods beginning after December 31, 2027, with early adoption permitted. The Company is currently evaluating the impact of adopting ASU 2024-03.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400" w:type="dxa"/>
            <w:vAlign w:val="bottom"/>
          </w:tcPr>
          <w:p>
            <w:pPr>
              <w:spacing w:after="0"/>
              <w:rPr>
                <w:sz w:val="20"/>
                <w:szCs w:val="20"/>
                <w:color w:val="auto"/>
              </w:rPr>
            </w:pPr>
            <w:r>
              <w:rPr>
                <w:rFonts w:ascii="Arial" w:cs="Arial" w:eastAsia="Arial" w:hAnsi="Arial"/>
                <w:sz w:val="20"/>
                <w:szCs w:val="20"/>
                <w:b w:val="1"/>
                <w:bCs w:val="1"/>
                <w:color w:val="auto"/>
              </w:rPr>
              <w:t>3.  Consolidated Balance Sheet Details</w:t>
            </w:r>
          </w:p>
        </w:tc>
        <w:tc>
          <w:tcPr>
            <w:tcW w:w="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i w:val="1"/>
                <w:iCs w:val="1"/>
                <w:color w:val="auto"/>
              </w:rPr>
              <w:t>Inventories, net</w:t>
            </w: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51"/>
        </w:trPr>
        <w:tc>
          <w:tcPr>
            <w:tcW w:w="6400" w:type="dxa"/>
            <w:vAlign w:val="bottom"/>
          </w:tcPr>
          <w:p>
            <w:pPr>
              <w:spacing w:after="0"/>
              <w:rPr>
                <w:sz w:val="20"/>
                <w:szCs w:val="20"/>
                <w:color w:val="auto"/>
              </w:rPr>
            </w:pPr>
            <w:r>
              <w:rPr>
                <w:rFonts w:ascii="Arial" w:cs="Arial" w:eastAsia="Arial" w:hAnsi="Arial"/>
                <w:sz w:val="20"/>
                <w:szCs w:val="20"/>
                <w:color w:val="auto"/>
              </w:rPr>
              <w:t>Inventories consisted of the following (in thousands):</w:t>
            </w: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2"/>
          </w:tcPr>
          <w:p>
            <w:pPr>
              <w:ind w:left="140"/>
              <w:spacing w:after="0"/>
              <w:rPr>
                <w:sz w:val="20"/>
                <w:szCs w:val="20"/>
                <w:color w:val="auto"/>
              </w:rPr>
            </w:pPr>
            <w:r>
              <w:rPr>
                <w:rFonts w:ascii="Arial" w:cs="Arial" w:eastAsia="Arial" w:hAnsi="Arial"/>
                <w:sz w:val="20"/>
                <w:szCs w:val="20"/>
                <w:b w:val="1"/>
                <w:bCs w:val="1"/>
                <w:color w:val="auto"/>
              </w:rPr>
              <w:t>March 31, 2025</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2024</w:t>
            </w:r>
          </w:p>
        </w:tc>
      </w:tr>
      <w:tr>
        <w:trPr>
          <w:trHeight w:val="28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3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46,972</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60,588</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Finished goods</w:t>
            </w:r>
          </w:p>
        </w:tc>
        <w:tc>
          <w:tcPr>
            <w:tcW w:w="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139,903</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140,230</w:t>
            </w:r>
          </w:p>
        </w:tc>
      </w:tr>
      <w:tr>
        <w:trPr>
          <w:trHeight w:val="302"/>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Total Inventories</w:t>
            </w:r>
          </w:p>
        </w:tc>
        <w:tc>
          <w:tcPr>
            <w:tcW w:w="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186,875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200,818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values inventory using the moving average cost method that approximates the first-in, first-out method (“FIFO”). As of March 31, 2025, inventory valued using moving average cost and FIFO was $158.0 million and $28.9 million, respectively. As of December 31, 2024, inventory valued using moving average cost and FIFO, was $154.4 million and $46.4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components of prepaid expenses and other current assets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2025</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6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IRA vendor rebates</w:t>
            </w: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116,711</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115,458</w:t>
            </w:r>
          </w:p>
        </w:tc>
      </w:tr>
      <w:tr>
        <w:trPr>
          <w:trHeight w:val="282"/>
        </w:trPr>
        <w:tc>
          <w:tcPr>
            <w:tcW w:w="6540" w:type="dxa"/>
            <w:vAlign w:val="bottom"/>
          </w:tcPr>
          <w:p>
            <w:pPr>
              <w:ind w:left="20"/>
              <w:spacing w:after="0"/>
              <w:rPr>
                <w:sz w:val="20"/>
                <w:szCs w:val="20"/>
                <w:color w:val="auto"/>
              </w:rPr>
            </w:pPr>
            <w:r>
              <w:rPr>
                <w:rFonts w:ascii="Arial" w:cs="Arial" w:eastAsia="Arial" w:hAnsi="Arial"/>
                <w:sz w:val="20"/>
                <w:szCs w:val="20"/>
                <w:color w:val="auto"/>
              </w:rPr>
              <w:t>Prepaid taxes</w:t>
            </w:r>
          </w:p>
        </w:tc>
        <w:tc>
          <w:tcPr>
            <w:tcW w:w="300" w:type="dxa"/>
            <w:vAlign w:val="bottom"/>
          </w:tcPr>
          <w:p>
            <w:pPr>
              <w:spacing w:after="0"/>
              <w:rPr>
                <w:sz w:val="24"/>
                <w:szCs w:val="24"/>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17,367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14,650</w:t>
            </w:r>
          </w:p>
        </w:tc>
      </w:tr>
      <w:tr>
        <w:trPr>
          <w:trHeight w:val="285"/>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23,270</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27,819</w:t>
            </w:r>
          </w:p>
        </w:tc>
      </w:tr>
      <w:tr>
        <w:trPr>
          <w:trHeight w:val="250"/>
        </w:trPr>
        <w:tc>
          <w:tcPr>
            <w:tcW w:w="6540" w:type="dxa"/>
            <w:vAlign w:val="bottom"/>
          </w:tcPr>
          <w:p>
            <w:pPr>
              <w:ind w:left="240"/>
              <w:spacing w:after="0"/>
              <w:rPr>
                <w:sz w:val="20"/>
                <w:szCs w:val="20"/>
                <w:color w:val="auto"/>
              </w:rPr>
            </w:pPr>
            <w:r>
              <w:rPr>
                <w:rFonts w:ascii="Arial" w:cs="Arial" w:eastAsia="Arial" w:hAnsi="Arial"/>
                <w:sz w:val="20"/>
                <w:szCs w:val="20"/>
                <w:color w:val="auto"/>
              </w:rPr>
              <w:t>Total Prepaid expenses and other current assets</w:t>
            </w: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157,348</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157,927</w:t>
            </w: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1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net consisted of the following (in thousands, except useful lives):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780" w:type="dxa"/>
            <w:vAlign w:val="bottom"/>
          </w:tcPr>
          <w:p>
            <w:pPr>
              <w:jc w:val="center"/>
              <w:ind w:left="281"/>
              <w:spacing w:after="0"/>
              <w:rPr>
                <w:sz w:val="20"/>
                <w:szCs w:val="20"/>
                <w:color w:val="auto"/>
              </w:rPr>
            </w:pPr>
            <w:r>
              <w:rPr>
                <w:rFonts w:ascii="Arial" w:cs="Arial" w:eastAsia="Arial" w:hAnsi="Arial"/>
                <w:sz w:val="20"/>
                <w:szCs w:val="20"/>
                <w:b w:val="1"/>
                <w:bCs w:val="1"/>
                <w:color w:val="auto"/>
                <w:w w:val="98"/>
              </w:rPr>
              <w:t>Estimated Useful Lives</w:t>
            </w:r>
          </w:p>
        </w:tc>
        <w:tc>
          <w:tcPr>
            <w:tcW w:w="400" w:type="dxa"/>
            <w:vAlign w:val="bottom"/>
          </w:tcPr>
          <w:p>
            <w:pPr>
              <w:spacing w:after="0"/>
              <w:rPr>
                <w:sz w:val="19"/>
                <w:szCs w:val="19"/>
                <w:color w:val="auto"/>
              </w:rPr>
            </w:pPr>
          </w:p>
        </w:tc>
        <w:tc>
          <w:tcPr>
            <w:tcW w:w="208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March 31, 2025</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2024</w:t>
            </w:r>
          </w:p>
        </w:tc>
        <w:tc>
          <w:tcPr>
            <w:tcW w:w="0" w:type="dxa"/>
            <w:vAlign w:val="bottom"/>
          </w:tcPr>
          <w:p>
            <w:pPr>
              <w:spacing w:after="0"/>
              <w:rPr>
                <w:sz w:val="1"/>
                <w:szCs w:val="1"/>
                <w:color w:val="auto"/>
              </w:rPr>
            </w:pPr>
          </w:p>
        </w:tc>
      </w:tr>
      <w:tr>
        <w:trPr>
          <w:trHeight w:val="280"/>
        </w:trPr>
        <w:tc>
          <w:tcPr>
            <w:tcW w:w="3560" w:type="dxa"/>
            <w:vAlign w:val="bottom"/>
          </w:tcPr>
          <w:p>
            <w:pPr>
              <w:spacing w:after="0"/>
              <w:rPr>
                <w:sz w:val="24"/>
                <w:szCs w:val="24"/>
                <w:color w:val="auto"/>
              </w:rPr>
            </w:pPr>
          </w:p>
        </w:tc>
        <w:tc>
          <w:tcPr>
            <w:tcW w:w="2780" w:type="dxa"/>
            <w:vAlign w:val="bottom"/>
          </w:tcPr>
          <w:p>
            <w:pPr>
              <w:jc w:val="center"/>
              <w:ind w:left="301"/>
              <w:spacing w:after="0"/>
              <w:rPr>
                <w:sz w:val="20"/>
                <w:szCs w:val="20"/>
                <w:color w:val="auto"/>
              </w:rPr>
            </w:pPr>
            <w:r>
              <w:rPr>
                <w:rFonts w:ascii="Arial" w:cs="Arial" w:eastAsia="Arial" w:hAnsi="Arial"/>
                <w:sz w:val="20"/>
                <w:szCs w:val="20"/>
                <w:b w:val="1"/>
                <w:bCs w:val="1"/>
                <w:color w:val="auto"/>
                <w:w w:val="97"/>
              </w:rPr>
              <w:t>(Years)</w:t>
            </w:r>
          </w:p>
        </w:tc>
        <w:tc>
          <w:tcPr>
            <w:tcW w:w="40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780" w:type="dxa"/>
            <w:vAlign w:val="bottom"/>
            <w:tcBorders>
              <w:top w:val="single" w:sz="8" w:color="CCEEFF"/>
            </w:tcBorders>
            <w:shd w:val="clear" w:color="auto" w:fill="CCEEFF"/>
          </w:tcPr>
          <w:p>
            <w:pPr>
              <w:jc w:val="center"/>
              <w:ind w:left="281"/>
              <w:spacing w:after="0"/>
              <w:rPr>
                <w:sz w:val="20"/>
                <w:szCs w:val="20"/>
                <w:color w:val="auto"/>
              </w:rPr>
            </w:pPr>
            <w:r>
              <w:rPr>
                <w:rFonts w:ascii="Arial" w:cs="Arial" w:eastAsia="Arial" w:hAnsi="Arial"/>
                <w:sz w:val="20"/>
                <w:szCs w:val="20"/>
                <w:color w:val="auto"/>
                <w:w w:val="95"/>
              </w:rPr>
              <w:t>N/A</w:t>
            </w:r>
          </w:p>
        </w:tc>
        <w:tc>
          <w:tcPr>
            <w:tcW w:w="4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1,629</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1,585</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780" w:type="dxa"/>
            <w:vAlign w:val="bottom"/>
          </w:tcPr>
          <w:p>
            <w:pPr>
              <w:jc w:val="center"/>
              <w:ind w:left="301"/>
              <w:spacing w:after="0"/>
              <w:rPr>
                <w:sz w:val="20"/>
                <w:szCs w:val="20"/>
                <w:color w:val="auto"/>
              </w:rPr>
            </w:pPr>
            <w:r>
              <w:rPr>
                <w:rFonts w:ascii="Arial" w:cs="Arial" w:eastAsia="Arial" w:hAnsi="Arial"/>
                <w:sz w:val="20"/>
                <w:szCs w:val="20"/>
                <w:color w:val="auto"/>
                <w:w w:val="97"/>
              </w:rPr>
              <w:t>15-39</w:t>
            </w:r>
          </w:p>
        </w:tc>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10,609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9,108</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rPr>
              <w:t>7</w:t>
            </w:r>
          </w:p>
        </w:tc>
        <w:tc>
          <w:tcPr>
            <w:tcW w:w="4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28,090</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27,853</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780" w:type="dxa"/>
            <w:vAlign w:val="bottom"/>
          </w:tcPr>
          <w:p>
            <w:pPr>
              <w:jc w:val="center"/>
              <w:ind w:left="281"/>
              <w:spacing w:after="0"/>
              <w:rPr>
                <w:sz w:val="20"/>
                <w:szCs w:val="20"/>
                <w:color w:val="auto"/>
              </w:rPr>
            </w:pPr>
            <w:r>
              <w:rPr>
                <w:rFonts w:ascii="Arial" w:cs="Arial" w:eastAsia="Arial" w:hAnsi="Arial"/>
                <w:sz w:val="20"/>
                <w:szCs w:val="20"/>
                <w:color w:val="auto"/>
                <w:w w:val="96"/>
              </w:rPr>
              <w:t>5-7</w:t>
            </w:r>
          </w:p>
        </w:tc>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4,680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4,287</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rPr>
              <w:t>5</w:t>
            </w:r>
          </w:p>
        </w:tc>
        <w:tc>
          <w:tcPr>
            <w:tcW w:w="4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75"/>
        </w:trPr>
        <w:tc>
          <w:tcPr>
            <w:tcW w:w="3560" w:type="dxa"/>
            <w:vAlign w:val="bottom"/>
          </w:tcPr>
          <w:p>
            <w:pPr>
              <w:ind w:left="20"/>
              <w:spacing w:after="0"/>
              <w:rPr>
                <w:sz w:val="20"/>
                <w:szCs w:val="20"/>
                <w:color w:val="auto"/>
              </w:rPr>
            </w:pPr>
            <w:r>
              <w:rPr>
                <w:rFonts w:ascii="Arial" w:cs="Arial" w:eastAsia="Arial" w:hAnsi="Arial"/>
                <w:sz w:val="20"/>
                <w:szCs w:val="20"/>
                <w:color w:val="auto"/>
              </w:rPr>
              <w:t>Hardware</w:t>
            </w:r>
          </w:p>
        </w:tc>
        <w:tc>
          <w:tcPr>
            <w:tcW w:w="2780" w:type="dxa"/>
            <w:vAlign w:val="bottom"/>
          </w:tcPr>
          <w:p>
            <w:pPr>
              <w:jc w:val="center"/>
              <w:ind w:left="281"/>
              <w:spacing w:after="0"/>
              <w:rPr>
                <w:sz w:val="20"/>
                <w:szCs w:val="20"/>
                <w:color w:val="auto"/>
              </w:rPr>
            </w:pPr>
            <w:r>
              <w:rPr>
                <w:rFonts w:ascii="Arial" w:cs="Arial" w:eastAsia="Arial" w:hAnsi="Arial"/>
                <w:sz w:val="20"/>
                <w:szCs w:val="20"/>
                <w:color w:val="auto"/>
                <w:w w:val="96"/>
              </w:rPr>
              <w:t>3-5</w:t>
            </w:r>
          </w:p>
        </w:tc>
        <w:tc>
          <w:tcPr>
            <w:tcW w:w="4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3,459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3,603</w:t>
            </w:r>
          </w:p>
        </w:tc>
        <w:tc>
          <w:tcPr>
            <w:tcW w:w="0" w:type="dxa"/>
            <w:vAlign w:val="bottom"/>
          </w:tcPr>
          <w:p>
            <w:pPr>
              <w:spacing w:after="0"/>
              <w:rPr>
                <w:sz w:val="1"/>
                <w:szCs w:val="1"/>
                <w:color w:val="auto"/>
              </w:rPr>
            </w:pPr>
          </w:p>
        </w:tc>
      </w:tr>
      <w:tr>
        <w:trPr>
          <w:trHeight w:val="292"/>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Construction in progress</w:t>
            </w:r>
          </w:p>
        </w:tc>
        <w:tc>
          <w:tcPr>
            <w:tcW w:w="27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w w:val="95"/>
              </w:rPr>
              <w:t>N/A</w:t>
            </w:r>
          </w:p>
        </w:tc>
        <w:tc>
          <w:tcPr>
            <w:tcW w:w="40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4,358</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3,948</w:t>
            </w:r>
          </w:p>
        </w:tc>
        <w:tc>
          <w:tcPr>
            <w:tcW w:w="0" w:type="dxa"/>
            <w:vAlign w:val="bottom"/>
          </w:tcPr>
          <w:p>
            <w:pPr>
              <w:spacing w:after="0"/>
              <w:rPr>
                <w:sz w:val="1"/>
                <w:szCs w:val="1"/>
                <w:color w:val="auto"/>
              </w:rPr>
            </w:pPr>
          </w:p>
        </w:tc>
      </w:tr>
      <w:tr>
        <w:trPr>
          <w:trHeight w:val="262"/>
        </w:trPr>
        <w:tc>
          <w:tcPr>
            <w:tcW w:w="3560" w:type="dxa"/>
            <w:vAlign w:val="bottom"/>
          </w:tcPr>
          <w:p>
            <w:pPr>
              <w:ind w:left="240"/>
              <w:spacing w:after="0"/>
              <w:rPr>
                <w:sz w:val="20"/>
                <w:szCs w:val="20"/>
                <w:color w:val="auto"/>
              </w:rPr>
            </w:pPr>
            <w:r>
              <w:rPr>
                <w:rFonts w:ascii="Arial" w:cs="Arial" w:eastAsia="Arial" w:hAnsi="Arial"/>
                <w:sz w:val="20"/>
                <w:szCs w:val="20"/>
                <w:color w:val="auto"/>
              </w:rPr>
              <w:t>Total</w:t>
            </w:r>
          </w:p>
        </w:tc>
        <w:tc>
          <w:tcPr>
            <w:tcW w:w="2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53,468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50,987</w:t>
            </w:r>
          </w:p>
        </w:tc>
        <w:tc>
          <w:tcPr>
            <w:tcW w:w="0" w:type="dxa"/>
            <w:vAlign w:val="bottom"/>
          </w:tcPr>
          <w:p>
            <w:pPr>
              <w:spacing w:after="0"/>
              <w:rPr>
                <w:sz w:val="1"/>
                <w:szCs w:val="1"/>
                <w:color w:val="auto"/>
              </w:rPr>
            </w:pPr>
          </w:p>
        </w:tc>
      </w:tr>
      <w:tr>
        <w:trPr>
          <w:trHeight w:val="285"/>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7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(24,728)</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(24,765)</w:t>
            </w:r>
          </w:p>
        </w:tc>
        <w:tc>
          <w:tcPr>
            <w:tcW w:w="0" w:type="dxa"/>
            <w:vAlign w:val="bottom"/>
          </w:tcPr>
          <w:p>
            <w:pPr>
              <w:spacing w:after="0"/>
              <w:rPr>
                <w:sz w:val="1"/>
                <w:szCs w:val="1"/>
                <w:color w:val="auto"/>
              </w:rPr>
            </w:pPr>
          </w:p>
        </w:tc>
      </w:tr>
      <w:tr>
        <w:trPr>
          <w:trHeight w:val="271"/>
        </w:trPr>
        <w:tc>
          <w:tcPr>
            <w:tcW w:w="356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780" w:type="dxa"/>
            <w:vAlign w:val="bottom"/>
          </w:tcPr>
          <w:p>
            <w:pPr>
              <w:spacing w:after="0"/>
              <w:rPr>
                <w:sz w:val="23"/>
                <w:szCs w:val="23"/>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28,740</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$1.1 million and $0.9 million for the three months ended March 31, 2025 and 2024, respectively, of which $0.6 million and $0.5 million, respectively, was included in cost of product and service revenue and $0.5 million and $0.4 million, respectively, was included in depreciation and amortization on the accompanying condensed consolidated statements of operations.</w:t>
      </w:r>
    </w:p>
    <w:p>
      <w:pPr>
        <w:spacing w:after="0" w:line="209"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23"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Changes in the carrying amount of goodwill by operating segment during the three months ended March 31, 2025, consisted of the following (in thousands):</w:t>
      </w: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400"/>
              <w:spacing w:after="0" w:line="217" w:lineRule="exact"/>
              <w:rPr>
                <w:sz w:val="20"/>
                <w:szCs w:val="20"/>
                <w:color w:val="auto"/>
              </w:rPr>
            </w:pPr>
            <w:r>
              <w:rPr>
                <w:rFonts w:ascii="Arial" w:cs="Arial" w:eastAsia="Arial" w:hAnsi="Arial"/>
                <w:sz w:val="20"/>
                <w:szCs w:val="20"/>
                <w:b w:val="1"/>
                <w:bCs w:val="1"/>
                <w:color w:val="auto"/>
                <w:w w:val="99"/>
              </w:rPr>
              <w:t>Array Legacy</w:t>
            </w: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0"/>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20"/>
                <w:szCs w:val="20"/>
                <w:b w:val="1"/>
                <w:bCs w:val="1"/>
                <w:color w:val="auto"/>
                <w:w w:val="98"/>
              </w:rPr>
              <w:t>Operations</w:t>
            </w: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STI Operations</w:t>
            </w:r>
          </w:p>
        </w:tc>
        <w:tc>
          <w:tcPr>
            <w:tcW w:w="520" w:type="dxa"/>
            <w:vAlign w:val="bottom"/>
          </w:tcPr>
          <w:p>
            <w:pPr>
              <w:spacing w:after="0"/>
              <w:rPr>
                <w:sz w:val="24"/>
                <w:szCs w:val="24"/>
                <w:color w:val="auto"/>
              </w:rPr>
            </w:pPr>
          </w:p>
        </w:tc>
        <w:tc>
          <w:tcPr>
            <w:tcW w:w="1780" w:type="dxa"/>
            <w:vAlign w:val="bottom"/>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6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90,462</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160,189</w:t>
            </w:r>
          </w:p>
        </w:tc>
      </w:tr>
      <w:tr>
        <w:trPr>
          <w:trHeight w:val="268"/>
        </w:trPr>
        <w:tc>
          <w:tcPr>
            <w:tcW w:w="4160" w:type="dxa"/>
            <w:vAlign w:val="bottom"/>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tcPr>
          <w:p>
            <w:pPr>
              <w:spacing w:after="0"/>
              <w:rPr>
                <w:sz w:val="23"/>
                <w:szCs w:val="23"/>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4,032</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4,032</w:t>
            </w:r>
          </w:p>
        </w:tc>
      </w:tr>
      <w:tr>
        <w:trPr>
          <w:trHeight w:val="297"/>
        </w:trPr>
        <w:tc>
          <w:tcPr>
            <w:tcW w:w="4160" w:type="dxa"/>
            <w:vAlign w:val="bottom"/>
            <w:tcBorders>
              <w:bottom w:val="single" w:sz="8" w:color="CCEEFF"/>
            </w:tcBorders>
            <w:shd w:val="clear" w:color="auto" w:fill="CCEEFF"/>
          </w:tcPr>
          <w:p>
            <w:pPr>
              <w:ind w:left="20"/>
              <w:spacing w:after="0" w:line="271" w:lineRule="exact"/>
              <w:rPr>
                <w:sz w:val="20"/>
                <w:szCs w:val="20"/>
                <w:color w:val="auto"/>
              </w:rPr>
            </w:pPr>
            <w:r>
              <w:rPr>
                <w:rFonts w:ascii="Arial" w:cs="Arial" w:eastAsia="Arial" w:hAnsi="Arial"/>
                <w:sz w:val="20"/>
                <w:szCs w:val="20"/>
                <w:color w:val="auto"/>
              </w:rPr>
              <w:t xml:space="preserve">Ending balance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94,494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164,221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07" w:lineRule="auto"/>
        <w:tabs>
          <w:tab w:leader="none" w:pos="228"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cumulative impairments of $51.9 million. Goodwill attributable to STI Operations is net of cumulative impairments of $236.0 million.</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tests goodwill for impairment annually or more frequently if facts and circumstances indicate that it is more likely than not that the fair value of its reporting units is less than their carrying value, which would require the Company to perform an interim goodwill impairment test. There were no indicators of impairment as of March 31, 2025.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 Lived Assets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assesses long-lived assets classified as “held and used,” including property, plant and equipment, lease assets and intangible assets for impairment whenever events or changes in circumstances arise, including consideration of technological obsolescence, that may indicate that the carrying amount of such assets may not be recoverable.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35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As of March 31, 2025, no events or circumstances were noted that would indicate the carrying amount of any of Array Legacy’s Operations and STI Operations assets may not be recoverable.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520" w:type="dxa"/>
            <w:vAlign w:val="bottom"/>
          </w:tcPr>
          <w:p>
            <w:pPr>
              <w:spacing w:after="0"/>
              <w:rPr>
                <w:sz w:val="20"/>
                <w:szCs w:val="20"/>
                <w:color w:val="auto"/>
              </w:rPr>
            </w:pPr>
            <w:r>
              <w:rPr>
                <w:rFonts w:ascii="Arial" w:cs="Arial" w:eastAsia="Arial" w:hAnsi="Arial"/>
                <w:sz w:val="20"/>
                <w:szCs w:val="20"/>
                <w:b w:val="1"/>
                <w:bCs w:val="1"/>
                <w:color w:val="auto"/>
              </w:rPr>
              <w:t>Other Intangible Assets, Net</w:t>
            </w: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920" w:type="dxa"/>
            <w:vAlign w:val="bottom"/>
          </w:tcPr>
          <w:p>
            <w:pPr>
              <w:jc w:val="center"/>
              <w:ind w:left="381"/>
              <w:spacing w:after="0" w:line="223" w:lineRule="exact"/>
              <w:rPr>
                <w:sz w:val="20"/>
                <w:szCs w:val="20"/>
                <w:color w:val="auto"/>
              </w:rPr>
            </w:pPr>
            <w:r>
              <w:rPr>
                <w:rFonts w:ascii="Arial" w:cs="Arial" w:eastAsia="Arial" w:hAnsi="Arial"/>
                <w:sz w:val="20"/>
                <w:szCs w:val="20"/>
                <w:b w:val="1"/>
                <w:bCs w:val="1"/>
                <w:color w:val="auto"/>
                <w:w w:val="98"/>
              </w:rPr>
              <w:t>Estimated Useful Lives</w:t>
            </w:r>
          </w:p>
        </w:tc>
        <w:tc>
          <w:tcPr>
            <w:tcW w:w="340" w:type="dxa"/>
            <w:vAlign w:val="bottom"/>
          </w:tcPr>
          <w:p>
            <w:pPr>
              <w:spacing w:after="0"/>
              <w:rPr>
                <w:sz w:val="19"/>
                <w:szCs w:val="19"/>
                <w:color w:val="auto"/>
              </w:rPr>
            </w:pPr>
          </w:p>
        </w:tc>
        <w:tc>
          <w:tcPr>
            <w:tcW w:w="210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March 31, 2025</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2024</w:t>
            </w:r>
          </w:p>
        </w:tc>
        <w:tc>
          <w:tcPr>
            <w:tcW w:w="0" w:type="dxa"/>
            <w:vAlign w:val="bottom"/>
          </w:tcPr>
          <w:p>
            <w:pPr>
              <w:spacing w:after="0"/>
              <w:rPr>
                <w:sz w:val="1"/>
                <w:szCs w:val="1"/>
                <w:color w:val="auto"/>
              </w:rPr>
            </w:pPr>
          </w:p>
        </w:tc>
      </w:tr>
      <w:tr>
        <w:trPr>
          <w:trHeight w:val="267"/>
        </w:trPr>
        <w:tc>
          <w:tcPr>
            <w:tcW w:w="3520" w:type="dxa"/>
            <w:vAlign w:val="bottom"/>
          </w:tcPr>
          <w:p>
            <w:pPr>
              <w:spacing w:after="0"/>
              <w:rPr>
                <w:sz w:val="23"/>
                <w:szCs w:val="23"/>
                <w:color w:val="auto"/>
              </w:rPr>
            </w:pPr>
          </w:p>
        </w:tc>
        <w:tc>
          <w:tcPr>
            <w:tcW w:w="2920" w:type="dxa"/>
            <w:vAlign w:val="bottom"/>
          </w:tcPr>
          <w:p>
            <w:pPr>
              <w:jc w:val="center"/>
              <w:ind w:left="401"/>
              <w:spacing w:after="0"/>
              <w:rPr>
                <w:sz w:val="20"/>
                <w:szCs w:val="20"/>
                <w:color w:val="auto"/>
              </w:rPr>
            </w:pPr>
            <w:r>
              <w:rPr>
                <w:rFonts w:ascii="Arial" w:cs="Arial" w:eastAsia="Arial" w:hAnsi="Arial"/>
                <w:sz w:val="20"/>
                <w:szCs w:val="20"/>
                <w:b w:val="1"/>
                <w:bCs w:val="1"/>
                <w:color w:val="auto"/>
                <w:w w:val="97"/>
              </w:rPr>
              <w:t>(Years)</w:t>
            </w:r>
          </w:p>
        </w:tc>
        <w:tc>
          <w:tcPr>
            <w:tcW w:w="340" w:type="dxa"/>
            <w:vAlign w:val="bottom"/>
          </w:tcPr>
          <w:p>
            <w:pPr>
              <w:spacing w:after="0"/>
              <w:rPr>
                <w:sz w:val="23"/>
                <w:szCs w:val="23"/>
                <w:color w:val="auto"/>
              </w:rPr>
            </w:pPr>
          </w:p>
        </w:tc>
        <w:tc>
          <w:tcPr>
            <w:tcW w:w="210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9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20" w:type="dxa"/>
            <w:vAlign w:val="bottom"/>
          </w:tcPr>
          <w:p>
            <w:pPr>
              <w:jc w:val="center"/>
              <w:ind w:left="401"/>
              <w:spacing w:after="0"/>
              <w:rPr>
                <w:sz w:val="20"/>
                <w:szCs w:val="20"/>
                <w:color w:val="auto"/>
              </w:rPr>
            </w:pPr>
            <w:r>
              <w:rPr>
                <w:rFonts w:ascii="Arial" w:cs="Arial" w:eastAsia="Arial" w:hAnsi="Arial"/>
                <w:sz w:val="20"/>
                <w:szCs w:val="20"/>
                <w:color w:val="auto"/>
                <w:w w:val="98"/>
              </w:rPr>
              <w:t>14</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Computer software</w:t>
            </w:r>
          </w:p>
        </w:tc>
        <w:tc>
          <w:tcPr>
            <w:tcW w:w="292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89"/>
              </w:rPr>
              <w:t>3</w:t>
            </w: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15,904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15,826</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2920" w:type="dxa"/>
            <w:vAlign w:val="bottom"/>
          </w:tcPr>
          <w:p>
            <w:pPr>
              <w:jc w:val="center"/>
              <w:ind w:left="401"/>
              <w:spacing w:after="0"/>
              <w:rPr>
                <w:sz w:val="20"/>
                <w:szCs w:val="20"/>
                <w:color w:val="auto"/>
              </w:rPr>
            </w:pPr>
            <w:r>
              <w:rPr>
                <w:rFonts w:ascii="Arial" w:cs="Arial" w:eastAsia="Arial" w:hAnsi="Arial"/>
                <w:sz w:val="20"/>
                <w:szCs w:val="20"/>
                <w:color w:val="auto"/>
                <w:w w:val="98"/>
              </w:rPr>
              <w:t>10</w:t>
            </w: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183,167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179,166</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Backlog</w:t>
            </w:r>
          </w:p>
        </w:tc>
        <w:tc>
          <w:tcPr>
            <w:tcW w:w="2920" w:type="dxa"/>
            <w:vAlign w:val="bottom"/>
            <w:shd w:val="clear" w:color="auto" w:fill="CCEEFF"/>
          </w:tcPr>
          <w:p>
            <w:pPr>
              <w:jc w:val="center"/>
              <w:ind w:left="401"/>
              <w:spacing w:after="0"/>
              <w:rPr>
                <w:sz w:val="20"/>
                <w:szCs w:val="20"/>
                <w:color w:val="auto"/>
              </w:rPr>
            </w:pPr>
            <w:r>
              <w:rPr>
                <w:rFonts w:ascii="Arial" w:cs="Arial" w:eastAsia="Arial" w:hAnsi="Arial"/>
                <w:sz w:val="20"/>
                <w:szCs w:val="20"/>
                <w:color w:val="auto"/>
                <w:w w:val="89"/>
              </w:rPr>
              <w:t>1</w:t>
            </w: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17,630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Trade name</w:t>
            </w:r>
          </w:p>
        </w:tc>
        <w:tc>
          <w:tcPr>
            <w:tcW w:w="2920" w:type="dxa"/>
            <w:vAlign w:val="bottom"/>
            <w:tcBorders>
              <w:bottom w:val="single" w:sz="8" w:color="CCEEFF"/>
            </w:tcBorders>
          </w:tcPr>
          <w:p>
            <w:pPr>
              <w:jc w:val="center"/>
              <w:ind w:left="401"/>
              <w:spacing w:after="0"/>
              <w:rPr>
                <w:sz w:val="20"/>
                <w:szCs w:val="20"/>
                <w:color w:val="auto"/>
              </w:rPr>
            </w:pPr>
            <w:r>
              <w:rPr>
                <w:rFonts w:ascii="Arial" w:cs="Arial" w:eastAsia="Arial" w:hAnsi="Arial"/>
                <w:sz w:val="20"/>
                <w:szCs w:val="20"/>
                <w:color w:val="auto"/>
                <w:w w:val="98"/>
              </w:rPr>
              <w:t>20</w:t>
            </w: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15,791</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15,117</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w:t>
            </w:r>
          </w:p>
        </w:tc>
        <w:tc>
          <w:tcPr>
            <w:tcW w:w="29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436,292</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430,786</w:t>
            </w:r>
          </w:p>
        </w:tc>
        <w:tc>
          <w:tcPr>
            <w:tcW w:w="0" w:type="dxa"/>
            <w:vAlign w:val="bottom"/>
          </w:tcPr>
          <w:p>
            <w:pPr>
              <w:spacing w:after="0"/>
              <w:rPr>
                <w:sz w:val="1"/>
                <w:szCs w:val="1"/>
                <w:color w:val="auto"/>
              </w:rPr>
            </w:pPr>
          </w:p>
        </w:tc>
      </w:tr>
      <w:tr>
        <w:trPr>
          <w:trHeight w:val="255"/>
        </w:trPr>
        <w:tc>
          <w:tcPr>
            <w:tcW w:w="3520" w:type="dxa"/>
            <w:vAlign w:val="bottom"/>
          </w:tcPr>
          <w:p>
            <w:pPr>
              <w:ind w:left="20"/>
              <w:spacing w:after="0"/>
              <w:rPr>
                <w:sz w:val="20"/>
                <w:szCs w:val="20"/>
                <w:color w:val="auto"/>
              </w:rPr>
            </w:pPr>
            <w:r>
              <w:rPr>
                <w:rFonts w:ascii="Arial" w:cs="Arial" w:eastAsia="Arial" w:hAnsi="Arial"/>
                <w:sz w:val="20"/>
                <w:szCs w:val="20"/>
                <w:color w:val="auto"/>
              </w:rPr>
              <w:t>Accumulated amortization:</w:t>
            </w:r>
          </w:p>
        </w:tc>
        <w:tc>
          <w:tcPr>
            <w:tcW w:w="2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127,101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123,462</w:t>
            </w:r>
          </w:p>
        </w:tc>
        <w:tc>
          <w:tcPr>
            <w:tcW w:w="0" w:type="dxa"/>
            <w:vAlign w:val="bottom"/>
          </w:tcPr>
          <w:p>
            <w:pPr>
              <w:spacing w:after="0"/>
              <w:rPr>
                <w:sz w:val="1"/>
                <w:szCs w:val="1"/>
                <w:color w:val="auto"/>
              </w:rPr>
            </w:pPr>
          </w:p>
        </w:tc>
      </w:tr>
      <w:tr>
        <w:trPr>
          <w:trHeight w:val="275"/>
        </w:trPr>
        <w:tc>
          <w:tcPr>
            <w:tcW w:w="3520" w:type="dxa"/>
            <w:vAlign w:val="bottom"/>
          </w:tcPr>
          <w:p>
            <w:pPr>
              <w:ind w:left="360"/>
              <w:spacing w:after="0"/>
              <w:rPr>
                <w:sz w:val="20"/>
                <w:szCs w:val="20"/>
                <w:color w:val="auto"/>
              </w:rPr>
            </w:pPr>
            <w:r>
              <w:rPr>
                <w:rFonts w:ascii="Arial" w:cs="Arial" w:eastAsia="Arial" w:hAnsi="Arial"/>
                <w:sz w:val="20"/>
                <w:szCs w:val="20"/>
                <w:color w:val="auto"/>
              </w:rPr>
              <w:t>Computer software</w:t>
            </w: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14,662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14,552</w:t>
            </w:r>
          </w:p>
        </w:tc>
        <w:tc>
          <w:tcPr>
            <w:tcW w:w="0" w:type="dxa"/>
            <w:vAlign w:val="bottom"/>
          </w:tcPr>
          <w:p>
            <w:pPr>
              <w:spacing w:after="0"/>
              <w:rPr>
                <w:sz w:val="1"/>
                <w:szCs w:val="1"/>
                <w:color w:val="auto"/>
              </w:rPr>
            </w:pPr>
          </w:p>
        </w:tc>
      </w:tr>
      <w:tr>
        <w:trPr>
          <w:trHeight w:val="292"/>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108,309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102,541</w:t>
            </w:r>
          </w:p>
        </w:tc>
        <w:tc>
          <w:tcPr>
            <w:tcW w:w="0" w:type="dxa"/>
            <w:vAlign w:val="bottom"/>
          </w:tcPr>
          <w:p>
            <w:pPr>
              <w:spacing w:after="0"/>
              <w:rPr>
                <w:sz w:val="1"/>
                <w:szCs w:val="1"/>
                <w:color w:val="auto"/>
              </w:rPr>
            </w:pPr>
          </w:p>
        </w:tc>
      </w:tr>
      <w:tr>
        <w:trPr>
          <w:trHeight w:val="282"/>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17,630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16,877</w:t>
            </w: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2,543</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2,245</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accumulated amortization</w:t>
            </w:r>
          </w:p>
        </w:tc>
        <w:tc>
          <w:tcPr>
            <w:tcW w:w="29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270,245</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259,677</w:t>
            </w:r>
          </w:p>
        </w:tc>
        <w:tc>
          <w:tcPr>
            <w:tcW w:w="0" w:type="dxa"/>
            <w:vAlign w:val="bottom"/>
          </w:tcPr>
          <w:p>
            <w:pPr>
              <w:spacing w:after="0"/>
              <w:rPr>
                <w:sz w:val="1"/>
                <w:szCs w:val="1"/>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166,047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171,109</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2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52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8"/>
        </w:trPr>
        <w:tc>
          <w:tcPr>
            <w:tcW w:w="352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920" w:type="dxa"/>
            <w:vAlign w:val="bottom"/>
          </w:tcPr>
          <w:p>
            <w:pPr>
              <w:spacing w:after="0"/>
              <w:rPr>
                <w:sz w:val="23"/>
                <w:szCs w:val="23"/>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176,347</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181,409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expense related to intangible assets was $8.5 million and $12.9 million for the three months ended March 31, 2025 and 2024, respectively, of which $3.6 million was included in amortization of developed technology, a component of cost of revenue, in both periods and $4.9 million and $9.3 million, respectively, was included in depreciation and amortization, on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March 31, 2025, is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8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1"/>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2025</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26,777</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2026</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29,980</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25,232</w:t>
            </w:r>
          </w:p>
        </w:tc>
      </w:tr>
      <w:tr>
        <w:trPr>
          <w:trHeight w:val="282"/>
        </w:trPr>
        <w:tc>
          <w:tcPr>
            <w:tcW w:w="8840" w:type="dxa"/>
            <w:vAlign w:val="bottom"/>
          </w:tcPr>
          <w:p>
            <w:pPr>
              <w:ind w:left="20"/>
              <w:spacing w:after="0"/>
              <w:rPr>
                <w:sz w:val="20"/>
                <w:szCs w:val="20"/>
                <w:color w:val="auto"/>
              </w:rPr>
            </w:pPr>
            <w:r>
              <w:rPr>
                <w:rFonts w:ascii="Arial" w:cs="Arial" w:eastAsia="Arial" w:hAnsi="Arial"/>
                <w:sz w:val="20"/>
                <w:szCs w:val="20"/>
                <w:color w:val="auto"/>
              </w:rPr>
              <w:t>2028</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25,232</w:t>
            </w:r>
          </w:p>
        </w:tc>
      </w:tr>
      <w:tr>
        <w:trPr>
          <w:trHeight w:val="285"/>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2029</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25,232</w:t>
            </w:r>
          </w:p>
        </w:tc>
      </w:tr>
      <w:tr>
        <w:trPr>
          <w:trHeight w:val="282"/>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33,594</w:t>
            </w:r>
          </w:p>
        </w:tc>
      </w:tr>
      <w:tr>
        <w:trPr>
          <w:trHeight w:val="297"/>
        </w:trPr>
        <w:tc>
          <w:tcPr>
            <w:tcW w:w="8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166,047</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recorded income tax expense of $6.5 million and $1.3 million for the three months ended March 31, 2025 and 2024, respectively. The income tax expense for the three months ended March 31, 2025 was favorably impacted by lower profits in non-US jurisdictions and additional tax credits recorded during the period. Additionally, tax expense of $1.0 million related to equity-based compensation was recorded discretely. The tax expense for the three months ended March 31, 2024, was impacted by higher income reported in non-U.S. jurisdictions, and a tax expense of $0.4 million related to equity-based compensation recorded discretely.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of March 31, 2025 and 2024, the balance of reserves for uncertain tax positions was $0.7 million and zero,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total debt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March 31, 2025</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6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Senior Secured Credit Facility:</w:t>
            </w:r>
          </w:p>
        </w:tc>
        <w:tc>
          <w:tcPr>
            <w:tcW w:w="2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75"/>
        </w:trPr>
        <w:tc>
          <w:tcPr>
            <w:tcW w:w="654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40" w:type="dxa"/>
            <w:vAlign w:val="bottom"/>
          </w:tcPr>
          <w:p>
            <w:pPr>
              <w:jc w:val="right"/>
              <w:ind w:right="1"/>
              <w:spacing w:after="0"/>
              <w:rPr>
                <w:sz w:val="20"/>
                <w:szCs w:val="20"/>
                <w:color w:val="auto"/>
              </w:rPr>
            </w:pPr>
            <w:r>
              <w:rPr>
                <w:rFonts w:ascii="Arial" w:cs="Arial" w:eastAsia="Arial" w:hAnsi="Arial"/>
                <w:sz w:val="20"/>
                <w:szCs w:val="20"/>
                <w:color w:val="auto"/>
              </w:rPr>
              <w:t>232,800</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233,875</w:t>
            </w:r>
          </w:p>
        </w:tc>
      </w:tr>
      <w:tr>
        <w:trPr>
          <w:trHeight w:val="292"/>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28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1"/>
        </w:trPr>
        <w:tc>
          <w:tcPr>
            <w:tcW w:w="654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secured credit facility</w:t>
            </w:r>
          </w:p>
        </w:tc>
        <w:tc>
          <w:tcPr>
            <w:tcW w:w="28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232,800</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233,875</w:t>
            </w:r>
          </w:p>
        </w:tc>
      </w:tr>
      <w:tr>
        <w:trPr>
          <w:trHeight w:val="257"/>
        </w:trPr>
        <w:tc>
          <w:tcPr>
            <w:tcW w:w="6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75"/>
        </w:trPr>
        <w:tc>
          <w:tcPr>
            <w:tcW w:w="6540" w:type="dxa"/>
            <w:vAlign w:val="bottom"/>
          </w:tcPr>
          <w:p>
            <w:pPr>
              <w:ind w:left="20"/>
              <w:spacing w:after="0"/>
              <w:rPr>
                <w:sz w:val="20"/>
                <w:szCs w:val="20"/>
                <w:color w:val="auto"/>
              </w:rPr>
            </w:pPr>
            <w:r>
              <w:rPr>
                <w:rFonts w:ascii="Arial" w:cs="Arial" w:eastAsia="Arial" w:hAnsi="Arial"/>
                <w:sz w:val="20"/>
                <w:szCs w:val="20"/>
                <w:color w:val="auto"/>
              </w:rPr>
              <w:t>Convertible notes</w:t>
            </w:r>
          </w:p>
        </w:tc>
        <w:tc>
          <w:tcPr>
            <w:tcW w:w="280" w:type="dxa"/>
            <w:vAlign w:val="bottom"/>
          </w:tcPr>
          <w:p>
            <w:pPr>
              <w:spacing w:after="0"/>
              <w:rPr>
                <w:sz w:val="23"/>
                <w:szCs w:val="23"/>
                <w:color w:val="auto"/>
              </w:rPr>
            </w:pPr>
          </w:p>
        </w:tc>
        <w:tc>
          <w:tcPr>
            <w:tcW w:w="2040" w:type="dxa"/>
            <w:vAlign w:val="bottom"/>
          </w:tcPr>
          <w:p>
            <w:pPr>
              <w:jc w:val="right"/>
              <w:ind w:right="1"/>
              <w:spacing w:after="0"/>
              <w:rPr>
                <w:sz w:val="20"/>
                <w:szCs w:val="20"/>
                <w:color w:val="auto"/>
              </w:rPr>
            </w:pPr>
            <w:r>
              <w:rPr>
                <w:rFonts w:ascii="Arial" w:cs="Arial" w:eastAsia="Arial" w:hAnsi="Arial"/>
                <w:sz w:val="20"/>
                <w:szCs w:val="20"/>
                <w:color w:val="auto"/>
              </w:rPr>
              <w:t>425,000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debt</w:t>
            </w:r>
          </w:p>
        </w:tc>
        <w:tc>
          <w:tcPr>
            <w:tcW w:w="28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35,527</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34,042</w:t>
            </w:r>
          </w:p>
        </w:tc>
      </w:tr>
      <w:tr>
        <w:trPr>
          <w:trHeight w:val="268"/>
        </w:trPr>
        <w:tc>
          <w:tcPr>
            <w:tcW w:w="6540" w:type="dxa"/>
            <w:vAlign w:val="bottom"/>
          </w:tcPr>
          <w:p>
            <w:pPr>
              <w:ind w:left="20"/>
              <w:spacing w:after="0"/>
              <w:rPr>
                <w:sz w:val="20"/>
                <w:szCs w:val="20"/>
                <w:color w:val="auto"/>
              </w:rPr>
            </w:pPr>
            <w:r>
              <w:rPr>
                <w:rFonts w:ascii="Arial" w:cs="Arial" w:eastAsia="Arial" w:hAnsi="Arial"/>
                <w:sz w:val="20"/>
                <w:szCs w:val="20"/>
                <w:color w:val="auto"/>
              </w:rPr>
              <w:t>Total principal</w:t>
            </w:r>
          </w:p>
        </w:tc>
        <w:tc>
          <w:tcPr>
            <w:tcW w:w="280" w:type="dxa"/>
            <w:vAlign w:val="bottom"/>
          </w:tcPr>
          <w:p>
            <w:pPr>
              <w:spacing w:after="0"/>
              <w:rPr>
                <w:sz w:val="23"/>
                <w:szCs w:val="23"/>
                <w:color w:val="auto"/>
              </w:rPr>
            </w:pPr>
          </w:p>
        </w:tc>
        <w:tc>
          <w:tcPr>
            <w:tcW w:w="2040" w:type="dxa"/>
            <w:vAlign w:val="bottom"/>
          </w:tcPr>
          <w:p>
            <w:pPr>
              <w:jc w:val="right"/>
              <w:ind w:right="1"/>
              <w:spacing w:after="0"/>
              <w:rPr>
                <w:sz w:val="20"/>
                <w:szCs w:val="20"/>
                <w:color w:val="auto"/>
              </w:rPr>
            </w:pPr>
            <w:r>
              <w:rPr>
                <w:rFonts w:ascii="Arial" w:cs="Arial" w:eastAsia="Arial" w:hAnsi="Arial"/>
                <w:sz w:val="20"/>
                <w:szCs w:val="20"/>
                <w:color w:val="auto"/>
              </w:rPr>
              <w:t>693,327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692,917</w:t>
            </w:r>
          </w:p>
        </w:tc>
      </w:tr>
      <w:tr>
        <w:trPr>
          <w:trHeight w:val="292"/>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28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(14,335)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(15,633)</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Current portion of debt</w:t>
            </w: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(34,472)</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(30,714)</w:t>
            </w:r>
          </w:p>
        </w:tc>
      </w:tr>
      <w:tr>
        <w:trPr>
          <w:trHeight w:val="29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644,520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646,570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on February 26, 2021 and again on March 2, 2023 (the “Third Amendment”).</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an amendment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 provided that if on July 15, 2027, the date that is 91 days prior to the stated maturity of the Term Loan Facility, all or any portion of the Term Loan Facility is outstanding, the Revolving Credit Facility will mature on such date.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outstanding balance on the Term Loan Facility was $232.8 million and $233.9 million as of March 31, 2025 and December 31, 2024, respectively. The Term Loan Facility is presented in the accompanying condensed consolidated balance sheets, net of debt discount and issuance costs of $7.1 million and $7.9 million as of March 31, 2025 and December 31, 2024, respectively. In accordance with the Third Amendment, the Term Loan Facility pays interest at the Company’s election, at either (x) for SOFR Loans at Adjusted Term SOFR (subject to a floor of 0.50%) plus 3.25% or (y) for Base Rate Loans at the higher of the Prime Rate, one half of 1.00% above the Federal Funds Rate or the Adjusted Term SOFR for one-month interest period, after giving effect to any floor plus 1.00%, plus 2.25%. The debt discount and issuance costs are being amortized using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effective interest method and the effective interest rate of the Term Loan Facility as of March 31, 2025, was 8.92%. The Term Loan Facility has an annual excess cash flow calculation, for which the prescribed formula did not result in requiring the Company to make an advance principal payment for the year ended December 31, 2024. The Term Loan Facility is due in October 2027.</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had no outstanding balance under the Revolving Credit Facility at both March 31, 2025 and December 31, 2024. At March 31, 2025 and December 31, 2024 the Company had $38.7 million and $28.0 million, respectively, in standby letters of credit, and $161.3 million and $172.0 million, respectively, available to withdraw. In accordance with the Third Amendment, the Revolving Credit Facility pays interest at the Company’s election, at either (x) for SOFR Loans at Adjusted Term SOFR (as defined in the Credit Agreement) plus 3.25% or (y) for Base Rate Loans at the higher of the Prime Rate (each as defined in the Credit Agreement), one half of 1.00% above the Federal Funds Rate (as defined in the Credit Agreement) or the Adjusted Term SOFR for one-month interest period, after giving effect to any floor plus 1.00%, plus 2.25%.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Convertible Notes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December 3, 2021 and December 9, 2021, the Company completed a $425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March 31, 2025 and December 31, 2024, the principal balance of the Convertible Notes was $425.0 million with unamortized discount and issuance costs of $7.0 million and $7.5 million, respectively, for a net carrying amount of $418.0 million and $417.5 million, respectively.</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conversion rate for the Convertible Notes was initially 41.9054 shares of the Company’s common stock per $1,000 principal amount of Convertible Notes, which was equivalent to an initial conversion price of approximately $23.86 per share of common stock or 10.1 million shares of common stock. The Convertible Notes were not convertible during the three months ended March 31, 2025, and none have been converted to date. Also, given that the average market price of the Company’s common stock has not exceeded the exercise price since inception, there was no dilutive impact for the three months ended March 31, 2025.</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capped call option agreements (the “Capped Calls”), the Company would receive shares of its common stock equal to approximately 17.8 million shares (a) multiplied by (i) the lower of $36.02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and remains currently, $36.02 per share.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35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37"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Other debt consists of the debt obligations of STI Operations (“Other Debt”). Interest rates on Other debt range from 2.63% to 6.10% annually. Of the $35.3 million carrying value of the Other debt balance as of March 31, 2025, $16.1 million is denominated in Euros and $19.2 million is denominated in U.S. dollar. These debt obligations mature between 2025 and 2027.</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At March 31, 2025, STI Operations had three notes payable with a carrying value of $19.0 million outstanding, which resulted from reverse factoring arrangements with a bank. The notes payable mature within a year from issuance and are included in the carrying value of Other debt of $35.3 million.</w:t>
      </w:r>
    </w:p>
    <w:p>
      <w:pPr>
        <w:spacing w:after="0" w:line="21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Company entered into a Securities Purchase Agreement (the “SPA”), dated August 10, 2021 pursuant to which the Company issued 400,000 shares of its Series A Redeemable Perpetual Preferred Stock (the “Series A Shares”) and 9,000,000 shares of the Company’s common stock for an aggregate purchase price of approximately $395.4 million. The Company used the net proceeds from the Initial Closing to repay the $102.0 million outstanding balance under its existing Revolving Credit Facility and prepay $100.0 million of the Term Loan Facility. The Series A Shares have no maturity date.</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has classified the Series A Shares as temporary equity and is accreting the carrying amount to its full redemption amount from the date of issuance to the earliest redemption date using the effective interest method. Such accretion totaled $7.2 million and $6.7 million for the three months ended March 31, 2025 and 2024,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accrual to the Liquidation Preference at the Accrued Regular Dividend Rate (each as defined below) of 6.25%, or (iii) a combination thereof. Following the fifth anniversary of the Initial Closing, dividends on the Series A Shares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volume-weighted average share price (“VWAP”) of the Company’s common stock.</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three months ended March 31, 2025, the Company accrued dividends on the Series A Shares at the Accrued Regular Dividend rate of 6.25% totaling $7.2 million. As of March 31, 2025, total accrued and unpaid dividends were $68.1 million.</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02"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8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r>
      <w:tr>
        <w:trPr>
          <w:trHeight w:val="263"/>
        </w:trPr>
        <w:tc>
          <w:tcPr>
            <w:tcW w:w="65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2024</w:t>
            </w:r>
          </w:p>
        </w:tc>
        <w:tc>
          <w:tcPr>
            <w:tcW w:w="840" w:type="dxa"/>
            <w:vAlign w:val="bottom"/>
            <w:tcBorders>
              <w:bottom w:val="single" w:sz="8" w:color="auto"/>
            </w:tcBorders>
          </w:tcPr>
          <w:p>
            <w:pPr>
              <w:spacing w:after="0"/>
              <w:rPr>
                <w:sz w:val="22"/>
                <w:szCs w:val="22"/>
                <w:color w:val="auto"/>
              </w:rPr>
            </w:pPr>
          </w:p>
        </w:tc>
      </w:tr>
      <w:tr>
        <w:trPr>
          <w:trHeight w:val="27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144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261,622</w:t>
            </w:r>
          </w:p>
        </w:tc>
        <w:tc>
          <w:tcPr>
            <w:tcW w:w="154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124,336</w:t>
            </w: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1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40,741</w:t>
            </w:r>
          </w:p>
        </w:tc>
        <w:tc>
          <w:tcPr>
            <w:tcW w:w="8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29,067</w:t>
            </w:r>
          </w:p>
        </w:tc>
      </w:tr>
      <w:tr>
        <w:trPr>
          <w:trHeight w:val="29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144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302,363</w:t>
            </w:r>
          </w:p>
        </w:tc>
        <w:tc>
          <w:tcPr>
            <w:tcW w:w="154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153,403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balance sheets. The majority of the Company’s contract amounts are billed as work progresses, in accordance with agreed-upon contractual terms, which generally coincide with the shipment of one or more phases of the project. For certain customer contracts, billing can occur in advance of shipment, resulting in contract liabilities. Billing sometimes occurs subsequent to revenue recognition, resulting in contract assets. The changes in contract assets and the corresponding amounts recorded in revenue relate to fluctuations in the timing and volume of billings.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Contract assets consisting of unbilled receivables are recorded within accounts receivable, net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7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99,469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94,045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recorded within deferred revenue, relate to advanced orders and payments received by the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2025</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2024</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120,225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During the three months ended March 31, 2025, the Company converted $44.5 million in deferred revenue to revenue, which represented 37% of the prior year’s deferred revenue balance. Included in deferred revenue as of December 31, 2024 are cash advances for signed contracts that begin several months subsequent to receiving the advance. In addition, deferred revenue includes paid extended warranty, which can be recognized upon expiration of the warranty.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 During the three months ended March 31, 2025 and 2024, the Company recognized zero and $1.9 million, respectively, in revenue from one customer for the sale of goods and services under bill-and-hold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As of March 31, 2025, the Company had $631.2 million of remaining performance obligations. The Company expects to recognize revenue on 97% of these performance obligations in the next twelve months.</w:t>
      </w:r>
    </w:p>
    <w:p>
      <w:pPr>
        <w:spacing w:after="0" w:line="16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following table sets forth the computation of basic and diluted income (loss)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86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2024</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440" w:type="dxa"/>
            <w:vAlign w:val="bottom"/>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16,746</w:t>
            </w:r>
          </w:p>
        </w:tc>
        <w:tc>
          <w:tcPr>
            <w:tcW w:w="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41"/>
              <w:spacing w:after="0"/>
              <w:rPr>
                <w:sz w:val="20"/>
                <w:szCs w:val="20"/>
                <w:color w:val="auto"/>
              </w:rPr>
            </w:pPr>
            <w:r>
              <w:rPr>
                <w:rFonts w:ascii="Arial" w:cs="Arial" w:eastAsia="Arial" w:hAnsi="Arial"/>
                <w:sz w:val="20"/>
                <w:szCs w:val="20"/>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2,165</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preferred dividends and accretion</w:t>
            </w:r>
          </w:p>
        </w:tc>
        <w:tc>
          <w:tcPr>
            <w:tcW w:w="1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14,443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13,502</w:t>
            </w: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144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2,303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(11,337)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152,076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151,351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40" w:type="dxa"/>
            <w:vAlign w:val="bottom"/>
          </w:tcPr>
          <w:p>
            <w:pPr>
              <w:ind w:left="300"/>
              <w:spacing w:after="0"/>
              <w:rPr>
                <w:sz w:val="20"/>
                <w:szCs w:val="20"/>
                <w:color w:val="auto"/>
              </w:rPr>
            </w:pPr>
            <w:r>
              <w:rPr>
                <w:rFonts w:ascii="Arial" w:cs="Arial" w:eastAsia="Arial" w:hAnsi="Arial"/>
                <w:sz w:val="20"/>
                <w:szCs w:val="20"/>
                <w:color w:val="auto"/>
              </w:rPr>
              <w:t>Income (loss) per share</w:t>
            </w:r>
          </w:p>
        </w:tc>
        <w:tc>
          <w:tcPr>
            <w:tcW w:w="1440" w:type="dxa"/>
            <w:vAlign w:val="bottom"/>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2"/>
                <w:szCs w:val="22"/>
                <w:color w:val="auto"/>
              </w:rPr>
            </w:pPr>
          </w:p>
        </w:tc>
        <w:tc>
          <w:tcPr>
            <w:tcW w:w="1460" w:type="dxa"/>
            <w:vAlign w:val="bottom"/>
            <w:gridSpan w:val="2"/>
          </w:tcPr>
          <w:p>
            <w:pPr>
              <w:jc w:val="right"/>
              <w:ind w:right="1261"/>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(0.07)</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1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40" w:type="dxa"/>
            <w:vAlign w:val="bottom"/>
          </w:tcPr>
          <w:p>
            <w:pPr>
              <w:ind w:left="240"/>
              <w:spacing w:after="0"/>
              <w:rPr>
                <w:sz w:val="20"/>
                <w:szCs w:val="20"/>
                <w:color w:val="auto"/>
              </w:rPr>
            </w:pPr>
            <w:r>
              <w:rPr>
                <w:rFonts w:ascii="Arial" w:cs="Arial" w:eastAsia="Arial" w:hAnsi="Arial"/>
                <w:sz w:val="20"/>
                <w:szCs w:val="20"/>
                <w:color w:val="auto"/>
              </w:rPr>
              <w:t>Effect of restricted stock and performance awards</w:t>
            </w:r>
          </w:p>
        </w:tc>
        <w:tc>
          <w:tcPr>
            <w:tcW w:w="144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707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1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152,783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151,351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40" w:type="dxa"/>
            <w:vAlign w:val="bottom"/>
          </w:tcPr>
          <w:p>
            <w:pPr>
              <w:ind w:left="240"/>
              <w:spacing w:after="0"/>
              <w:rPr>
                <w:sz w:val="20"/>
                <w:szCs w:val="20"/>
                <w:color w:val="auto"/>
              </w:rPr>
            </w:pPr>
            <w:r>
              <w:rPr>
                <w:rFonts w:ascii="Arial" w:cs="Arial" w:eastAsia="Arial" w:hAnsi="Arial"/>
                <w:sz w:val="20"/>
                <w:szCs w:val="20"/>
                <w:color w:val="auto"/>
              </w:rPr>
              <w:t>Income (loss) per share</w:t>
            </w:r>
          </w:p>
        </w:tc>
        <w:tc>
          <w:tcPr>
            <w:tcW w:w="144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2"/>
                <w:szCs w:val="22"/>
                <w:color w:val="auto"/>
              </w:rPr>
            </w:pPr>
          </w:p>
        </w:tc>
        <w:tc>
          <w:tcPr>
            <w:tcW w:w="1460" w:type="dxa"/>
            <w:vAlign w:val="bottom"/>
            <w:tcBorders>
              <w:bottom w:val="single" w:sz="8" w:color="auto"/>
            </w:tcBorders>
            <w:gridSpan w:val="2"/>
          </w:tcPr>
          <w:p>
            <w:pPr>
              <w:jc w:val="right"/>
              <w:ind w:right="126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Since the Company was in a loss position for the three months ended March 31, 2024, basic net loss per share to common shareholders is the same as diluted net loss per share to common stockholders, as the inclusion of all potential shares of common stock outstanding would have been anti-dilutive.</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At March 31, 2025 and 2024, 1,107,733 and 2,736,244 respectively, of common stock equivalents were excluded from the calculation of diluted net loss per share to common stockholders, as they had an antidilutive effect.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There were no potentially dilutive common shares issuable pursuant to the Convertible Notes for both the three months ended March 31, 2025 and 2024, as the average market price of the Company’s common stock has not exceeded the exercise price since their issuance.</w:t>
      </w:r>
    </w:p>
    <w:p>
      <w:pPr>
        <w:spacing w:after="0" w:line="19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May 14, 2021, a putative class action (the “Plymouth Action”) was filed in the U.S. District Court for the Southern District of New York against the Company and certain officers and directors alleging violations of Sections 10(b) and 20(a) of the Securities Exchange Act of 1934, as amended (the “Exchange Act”), and Rule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1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10b-5, promulgated thereunder, and Sections 11, 12(a)(2) and 15 of the Securities Act of 1933, as amended (the “Securities Act”). The complaint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A consolidated amended class action complaint was filed on December 7, 2021 with additional allegations regarding misstatements and/or omissions in: (1) in the Company’s Annual Report on Form 10-K and associated press release announcing results for the fourth quarter and full fiscal year 2020; and (2) in the Company’s November 5, 2020 and March 9, 2021 earnings calls.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June 30, 2021, a substantially similar second putative class action was filed in the Southern District of New York against the Company and certain officers and directors alleging violations of Sections 10(b) and 20(a) of the Exchange Act, and Rule 10b-5, promulgated thereunder, and Sections 11 and 15 of the Securities Act, which was consolidated with the Plymouth Action.</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All Defendants in the Plymouth Action, including the Company, moved to dismiss the consolidated amended complaint. On May 19, 2023, the court granted the Company’s motion to dismiss and, on July 5, 2023, denied a request from the Plymouth Action plaintiffs for leave to amend the consolidated amended complaint and dismissed the Plymouth Action in its entirety with prejudice.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to the U.S. Court of Appeals for the Second Circuit. After full briefing, the court of appeals heard oral argument on June 26, 2024 and the case is still pending decision by the court.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The complaint alleges: (1) violations of Section 14(a) of the Exchange Act for misleading proxy statements, (2) breach of fiduciary duty, (3) unjust enrichment, (4) abuse of control, (5) gross mismanagement, (6) corporate waste, (7) aiding and abetting breach of fiduciary duty, and (8) contribution under sections 10(b) and 21D of the Exchange Act.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July 30, 2021, a second verified derivative complaint was filed in the Southern District of New York against certain officers and directors of the Company. The complaint alleges: (1) violations of Section 14(a) of the Exchange Act for causing the issuance of a false/misleading proxy statement, (2) breach of fiduciary duty, and (3) aiding and abetting breaches of fiduciary duty.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August 24, 2021, the Southern District of New York derivative actions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against certain officers and directors of the Company, asserting claims for: (1) breach of fiduciary duty and (2) unjust enrichment.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August 11, 2022, a second verified derivative complaint was filed with the Court of Chancery against certain officers and directors of the Company, asserting claims for: (1) breach of fiduciary duty; (2) aiding and abetting breaches of fiduciary duty; (3) waste of corporate assets; (4) unjust enrichment; (5) insider selling; and (6) aiding and abetting insider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September 2, 2022, the derivative cases with the Court of Chancery were consolidated and the court appointed co-lead counsel. The consolidated cases remain stayed pending the outcome of the appeal of the Plymouth Action.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continues to believe the claims alleged in the actions are without merit and intends to continue to vigorously defend its position in these matters. The Company has not recorded any material loss contingency in the condensed consolidated balance sheets as of March 31, 2025.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 Supplier Settlement</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March 2024, the Company reached a settlement with one of its vendors, in which the Company received $4.0 million in the form of a one-time $2.6 million cash payment due immediately, and $1.4 million in credits with the vendor which can be applied by the Company to future orders from the respective vendor. If the Company does not utilize all of the credits by January 2026, it will receive a one-time cash payment from the vendor for the remaining unused credit balance. During the three months ended March 31, 2024, the Company recognized a $4.0 million reduction to cost of revenue on the condensed consolidated statements of operations and had a receivable of $4.0 million included in Prepaid and other expenses, net on the condensed consolidated balance sheets. Subsequent to December 31, 2024, the Company has collected the remaining outstanding amount.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is party to various other legal proceedings, claims, governmental and/or regulatory inspections, inquiries and investigations arising out of the ordinary course of its business. The Company believes that there are no other proceedings or claims pending against it, the ultimate resolution of which could have a material adverse effect on its financial condition or results of operations. In all cases, at each reporting period, the Company evaluates whether or not a potential loss amount or a potential range of loss is probable and reasonably estimable under ASC 450, Contingencies (ASC 450). Legal costs are expensed as incurred. It is possible that future results for any particular quarter or annual period may be materially affected by changes in our assumption or the effectiveness of the Company’s strategies relating to these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Tech, Inc.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March 31, 2025 and December 31, 2024, the fair value of the TRA was $7.7 million and $9.1 million, respectively.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39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Three Months Ended March 31,</w:t>
            </w:r>
          </w:p>
        </w:tc>
        <w:tc>
          <w:tcPr>
            <w:tcW w:w="780" w:type="dxa"/>
            <w:vAlign w:val="bottom"/>
            <w:tcBorders>
              <w:bottom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2025</w:t>
            </w: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rPr>
              <w:t>2024</w:t>
            </w:r>
          </w:p>
        </w:tc>
        <w:tc>
          <w:tcPr>
            <w:tcW w:w="780" w:type="dxa"/>
            <w:vAlign w:val="bottom"/>
            <w:tcBorders>
              <w:bottom w:val="single" w:sz="8" w:color="auto"/>
            </w:tcBorders>
          </w:tcPr>
          <w:p>
            <w:pPr>
              <w:spacing w:after="0"/>
              <w:rPr>
                <w:sz w:val="21"/>
                <w:szCs w:val="21"/>
                <w:color w:val="auto"/>
              </w:rPr>
            </w:pPr>
          </w:p>
        </w:tc>
      </w:tr>
      <w:tr>
        <w:trPr>
          <w:trHeight w:val="27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520" w:type="dxa"/>
            <w:vAlign w:val="bottom"/>
            <w:shd w:val="clear" w:color="auto" w:fill="CCEEFF"/>
          </w:tcPr>
          <w:p>
            <w:pPr>
              <w:jc w:val="right"/>
              <w:ind w:right="130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9,061</w:t>
            </w: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21"/>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10,363</w:t>
            </w:r>
          </w:p>
        </w:tc>
      </w:tr>
      <w:tr>
        <w:trPr>
          <w:trHeight w:val="282"/>
        </w:trPr>
        <w:tc>
          <w:tcPr>
            <w:tcW w:w="654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(1,204)</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(1,427)</w:t>
            </w:r>
          </w:p>
        </w:tc>
      </w:tr>
      <w:tr>
        <w:trPr>
          <w:trHeight w:val="284"/>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5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w:t>
            </w:r>
          </w:p>
        </w:tc>
        <w:tc>
          <w:tcPr>
            <w:tcW w:w="80" w:type="dxa"/>
            <w:vAlign w:val="bottom"/>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(735)</w:t>
            </w:r>
          </w:p>
        </w:tc>
      </w:tr>
      <w:tr>
        <w:trPr>
          <w:trHeight w:val="279"/>
        </w:trPr>
        <w:tc>
          <w:tcPr>
            <w:tcW w:w="654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520" w:type="dxa"/>
            <w:vAlign w:val="bottom"/>
            <w:tcBorders>
              <w:bottom w:val="single" w:sz="8" w:color="auto"/>
            </w:tcBorders>
          </w:tcPr>
          <w:p>
            <w:pPr>
              <w:jc w:val="right"/>
              <w:ind w:right="130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7,707</w:t>
            </w:r>
          </w:p>
        </w:tc>
        <w:tc>
          <w:tcPr>
            <w:tcW w:w="80" w:type="dxa"/>
            <w:vAlign w:val="bottom"/>
          </w:tcPr>
          <w:p>
            <w:pPr>
              <w:spacing w:after="0"/>
              <w:rPr>
                <w:sz w:val="24"/>
                <w:szCs w:val="24"/>
                <w:color w:val="auto"/>
              </w:rPr>
            </w:pPr>
          </w:p>
        </w:tc>
        <w:tc>
          <w:tcPr>
            <w:tcW w:w="1520" w:type="dxa"/>
            <w:vAlign w:val="bottom"/>
            <w:tcBorders>
              <w:bottom w:val="single" w:sz="8" w:color="auto"/>
            </w:tcBorders>
          </w:tcPr>
          <w:p>
            <w:pPr>
              <w:jc w:val="right"/>
              <w:ind w:right="1321"/>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8,201</w:t>
            </w:r>
          </w:p>
        </w:tc>
      </w:tr>
      <w:tr>
        <w:trPr>
          <w:trHeight w:val="20"/>
        </w:trPr>
        <w:tc>
          <w:tcPr>
            <w:tcW w:w="6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March 31, 2025, the Company posted surety bonds in the total amount of $269.9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19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880"/>
              <w:spacing w:after="0"/>
              <w:rPr>
                <w:sz w:val="20"/>
                <w:szCs w:val="20"/>
                <w:color w:val="auto"/>
              </w:rPr>
            </w:pPr>
            <w:r>
              <w:rPr>
                <w:rFonts w:ascii="Arial" w:cs="Arial" w:eastAsia="Arial" w:hAnsi="Arial"/>
                <w:sz w:val="20"/>
                <w:szCs w:val="20"/>
                <w:b w:val="1"/>
                <w:bCs w:val="1"/>
                <w:color w:val="auto"/>
              </w:rPr>
              <w:t>March 31, 2025</w:t>
            </w:r>
          </w:p>
        </w:tc>
        <w:tc>
          <w:tcPr>
            <w:tcW w:w="140" w:type="dxa"/>
            <w:vAlign w:val="bottom"/>
          </w:tcPr>
          <w:p>
            <w:pPr>
              <w:spacing w:after="0"/>
              <w:rPr>
                <w:sz w:val="24"/>
                <w:szCs w:val="24"/>
                <w:color w:val="auto"/>
              </w:rPr>
            </w:pPr>
          </w:p>
        </w:tc>
        <w:tc>
          <w:tcPr>
            <w:tcW w:w="33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December 31, 2024</w:t>
            </w:r>
          </w:p>
        </w:tc>
      </w:tr>
      <w:tr>
        <w:trPr>
          <w:trHeight w:val="254"/>
        </w:trPr>
        <w:tc>
          <w:tcPr>
            <w:tcW w:w="4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417,992</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311,661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417,525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311,525</w:t>
            </w:r>
          </w:p>
        </w:tc>
      </w:tr>
    </w:tbl>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fair value of the Term Loan Facility and Other Debt is estimated using Level 2 inputs. The carrying values of the Term Loan Facility outstanding under the Senior Secured Credit Facility recorded in the condensed consolidated balance sheets approximate fair value due to the variable nature of the interest rates.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Other Debt with an aggregate carrying value of $35.3 million, consists of variable and fixed rate obligations. Due to the relative short-term maturity of the fixed rate obligations, the Company believes the carrying value approximates fair value. The carrying value of the variable rate obligations approximates fair value due to the variable nature of the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Pursuant to the 2020 Plan, the Company grants time-based restricted stock units (“RSUs”) to employees and members of the Company’s board of directors. The fair value of the RSUs is determined using the market value of the Company’s common stock on the grant date.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three months ended March 31, 2025,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2024</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2,648,161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10.97</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2,326,733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6.18</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(588,453)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13.15</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(96,672)</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12.59</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March 31, 2025</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4,289,769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8.03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has granted performance-based restricted stock units (“PSUs”) to certain employees. The PSUs cliff vest after three years and upon meeting certain revenue and adjusted EPS targets. The PSUs also contain a modifier based on the total stock return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three months ended March 31, 2025 and 2024:</w:t>
      </w:r>
    </w:p>
    <w:tbl>
      <w:tblPr>
        <w:tblLayout w:type="fixed"/>
        <w:tblInd w:w="0" w:type="dxa"/>
        <w:tblCellMar>
          <w:top w:w="0" w:type="dxa"/>
          <w:left w:w="0" w:type="dxa"/>
          <w:bottom w:w="0" w:type="dxa"/>
          <w:right w:w="0" w:type="dxa"/>
        </w:tblCellMar>
      </w:tblPr>
      <w:tr>
        <w:trPr>
          <w:trHeight w:val="270"/>
        </w:trPr>
        <w:tc>
          <w:tcPr>
            <w:tcW w:w="794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2025</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Pr>
          <w:p>
            <w:pPr>
              <w:jc w:val="right"/>
              <w:ind w:right="781"/>
              <w:spacing w:after="0" w:line="270" w:lineRule="exact"/>
              <w:rPr>
                <w:sz w:val="20"/>
                <w:szCs w:val="20"/>
                <w:color w:val="auto"/>
              </w:rPr>
            </w:pPr>
            <w:r>
              <w:rPr>
                <w:rFonts w:ascii="Arial" w:cs="Arial" w:eastAsia="Arial" w:hAnsi="Arial"/>
                <w:sz w:val="20"/>
                <w:szCs w:val="20"/>
                <w:b w:val="1"/>
                <w:bCs w:val="1"/>
                <w:color w:val="auto"/>
              </w:rPr>
              <w:t xml:space="preserve">2024 </w:t>
            </w:r>
            <w:r>
              <w:rPr>
                <w:rFonts w:ascii="Arial" w:cs="Arial" w:eastAsia="Arial" w:hAnsi="Arial"/>
                <w:sz w:val="25"/>
                <w:szCs w:val="25"/>
                <w:b w:val="1"/>
                <w:bCs w:val="1"/>
                <w:color w:val="auto"/>
                <w:vertAlign w:val="superscript"/>
              </w:rPr>
              <w:t>(1)</w:t>
            </w:r>
          </w:p>
        </w:tc>
      </w:tr>
      <w:tr>
        <w:trPr>
          <w:trHeight w:val="27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58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76 %</w:t>
            </w:r>
          </w:p>
        </w:tc>
        <w:tc>
          <w:tcPr>
            <w:tcW w:w="8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20"/>
                <w:szCs w:val="20"/>
                <w:color w:val="auto"/>
              </w:rPr>
              <w:t>— %</w:t>
            </w:r>
          </w:p>
        </w:tc>
      </w:tr>
      <w:tr>
        <w:trPr>
          <w:trHeight w:val="275"/>
        </w:trPr>
        <w:tc>
          <w:tcPr>
            <w:tcW w:w="794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20"/>
                <w:szCs w:val="20"/>
                <w:color w:val="auto"/>
              </w:rPr>
              <w:t>4.04 %</w:t>
            </w:r>
          </w:p>
        </w:tc>
        <w:tc>
          <w:tcPr>
            <w:tcW w:w="80" w:type="dxa"/>
            <w:vAlign w:val="bottom"/>
          </w:tcPr>
          <w:p>
            <w:pPr>
              <w:spacing w:after="0"/>
              <w:rPr>
                <w:sz w:val="23"/>
                <w:szCs w:val="23"/>
                <w:color w:val="auto"/>
              </w:rPr>
            </w:pPr>
          </w:p>
        </w:tc>
        <w:tc>
          <w:tcPr>
            <w:tcW w:w="2400" w:type="dxa"/>
            <w:vAlign w:val="bottom"/>
          </w:tcPr>
          <w:p>
            <w:pPr>
              <w:ind w:left="1940"/>
              <w:spacing w:after="0"/>
              <w:rPr>
                <w:sz w:val="20"/>
                <w:szCs w:val="20"/>
                <w:color w:val="auto"/>
              </w:rPr>
            </w:pPr>
            <w:r>
              <w:rPr>
                <w:rFonts w:ascii="Arial" w:cs="Arial" w:eastAsia="Arial" w:hAnsi="Arial"/>
                <w:sz w:val="20"/>
                <w:szCs w:val="20"/>
                <w:color w:val="auto"/>
              </w:rPr>
              <w:t>— %</w:t>
            </w:r>
          </w:p>
        </w:tc>
      </w:tr>
      <w:tr>
        <w:trPr>
          <w:trHeight w:val="292"/>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ind w:left="1940"/>
              <w:spacing w:after="0"/>
              <w:rPr>
                <w:sz w:val="20"/>
                <w:szCs w:val="20"/>
                <w:color w:val="auto"/>
              </w:rPr>
            </w:pPr>
            <w:r>
              <w:rPr>
                <w:rFonts w:ascii="Arial" w:cs="Arial" w:eastAsia="Arial" w:hAnsi="Arial"/>
                <w:sz w:val="20"/>
                <w:szCs w:val="20"/>
                <w:color w:val="auto"/>
              </w:rPr>
              <w:t>— %</w:t>
            </w:r>
          </w:p>
        </w:tc>
      </w:tr>
    </w:tbl>
    <w:p>
      <w:pPr>
        <w:spacing w:after="0" w:line="54"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No PSUs were issued during the three months ended March 31, 2024.</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PSU activity under the 2020 Plan during the three months ended March 31, 2025,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67"/>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2024</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924,241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12.76</w:t>
            </w:r>
          </w:p>
        </w:tc>
        <w:tc>
          <w:tcPr>
            <w:tcW w:w="0" w:type="dxa"/>
            <w:vAlign w:val="bottom"/>
          </w:tcPr>
          <w:p>
            <w:pPr>
              <w:spacing w:after="0"/>
              <w:rPr>
                <w:sz w:val="1"/>
                <w:szCs w:val="1"/>
                <w:color w:val="auto"/>
              </w:rPr>
            </w:pPr>
          </w:p>
        </w:tc>
      </w:tr>
      <w:tr>
        <w:trPr>
          <w:trHeight w:val="282"/>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638,222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6.60</w:t>
            </w:r>
          </w:p>
        </w:tc>
        <w:tc>
          <w:tcPr>
            <w:tcW w:w="0" w:type="dxa"/>
            <w:vAlign w:val="bottom"/>
          </w:tcPr>
          <w:p>
            <w:pPr>
              <w:spacing w:after="0"/>
              <w:rPr>
                <w:sz w:val="1"/>
                <w:szCs w:val="1"/>
                <w:color w:val="auto"/>
              </w:rPr>
            </w:pPr>
          </w:p>
        </w:tc>
      </w:tr>
      <w:tr>
        <w:trPr>
          <w:trHeight w:val="285"/>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14.19</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March 31, 2025</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1,544,604</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9.53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200" w:lineRule="exact"/>
        <w:rPr>
          <w:sz w:val="20"/>
          <w:szCs w:val="20"/>
          <w:color w:val="auto"/>
        </w:rPr>
      </w:pPr>
    </w:p>
    <w:p>
      <w:pPr>
        <w:spacing w:after="0" w:line="35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three months ended March 31, 2025 and 2024, the Company recognized $2.8 million and $4.0 million, respectively, in equity-based compensation costs. At March 31, 2025, the Company had $32.9 million of unrecognized compensation costs related to RSUs and PSUs, which are expected to be recognized over 2.4 years and 2.7 years, respectively.</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Supplemental Cash Flow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consists of the following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20" w:type="dxa"/>
            <w:vAlign w:val="bottom"/>
          </w:tcPr>
          <w:p>
            <w:pPr>
              <w:spacing w:after="0"/>
              <w:rPr>
                <w:sz w:val="23"/>
                <w:szCs w:val="23"/>
                <w:color w:val="auto"/>
              </w:rPr>
            </w:pPr>
          </w:p>
        </w:tc>
        <w:tc>
          <w:tcPr>
            <w:tcW w:w="39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Three Months Ended March 31,</w:t>
            </w:r>
          </w:p>
        </w:tc>
        <w:tc>
          <w:tcPr>
            <w:tcW w:w="800" w:type="dxa"/>
            <w:vAlign w:val="bottom"/>
            <w:tcBorders>
              <w:bottom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2025</w:t>
            </w: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2024</w:t>
            </w:r>
          </w:p>
        </w:tc>
        <w:tc>
          <w:tcPr>
            <w:tcW w:w="800" w:type="dxa"/>
            <w:vAlign w:val="bottom"/>
            <w:tcBorders>
              <w:bottom w:val="single" w:sz="8" w:color="auto"/>
            </w:tcBorders>
          </w:tcPr>
          <w:p>
            <w:pPr>
              <w:spacing w:after="0"/>
              <w:rPr>
                <w:sz w:val="21"/>
                <w:szCs w:val="21"/>
                <w:color w:val="auto"/>
              </w:rPr>
            </w:pPr>
          </w:p>
        </w:tc>
      </w:tr>
      <w:tr>
        <w:trPr>
          <w:trHeight w:val="263"/>
        </w:trPr>
        <w:tc>
          <w:tcPr>
            <w:tcW w:w="65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interest</w:t>
            </w:r>
          </w:p>
        </w:tc>
        <w:tc>
          <w:tcPr>
            <w:tcW w:w="1500" w:type="dxa"/>
            <w:vAlign w:val="bottom"/>
            <w:shd w:val="clear" w:color="auto" w:fill="CCEEFF"/>
          </w:tcPr>
          <w:p>
            <w:pPr>
              <w:jc w:val="right"/>
              <w:ind w:right="128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6,821</w:t>
            </w: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11,300</w:t>
            </w:r>
          </w:p>
        </w:tc>
      </w:tr>
      <w:tr>
        <w:trPr>
          <w:trHeight w:val="282"/>
        </w:trPr>
        <w:tc>
          <w:tcPr>
            <w:tcW w:w="6520" w:type="dxa"/>
            <w:vAlign w:val="bottom"/>
          </w:tcPr>
          <w:p>
            <w:pPr>
              <w:ind w:left="260"/>
              <w:spacing w:after="0"/>
              <w:rPr>
                <w:sz w:val="20"/>
                <w:szCs w:val="20"/>
                <w:color w:val="auto"/>
              </w:rPr>
            </w:pPr>
            <w:r>
              <w:rPr>
                <w:rFonts w:ascii="Arial" w:cs="Arial" w:eastAsia="Arial" w:hAnsi="Arial"/>
                <w:sz w:val="20"/>
                <w:szCs w:val="20"/>
                <w:color w:val="auto"/>
              </w:rPr>
              <w:t>Cash (refunded) paid for income taxes</w:t>
            </w:r>
          </w:p>
        </w:tc>
        <w:tc>
          <w:tcPr>
            <w:tcW w:w="1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(1,791)</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402</w:t>
            </w:r>
          </w:p>
        </w:tc>
      </w:tr>
      <w:tr>
        <w:trPr>
          <w:trHeight w:val="272"/>
        </w:trPr>
        <w:tc>
          <w:tcPr>
            <w:tcW w:w="65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80"/>
        </w:trPr>
        <w:tc>
          <w:tcPr>
            <w:tcW w:w="6520" w:type="dxa"/>
            <w:vAlign w:val="bottom"/>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7"/>
        </w:trPr>
        <w:tc>
          <w:tcPr>
            <w:tcW w:w="65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Property, plant and equipment acquisitions funded by liabilities</w:t>
            </w:r>
          </w:p>
        </w:tc>
        <w:tc>
          <w:tcPr>
            <w:tcW w:w="15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2,122</w:t>
            </w: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1,627</w:t>
            </w:r>
          </w:p>
        </w:tc>
      </w:tr>
      <w:tr>
        <w:trPr>
          <w:trHeight w:val="280"/>
        </w:trPr>
        <w:tc>
          <w:tcPr>
            <w:tcW w:w="6520" w:type="dxa"/>
            <w:vAlign w:val="bottom"/>
          </w:tcPr>
          <w:p>
            <w:pPr>
              <w:ind w:left="260"/>
              <w:spacing w:after="0"/>
              <w:rPr>
                <w:sz w:val="20"/>
                <w:szCs w:val="20"/>
                <w:color w:val="auto"/>
              </w:rPr>
            </w:pPr>
            <w:r>
              <w:rPr>
                <w:rFonts w:ascii="Arial" w:cs="Arial" w:eastAsia="Arial" w:hAnsi="Arial"/>
                <w:sz w:val="20"/>
                <w:szCs w:val="20"/>
                <w:color w:val="auto"/>
              </w:rPr>
              <w:t>Preferred Series A dividends and accretion</w:t>
            </w:r>
          </w:p>
        </w:tc>
        <w:tc>
          <w:tcPr>
            <w:tcW w:w="1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14,443</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13,502</w:t>
            </w:r>
          </w:p>
        </w:tc>
      </w:tr>
    </w:tbl>
    <w:p>
      <w:pPr>
        <w:spacing w:after="0" w:line="30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Segment Reporting</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works with engineering, procurement, and construction firms, to design a solar array to achieve the project’s desired power output. The Company provides the solar tracking system components, which include standard and nonstandard parts. The Company delivers the fully functioning tracker systems for the project sites and provides commissioning services. Although the solar array may use different components and technology depending on the geography and type of system, the Company conducts its operations in the United States (“U.S.”) and internationally, primarily in Spain and Brazil, and is expanding into other international markets through STI Operations.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has two separate operating segments, Array Legacy Operations and STI Operations, which are also reportable segments. Array Legacy Operations consists primarily of amounts earned from the design, manufacture and sale of utility-scale solar tracker systems in the U.S., and STI Operations consists primarily of amounts earned from the design, manufacture and sale of utility-scale solar tracker systems outside of the U.S.</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Company’s CODM assesses the performance of each operating segment by using gross profit. This measure is also predominantly used in the annual budget and forecasting process. The CODM primarily uses the annual operating plan and the monthly financial results for Array Legacy Operations and STI Operations when making decisions about the allocation of operating and capital resources to each segment.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financial results by segment during the periods presented (in thousands):</w:t>
      </w:r>
    </w:p>
    <w:p>
      <w:pPr>
        <w:sectPr>
          <w:pgSz w:w="11900" w:h="16838" w:orient="portrait"/>
          <w:cols w:equalWidth="0" w:num="1">
            <w:col w:w="11240"/>
          </w:cols>
          <w:pgMar w:left="320" w:top="144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920" w:type="dxa"/>
            <w:vAlign w:val="bottom"/>
            <w:tcBorders>
              <w:bottom w:val="single" w:sz="8" w:color="auto"/>
            </w:tcBorders>
            <w:gridSpan w:val="6"/>
          </w:tcPr>
          <w:p>
            <w:pPr>
              <w:jc w:val="center"/>
              <w:ind w:left="1961"/>
              <w:spacing w:after="0"/>
              <w:rPr>
                <w:sz w:val="20"/>
                <w:szCs w:val="20"/>
                <w:color w:val="auto"/>
              </w:rPr>
            </w:pPr>
            <w:r>
              <w:rPr>
                <w:rFonts w:ascii="Arial" w:cs="Arial" w:eastAsia="Arial" w:hAnsi="Arial"/>
                <w:sz w:val="20"/>
                <w:szCs w:val="20"/>
                <w:b w:val="1"/>
                <w:bCs w:val="1"/>
                <w:color w:val="auto"/>
                <w:w w:val="98"/>
              </w:rPr>
              <w:t>Three Months Ended March 31, 2025</w:t>
            </w:r>
          </w:p>
        </w:tc>
        <w:tc>
          <w:tcPr>
            <w:tcW w:w="2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520" w:type="dxa"/>
            <w:vAlign w:val="bottom"/>
          </w:tcPr>
          <w:p>
            <w:pPr>
              <w:spacing w:after="0"/>
              <w:rPr>
                <w:sz w:val="21"/>
                <w:szCs w:val="21"/>
                <w:color w:val="auto"/>
              </w:rPr>
            </w:pPr>
          </w:p>
        </w:tc>
        <w:tc>
          <w:tcPr>
            <w:tcW w:w="220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213,214</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89,149</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302,363</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133,340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76,758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210,098</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shd w:val="clear" w:color="auto" w:fill="CCEEFF"/>
          </w:tcPr>
          <w:p>
            <w:pPr>
              <w:spacing w:after="0"/>
              <w:rPr>
                <w:sz w:val="16"/>
                <w:szCs w:val="16"/>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w:t>
            </w:r>
          </w:p>
        </w:tc>
        <w:tc>
          <w:tcPr>
            <w:tcW w:w="160" w:type="dxa"/>
            <w:vAlign w:val="bottom"/>
            <w:shd w:val="clear" w:color="auto" w:fill="CCEEFF"/>
          </w:tcPr>
          <w:p>
            <w:pPr>
              <w:spacing w:after="0"/>
              <w:rPr>
                <w:sz w:val="21"/>
                <w:szCs w:val="21"/>
                <w:color w:val="auto"/>
              </w:rPr>
            </w:pPr>
          </w:p>
        </w:tc>
        <w:tc>
          <w:tcPr>
            <w:tcW w:w="2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80" w:type="dxa"/>
            <w:vAlign w:val="bottom"/>
            <w:gridSpan w:val="2"/>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550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583</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10,004</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1,611</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11,615</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65,681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10,747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76,428</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(49,144)</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(4,004)</w:t>
            </w:r>
          </w:p>
        </w:tc>
        <w:tc>
          <w:tcPr>
            <w:tcW w:w="0" w:type="dxa"/>
            <w:vAlign w:val="bottom"/>
          </w:tcPr>
          <w:p>
            <w:pPr>
              <w:spacing w:after="0"/>
              <w:rPr>
                <w:sz w:val="1"/>
                <w:szCs w:val="1"/>
                <w:color w:val="auto"/>
              </w:rPr>
            </w:pPr>
          </w:p>
        </w:tc>
      </w:tr>
      <w:tr>
        <w:trPr>
          <w:trHeight w:val="172"/>
        </w:trPr>
        <w:tc>
          <w:tcPr>
            <w:tcW w:w="2960" w:type="dxa"/>
            <w:vAlign w:val="bottom"/>
          </w:tcPr>
          <w:p>
            <w:pPr>
              <w:ind w:left="20"/>
              <w:spacing w:after="0" w:line="173" w:lineRule="exact"/>
              <w:rPr>
                <w:sz w:val="20"/>
                <w:szCs w:val="20"/>
                <w:color w:val="auto"/>
              </w:rPr>
            </w:pPr>
            <w:r>
              <w:rPr>
                <w:rFonts w:ascii="Arial" w:cs="Arial" w:eastAsia="Arial" w:hAnsi="Arial"/>
                <w:sz w:val="19"/>
                <w:szCs w:val="19"/>
                <w:b w:val="1"/>
                <w:bCs w:val="1"/>
                <w:color w:val="auto"/>
              </w:rPr>
              <w:t>Income (loss) before income</w:t>
            </w: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vMerge w:val="restart"/>
          </w:tcPr>
          <w:p>
            <w:pPr>
              <w:jc w:val="right"/>
              <w:spacing w:after="0"/>
              <w:rPr>
                <w:sz w:val="20"/>
                <w:szCs w:val="20"/>
                <w:color w:val="auto"/>
              </w:rPr>
            </w:pPr>
            <w:r>
              <w:rPr>
                <w:rFonts w:ascii="Arial" w:cs="Arial" w:eastAsia="Arial" w:hAnsi="Arial"/>
                <w:sz w:val="20"/>
                <w:szCs w:val="20"/>
                <w:color w:val="auto"/>
              </w:rPr>
              <w:t>23,280</w:t>
            </w:r>
          </w:p>
        </w:tc>
        <w:tc>
          <w:tcPr>
            <w:tcW w:w="0" w:type="dxa"/>
            <w:vAlign w:val="bottom"/>
          </w:tcPr>
          <w:p>
            <w:pPr>
              <w:spacing w:after="0"/>
              <w:rPr>
                <w:sz w:val="1"/>
                <w:szCs w:val="1"/>
                <w:color w:val="auto"/>
              </w:rPr>
            </w:pPr>
          </w:p>
        </w:tc>
      </w:tr>
      <w:tr>
        <w:trPr>
          <w:trHeight w:val="231"/>
        </w:trPr>
        <w:tc>
          <w:tcPr>
            <w:tcW w:w="2960" w:type="dxa"/>
            <w:vAlign w:val="bottom"/>
          </w:tcPr>
          <w:p>
            <w:pPr>
              <w:ind w:left="20"/>
              <w:spacing w:after="0" w:line="226" w:lineRule="exact"/>
              <w:rPr>
                <w:sz w:val="20"/>
                <w:szCs w:val="20"/>
                <w:color w:val="auto"/>
              </w:rPr>
            </w:pPr>
            <w:r>
              <w:rPr>
                <w:rFonts w:ascii="Arial" w:cs="Arial" w:eastAsia="Arial" w:hAnsi="Arial"/>
                <w:sz w:val="20"/>
                <w:szCs w:val="20"/>
                <w:b w:val="1"/>
                <w:bCs w:val="1"/>
                <w:color w:val="auto"/>
              </w:rPr>
              <w:t>taxes</w:t>
            </w:r>
          </w:p>
        </w:tc>
        <w:tc>
          <w:tcPr>
            <w:tcW w:w="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1,005,615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420,143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1,425,758</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2,214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2,352</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6,901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2,670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9,571</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3,319</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7,522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513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8,035</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920" w:type="dxa"/>
            <w:vAlign w:val="bottom"/>
            <w:tcBorders>
              <w:bottom w:val="single" w:sz="8" w:color="auto"/>
            </w:tcBorders>
            <w:gridSpan w:val="6"/>
          </w:tcPr>
          <w:p>
            <w:pPr>
              <w:jc w:val="center"/>
              <w:ind w:left="1961"/>
              <w:spacing w:after="0"/>
              <w:rPr>
                <w:sz w:val="20"/>
                <w:szCs w:val="20"/>
                <w:color w:val="auto"/>
              </w:rPr>
            </w:pPr>
            <w:r>
              <w:rPr>
                <w:rFonts w:ascii="Arial" w:cs="Arial" w:eastAsia="Arial" w:hAnsi="Arial"/>
                <w:sz w:val="20"/>
                <w:szCs w:val="20"/>
                <w:b w:val="1"/>
                <w:bCs w:val="1"/>
                <w:color w:val="auto"/>
                <w:w w:val="98"/>
              </w:rPr>
              <w:t>Three Months Ended March 31, 2024</w:t>
            </w:r>
          </w:p>
        </w:tc>
        <w:tc>
          <w:tcPr>
            <w:tcW w:w="2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Array Legacy Operations</w:t>
            </w:r>
          </w:p>
        </w:tc>
        <w:tc>
          <w:tcPr>
            <w:tcW w:w="40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8"/>
              </w:rPr>
              <w:t>STI Operations</w:t>
            </w:r>
          </w:p>
        </w:tc>
        <w:tc>
          <w:tcPr>
            <w:tcW w:w="520" w:type="dxa"/>
            <w:vAlign w:val="bottom"/>
          </w:tcPr>
          <w:p>
            <w:pPr>
              <w:spacing w:after="0"/>
              <w:rPr>
                <w:sz w:val="21"/>
                <w:szCs w:val="21"/>
                <w:color w:val="auto"/>
              </w:rPr>
            </w:pPr>
          </w:p>
        </w:tc>
        <w:tc>
          <w:tcPr>
            <w:tcW w:w="2200" w:type="dxa"/>
            <w:vAlign w:val="bottom"/>
          </w:tcPr>
          <w:p>
            <w:pPr>
              <w:jc w:val="right"/>
              <w:ind w:right="621"/>
              <w:spacing w:after="0"/>
              <w:rPr>
                <w:sz w:val="20"/>
                <w:szCs w:val="20"/>
                <w:color w:val="auto"/>
              </w:rPr>
            </w:pPr>
            <w:r>
              <w:rPr>
                <w:rFonts w:ascii="Arial" w:cs="Arial" w:eastAsia="Arial" w:hAnsi="Arial"/>
                <w:sz w:val="20"/>
                <w:szCs w:val="20"/>
                <w:b w:val="1"/>
                <w:bCs w:val="1"/>
                <w:color w:val="auto"/>
              </w:rPr>
              <w:t>Consolidated</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3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Segment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114,381</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39,022</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153,403</w:t>
            </w: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Less:</w:t>
            </w: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Product cost (1)</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56,579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30,152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86,731</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Amortization of developed</w:t>
            </w:r>
          </w:p>
        </w:tc>
        <w:tc>
          <w:tcPr>
            <w:tcW w:w="16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shd w:val="clear" w:color="auto" w:fill="CCEEFF"/>
          </w:tcPr>
          <w:p>
            <w:pPr>
              <w:spacing w:after="0"/>
              <w:rPr>
                <w:sz w:val="16"/>
                <w:szCs w:val="16"/>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3,639</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technology</w:t>
            </w:r>
          </w:p>
        </w:tc>
        <w:tc>
          <w:tcPr>
            <w:tcW w:w="160" w:type="dxa"/>
            <w:vAlign w:val="bottom"/>
            <w:shd w:val="clear" w:color="auto" w:fill="CCEEFF"/>
          </w:tcPr>
          <w:p>
            <w:pPr>
              <w:spacing w:after="0"/>
              <w:rPr>
                <w:sz w:val="22"/>
                <w:szCs w:val="22"/>
                <w:color w:val="auto"/>
              </w:rPr>
            </w:pPr>
          </w:p>
        </w:tc>
        <w:tc>
          <w:tcPr>
            <w:tcW w:w="25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80" w:type="dxa"/>
            <w:vAlign w:val="bottom"/>
            <w:gridSpan w:val="2"/>
            <w:vMerge w:val="continue"/>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Depreciation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510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534</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costs (2)</w:t>
            </w: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4,567</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2,842</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7,409</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49,086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6,004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55,090</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60" w:type="dxa"/>
            <w:vAlign w:val="bottom"/>
          </w:tcPr>
          <w:p>
            <w:pPr>
              <w:spacing w:after="0"/>
              <w:rPr>
                <w:sz w:val="22"/>
                <w:szCs w:val="22"/>
                <w:color w:val="auto"/>
              </w:rPr>
            </w:pPr>
          </w:p>
        </w:tc>
        <w:tc>
          <w:tcPr>
            <w:tcW w:w="26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(46,676)</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other expense, net</w:t>
            </w:r>
          </w:p>
        </w:tc>
        <w:tc>
          <w:tcPr>
            <w:tcW w:w="16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(4,945)</w:t>
            </w:r>
          </w:p>
        </w:tc>
        <w:tc>
          <w:tcPr>
            <w:tcW w:w="0" w:type="dxa"/>
            <w:vAlign w:val="bottom"/>
          </w:tcPr>
          <w:p>
            <w:pPr>
              <w:spacing w:after="0"/>
              <w:rPr>
                <w:sz w:val="1"/>
                <w:szCs w:val="1"/>
                <w:color w:val="auto"/>
              </w:rPr>
            </w:pPr>
          </w:p>
        </w:tc>
      </w:tr>
      <w:tr>
        <w:trPr>
          <w:trHeight w:val="169"/>
        </w:trPr>
        <w:tc>
          <w:tcPr>
            <w:tcW w:w="2960" w:type="dxa"/>
            <w:vAlign w:val="bottom"/>
          </w:tcPr>
          <w:p>
            <w:pPr>
              <w:ind w:left="20"/>
              <w:spacing w:after="0" w:line="169" w:lineRule="exact"/>
              <w:rPr>
                <w:sz w:val="20"/>
                <w:szCs w:val="20"/>
                <w:color w:val="auto"/>
              </w:rPr>
            </w:pPr>
            <w:r>
              <w:rPr>
                <w:rFonts w:ascii="Arial" w:cs="Arial" w:eastAsia="Arial" w:hAnsi="Arial"/>
                <w:sz w:val="19"/>
                <w:szCs w:val="19"/>
                <w:b w:val="1"/>
                <w:bCs w:val="1"/>
                <w:color w:val="auto"/>
              </w:rPr>
              <w:t>Income (loss) before income</w:t>
            </w: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ind w:right="281"/>
              <w:spacing w:after="0"/>
              <w:rPr>
                <w:sz w:val="20"/>
                <w:szCs w:val="20"/>
                <w:color w:val="auto"/>
              </w:rPr>
            </w:pPr>
            <w:r>
              <w:rPr>
                <w:rFonts w:ascii="Arial" w:cs="Arial" w:eastAsia="Arial" w:hAnsi="Arial"/>
                <w:sz w:val="20"/>
                <w:szCs w:val="20"/>
                <w:color w:val="auto"/>
              </w:rPr>
              <w:t>$</w:t>
            </w:r>
          </w:p>
        </w:tc>
        <w:tc>
          <w:tcPr>
            <w:tcW w:w="2200" w:type="dxa"/>
            <w:vAlign w:val="bottom"/>
            <w:vMerge w:val="restart"/>
          </w:tcPr>
          <w:p>
            <w:pPr>
              <w:jc w:val="right"/>
              <w:spacing w:after="0"/>
              <w:rPr>
                <w:sz w:val="20"/>
                <w:szCs w:val="20"/>
                <w:color w:val="auto"/>
              </w:rPr>
            </w:pPr>
            <w:r>
              <w:rPr>
                <w:rFonts w:ascii="Arial" w:cs="Arial" w:eastAsia="Arial" w:hAnsi="Arial"/>
                <w:sz w:val="20"/>
                <w:szCs w:val="20"/>
                <w:color w:val="auto"/>
              </w:rPr>
              <w:t>3,469</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Arial" w:cs="Arial" w:eastAsia="Arial" w:hAnsi="Arial"/>
                <w:sz w:val="20"/>
                <w:szCs w:val="20"/>
                <w:b w:val="1"/>
                <w:bCs w:val="1"/>
                <w:color w:val="auto"/>
              </w:rPr>
              <w:t>taxes</w:t>
            </w:r>
          </w:p>
        </w:tc>
        <w:tc>
          <w:tcPr>
            <w:tcW w:w="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Segment assets</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813,729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815,554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1,629,283</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2,396</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20"/>
                <w:szCs w:val="20"/>
                <w:color w:val="auto"/>
              </w:rPr>
              <w:t>Depreciation and amortization</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7,112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6,652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13,764</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CCEEFF"/>
          </w:tcPr>
          <w:p>
            <w:pPr>
              <w:spacing w:after="0"/>
              <w:rPr>
                <w:sz w:val="22"/>
                <w:szCs w:val="22"/>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1,866</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3,680</w:t>
            </w:r>
          </w:p>
        </w:tc>
        <w:tc>
          <w:tcPr>
            <w:tcW w:w="0" w:type="dxa"/>
            <w:vAlign w:val="bottom"/>
          </w:tcPr>
          <w:p>
            <w:pPr>
              <w:spacing w:after="0"/>
              <w:rPr>
                <w:sz w:val="1"/>
                <w:szCs w:val="1"/>
                <w:color w:val="auto"/>
              </w:rPr>
            </w:pPr>
          </w:p>
        </w:tc>
      </w:tr>
      <w:tr>
        <w:trPr>
          <w:trHeight w:val="261"/>
        </w:trPr>
        <w:tc>
          <w:tcPr>
            <w:tcW w:w="2960" w:type="dxa"/>
            <w:vAlign w:val="bottom"/>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2540" w:type="dxa"/>
            <w:vAlign w:val="bottom"/>
          </w:tcPr>
          <w:p>
            <w:pPr>
              <w:jc w:val="right"/>
              <w:spacing w:after="0"/>
              <w:rPr>
                <w:sz w:val="20"/>
                <w:szCs w:val="20"/>
                <w:color w:val="auto"/>
              </w:rPr>
            </w:pPr>
            <w:r>
              <w:rPr>
                <w:rFonts w:ascii="Arial" w:cs="Arial" w:eastAsia="Arial" w:hAnsi="Arial"/>
                <w:sz w:val="20"/>
                <w:szCs w:val="20"/>
                <w:color w:val="auto"/>
              </w:rPr>
              <w:t>8,195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20"/>
                <w:szCs w:val="20"/>
                <w:color w:val="auto"/>
              </w:rPr>
              <w:t>745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8,940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Includes 45X benefits realized.</w:t>
      </w:r>
    </w:p>
    <w:p>
      <w:pPr>
        <w:spacing w:after="0" w:line="31" w:lineRule="exact"/>
        <w:rPr>
          <w:rFonts w:ascii="Arial" w:cs="Arial" w:eastAsia="Arial" w:hAnsi="Arial"/>
          <w:sz w:val="20"/>
          <w:szCs w:val="20"/>
          <w:color w:val="auto"/>
        </w:rPr>
      </w:pPr>
    </w:p>
    <w:p>
      <w:pPr>
        <w:ind w:left="340" w:right="20" w:hanging="332"/>
        <w:spacing w:after="0" w:line="281" w:lineRule="auto"/>
        <w:tabs>
          <w:tab w:leader="none" w:pos="33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Other is primarily comprised of outbound freight and certain overhead costs. Outbound freight for the three months ended March 31, 2025 and 2024 for Array Legacy Operations was $9.9 million and $4.5 million, respectively.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Subsequent Events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 provided that if on July 15, 2027, the date that is 91 days prior to the stated maturity of the Term Loan Facility, all or any portion of the Term Loan Facility is outstanding, the Revolving Credit Facility will mature on such date.</w:t>
      </w:r>
    </w:p>
    <w:p>
      <w:pPr>
        <w:sectPr>
          <w:pgSz w:w="11900" w:h="16838" w:orient="portrait"/>
          <w:cols w:equalWidth="0" w:num="1">
            <w:col w:w="11240"/>
          </w:cols>
          <w:pgMar w:left="320" w:top="15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56" w:right="339" w:bottom="0" w:gutter="0" w:footer="0" w:header="0"/>
          <w:type w:val="continuous"/>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2024, and the related Management’s Discussion and Analysis of Financial Condition and Results of Operations included in our Annual Report on Form 10-K for the year ended December 31, 2024 (“2024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2024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financing and investment plans, competitive position, industry and regulatory environment, including potential regulatory reform related to energy credits, uncertainty relating the implementation of tariffs and changes in trade policy, ability to provide 100% domestic content trackers, expectations regarding the macroeconomic environment and geopolitical developments, including the effects of tariffs,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“designed to” or similar expressions and the negatives of those terms.</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actual results and the timing of events could materially differ from those anticipated in such forward-looking statements as a result of certain risks, uncertainties and other factors, including without limitation: changes in the cost and availability of raw materials as a result of tariffs and other geopolitical uncertainty, changes in growth or rate of growth in demand for solar energy projects; competitive pressures within our industry; factors affecting viability and demand for solar energy, including but not limited to, the retail price of electricity, availability of in-demand components like high voltage breakers, various policies related to the permitting and interconnection costs of solar plants, and the availability of incentives for solar energy and solar energy production systems, which makes it difficult to predict our future prospects;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existing electric utility industry policies and regulations, and any subsequent changes or new related policies and regulations, may present technical, regulatory and economic barriers to the purchase and use of solar energy systems, which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imposition of import tariffs or other import restrictions; geopolitical, macroeconomic and other market conditions unrelated to our operating performance including but not limited interest rates; our ability to convert our orders in backlog into revenue; the reduction, elimination or expiration, or our failure to optimize the benefits of government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20"/>
          <w:szCs w:val="20"/>
          <w:color w:val="auto"/>
        </w:rPr>
        <w:t>incentives for, or regulations mandating the use of, renewable energy and solar energy, particularly in relation to our competitors; failure to, or incurrence of significant costs in order to, obtain, maintain, protect, defend or enforce, our intellectual property and other proprietary right;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 failure to maintain an effective system of integrated internal controls over financial reporting; our substantial indebtedness, risks related to actual or threatened public health epidemics, pandemics, outbreaks or crises; changes to laws and regulations, including changes to tax laws and regulations, that are applied adversely to us or our customers, including our ability to optimize those changes brought about by the passage of the Inflation Reduction Act (“IRA”) or any repeal thereof; and the other risks and uncertainties described in more detail in the section captioned “Risk Factors” in this Quarterly Report and our 2024 Annual Report.</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 leading global provider of solar tracking technology to utility-scale and distributed generation customers, who construct, develop and operate solar PV sites. With solutions engineered to withstand the harshest weather conditions, Array’s high-quality solar trackers, software platforms and field services combine to maximize energy production and deliver value to our customers for the entire lifecycle of a project.</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Trackers move solar panels throughout the day to maintain an optimal orientation to the sun, which significantly increases their energy production. Solar energy projects that use trackers typically generate more energy and deliver a lower Levelized Cost of Energy than projects that use “fixed tilt” mounting systems, which do not move. The vast majority of ground mounted solar systems in the U.S. use trackers.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With our acquisition of Soluciones Técnicas Integrales Norland, S.L.U. and its subsidiaries (collectively,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2" w:name="page33"/>
    <w:bookmarkEnd w:id="32"/>
    <w:p>
      <w:pPr>
        <w:jc w:val="both"/>
        <w:ind w:right="20"/>
        <w:spacing w:after="0" w:line="276" w:lineRule="auto"/>
        <w:rPr>
          <w:sz w:val="20"/>
          <w:szCs w:val="20"/>
          <w:color w:val="auto"/>
        </w:rPr>
      </w:pPr>
      <w:r>
        <w:rPr>
          <w:rFonts w:ascii="Arial" w:cs="Arial" w:eastAsia="Arial" w:hAnsi="Arial"/>
          <w:sz w:val="20"/>
          <w:szCs w:val="20"/>
          <w:color w:val="auto"/>
        </w:rPr>
        <w:t>2022, we also introduced a third tracker product, OmniTrack, which requires significantly less grading and civil works permitting prior to installation in addition to accommodating uneven terrain. This suite of products extends our target applications and ability to deliver the best utility-scale solar tracker solutions to the market.</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corporate headquarters are located in Albuquerque, New Mexico. We sell our products to engineering, procurement and construction firms (“EPCs”) that build solar energy projects and to large solar developers, independent power producers and utilities, often under master supply agreements or multi-year procurement contracts. During the three months ended March 31, 2025, we derived 65% and 35% of our revenues from customers in the U.S. and the rest of the world, respectively. As of March 31, 2025, we had shipped approximately 87 gigawatts of trackers to customers worldwide.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incur research and development (“R&amp;D”) costs during our process of researching and developing new products and significant enhancements to existing products. R&amp;D costs are a subset of our total engineering spend and consist primarily of personnel-related costs associated with our team of internal engineers, third-party consultants, materials and overhead. We expense these costs as incurred prior to a respective product being ready for commercial production. Total engineering expense was $4.4 million and $4.3 million during the three months ended March 31, 2025 and 2024, respectively, of which $2.4 million and $1.9 million were related to R&amp;D activities performed by the Company during the same periods,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Project Timing</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Because we recognize revenue on projects as legal title to equipment is transferred from us to the customer, any delays in large projects from one quarter to another for any reason may cause our results of operations for a particular period to fall below expectations and make the timing of revenue difficult to forecast. Our end-users’ ability to install solar energy systems has been affected by a number of factors including:</w:t>
      </w:r>
    </w:p>
    <w:p>
      <w:pPr>
        <w:spacing w:after="0" w:line="197" w:lineRule="exact"/>
        <w:rPr>
          <w:sz w:val="20"/>
          <w:szCs w:val="20"/>
          <w:color w:val="auto"/>
        </w:rPr>
      </w:pPr>
    </w:p>
    <w:p>
      <w:pPr>
        <w:jc w:val="both"/>
        <w:ind w:left="660" w:hanging="328"/>
        <w:spacing w:after="0" w:line="27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Weather</w:t>
      </w:r>
      <w:r>
        <w:rPr>
          <w:rFonts w:ascii="Arial" w:cs="Arial" w:eastAsia="Arial" w:hAnsi="Arial"/>
          <w:sz w:val="20"/>
          <w:szCs w:val="20"/>
          <w:color w:val="auto"/>
        </w:rPr>
        <w:t>. Inclement weather can affect our customers’ ability to install their systems, particularly in the northeastern U.S.,</w:t>
      </w:r>
      <w:r>
        <w:rPr>
          <w:rFonts w:ascii="Arial" w:cs="Arial" w:eastAsia="Arial" w:hAnsi="Arial"/>
          <w:sz w:val="20"/>
          <w:szCs w:val="20"/>
          <w:i w:val="1"/>
          <w:iCs w:val="1"/>
          <w:color w:val="auto"/>
        </w:rPr>
        <w:t xml:space="preserve"> </w:t>
      </w:r>
      <w:r>
        <w:rPr>
          <w:rFonts w:ascii="Arial" w:cs="Arial" w:eastAsia="Arial" w:hAnsi="Arial"/>
          <w:sz w:val="20"/>
          <w:szCs w:val="20"/>
          <w:color w:val="auto"/>
        </w:rPr>
        <w:t>Europe and Brazil. In addition, weather delays can adversely affect our logistics and operations by causing delays in the shipping and delivery of our materials.</w:t>
      </w:r>
    </w:p>
    <w:p>
      <w:pPr>
        <w:spacing w:after="0" w:line="57" w:lineRule="exact"/>
        <w:rPr>
          <w:rFonts w:ascii="Arial" w:cs="Arial" w:eastAsia="Arial" w:hAnsi="Arial"/>
          <w:sz w:val="20"/>
          <w:szCs w:val="20"/>
          <w:color w:val="auto"/>
        </w:rPr>
      </w:pPr>
    </w:p>
    <w:p>
      <w:pPr>
        <w:jc w:val="both"/>
        <w:ind w:left="660" w:hanging="328"/>
        <w:spacing w:after="0" w:line="263"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The interest rate environment</w:t>
      </w:r>
      <w:r>
        <w:rPr>
          <w:rFonts w:ascii="Arial" w:cs="Arial" w:eastAsia="Arial" w:hAnsi="Arial"/>
          <w:sz w:val="20"/>
          <w:szCs w:val="20"/>
          <w:color w:val="auto"/>
        </w:rPr>
        <w:t>. As interest rates rose in 2022 and 2023, we saw customers looking to renegotiate power</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 agreements to improve project returns. Any unexpected or protracted negotiation can cause installation delays and delay our ability to recognize revenue relating to the relevant projects. In addition, we had customers delay planned installations in anticipation of interest reductions and more favorable project financing conditions later in 2024. While the Federal Reserve made the decision to lower the target interest rate by 0.5% in October 2024, the timing of any positive impact the lower rate may have on project timing remains uncertain, particularly in light of the Federal Reserve’s decision not to lower the target interest rate further in January 2025.</w:t>
      </w:r>
    </w:p>
    <w:p>
      <w:pPr>
        <w:spacing w:after="0" w:line="71" w:lineRule="exact"/>
        <w:rPr>
          <w:rFonts w:ascii="Arial" w:cs="Arial" w:eastAsia="Arial" w:hAnsi="Arial"/>
          <w:sz w:val="20"/>
          <w:szCs w:val="20"/>
          <w:color w:val="auto"/>
        </w:rPr>
      </w:pPr>
    </w:p>
    <w:p>
      <w:pPr>
        <w:jc w:val="both"/>
        <w:ind w:left="660" w:hanging="328"/>
        <w:spacing w:after="0" w:line="265" w:lineRule="auto"/>
        <w:tabs>
          <w:tab w:leader="none" w:pos="648"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Availability of necessary equipment</w:t>
      </w:r>
      <w:r>
        <w:rPr>
          <w:rFonts w:ascii="Arial" w:cs="Arial" w:eastAsia="Arial" w:hAnsi="Arial"/>
          <w:sz w:val="20"/>
          <w:szCs w:val="20"/>
          <w:color w:val="auto"/>
        </w:rPr>
        <w:t>. We have a broad portfolio of customer relationships including presence with most</w:t>
      </w:r>
      <w:r>
        <w:rPr>
          <w:rFonts w:ascii="Arial" w:cs="Arial" w:eastAsia="Arial" w:hAnsi="Arial"/>
          <w:sz w:val="20"/>
          <w:szCs w:val="20"/>
          <w:i w:val="1"/>
          <w:iCs w:val="1"/>
          <w:color w:val="auto"/>
        </w:rPr>
        <w:t xml:space="preserve"> </w:t>
      </w:r>
      <w:r>
        <w:rPr>
          <w:rFonts w:ascii="Arial" w:cs="Arial" w:eastAsia="Arial" w:hAnsi="Arial"/>
          <w:sz w:val="20"/>
          <w:szCs w:val="20"/>
          <w:color w:val="auto"/>
        </w:rPr>
        <w:t>Tier 1 utilities in the U.S. Each utility has unique specifications for access to its grid, which is generally not consistent across the industry. As the supply of renewables projects has increased, severe shortages and long lead-times in the supply of switches, transformers and high voltage breakers used in the interconnection of utility scale solar power plants to the grid, has affected the timing and completion of these projects, including for some of our customers.</w:t>
      </w:r>
    </w:p>
    <w:p>
      <w:pPr>
        <w:spacing w:after="0" w:line="80" w:lineRule="exact"/>
        <w:rPr>
          <w:rFonts w:ascii="Arial" w:cs="Arial" w:eastAsia="Arial" w:hAnsi="Arial"/>
          <w:sz w:val="20"/>
          <w:szCs w:val="20"/>
          <w:i w:val="1"/>
          <w:iCs w:val="1"/>
          <w:color w:val="auto"/>
        </w:rPr>
      </w:pPr>
    </w:p>
    <w:p>
      <w:pPr>
        <w:jc w:val="both"/>
        <w:ind w:left="660" w:hanging="328"/>
        <w:spacing w:after="0" w:line="26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Macroeconomic factors. </w:t>
      </w:r>
      <w:r>
        <w:rPr>
          <w:rFonts w:ascii="Arial" w:cs="Arial" w:eastAsia="Arial" w:hAnsi="Arial"/>
          <w:sz w:val="20"/>
          <w:szCs w:val="20"/>
          <w:color w:val="auto"/>
        </w:rPr>
        <w:t>There has been a rapid depreciation of the Brazilian Real in conjunction with existing pricing</w:t>
      </w:r>
      <w:r>
        <w:rPr>
          <w:rFonts w:ascii="Arial" w:cs="Arial" w:eastAsia="Arial" w:hAnsi="Arial"/>
          <w:sz w:val="20"/>
          <w:szCs w:val="20"/>
          <w:i w:val="1"/>
          <w:iCs w:val="1"/>
          <w:color w:val="auto"/>
        </w:rPr>
        <w:t xml:space="preserve"> </w:t>
      </w:r>
      <w:r>
        <w:rPr>
          <w:rFonts w:ascii="Arial" w:cs="Arial" w:eastAsia="Arial" w:hAnsi="Arial"/>
          <w:sz w:val="20"/>
          <w:szCs w:val="20"/>
          <w:color w:val="auto"/>
        </w:rPr>
        <w:t>pressures on energy in the Brazilian market. Due to these dynamics, the economic cases for the power purchase agreements, or PPAs, for many solar projects have become less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33" w:name="page34"/>
    <w:bookmarkEnd w:id="33"/>
    <w:p>
      <w:pPr>
        <w:jc w:val="both"/>
        <w:ind w:left="660"/>
        <w:spacing w:after="0" w:line="265" w:lineRule="auto"/>
        <w:rPr>
          <w:sz w:val="20"/>
          <w:szCs w:val="20"/>
          <w:color w:val="auto"/>
        </w:rPr>
      </w:pPr>
      <w:r>
        <w:rPr>
          <w:rFonts w:ascii="Arial" w:cs="Arial" w:eastAsia="Arial" w:hAnsi="Arial"/>
          <w:sz w:val="20"/>
          <w:szCs w:val="20"/>
          <w:color w:val="auto"/>
        </w:rPr>
        <w:t>attractive for our customers. Many of the developers in Brazil of these projects continue to signal delays as they renegotiate the pricing of these PPAs. In addition, our results will also be impacted by tax incentives we can recognize, for example the Brazil value-added tax benefit, Imposto sobre Circulação de Mercadorias e Servicos (“ICMS”), which will discontinue in 2033. As a result, we are focused on reducing costs and better aligning our organization, including the size thereof, in Brazil with the current market conditions.</w:t>
      </w:r>
    </w:p>
    <w:p>
      <w:pPr>
        <w:spacing w:after="0" w:line="80"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It is uncertain what impact new or existing tariffs, trade restrictions or retaliatory actions may have on us, the solar industry and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87" w:lineRule="exact"/>
        <w:rPr>
          <w:sz w:val="20"/>
          <w:szCs w:val="20"/>
          <w:color w:val="auto"/>
        </w:rPr>
      </w:pPr>
    </w:p>
    <w:p>
      <w:pPr>
        <w:jc w:val="both"/>
        <w:ind w:left="660" w:hanging="328"/>
        <w:spacing w:after="0" w:line="269"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Local permitting</w:t>
      </w:r>
      <w:r>
        <w:rPr>
          <w:rFonts w:ascii="Arial" w:cs="Arial" w:eastAsia="Arial" w:hAnsi="Arial"/>
          <w:sz w:val="20"/>
          <w:szCs w:val="20"/>
          <w:color w:val="auto"/>
        </w:rPr>
        <w:t>. If our customers cannot receive permitting for their projects, they are unable to begin and ultimately</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 them in a timely manner. A dramatic increase in solar and battery storage sites has increased the average permitting time in many geographies in which our customers operate.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IRA</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While solar power is cost-competitive with conventional forms of generation in many U.S. states even without the ITC, we believe step-downs in the ITC have influenced the timing and quantity of some customers’ orders. With the passage of the Inflation Reduction Act (“IRA”) in August 2022, the ITC was raised to 30% with no step downs before 2032. Accordingly, as of March 31, 2025 we do not anticipate the ITC rate to impact our seasonality during that timeframe. If these financial benefits vary significantly from our assumptions or if the program gets changed or repealed during the current legislative cycle, our business, financial condition, and results of operations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45X Credit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After a period of uncertainty, on October 24, 2024, U.S. Department of Treasury and the IRS issued final regulations on the section 45X manufacturing tax credit that largely adopted the statutory definitions of torque tube and structural fasteners, which we have determined apply to our components. Beginning in late 2023 and continuing through 2024 and into 2025, we have successfully negotiated, and we continue to successfully negotiate, agreements with key suppliers around sharing the economic benefits of section 45X credits associated with torque tube and structural fasteners. We continue to pursue additional agreements for splitting the economic benefits of section 45X with suppliers for parts we do not manufacture internally. In addition, during the second quarter of 2024, we concluded that certain parts manufactured by the Company qualify for the section 45X advanced production credits. 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in the accompanying notes to our condensed consolidated financial statements included in this Quarterly Report on Form 10-Q for a discussion on how we account for these incentives and amounts recognized for the periods presented. If these financial benefits vary significantly from our assumptions, our business, financial condition, and results of operations could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Domestic Content Safe Harbor Guidance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IRS issued Notice 2023-38 in May of 2023 setting forth guidance on the domestic content bonus tax credits under the IRA. Uncertainties still exist under this guidance, like whose costs would be used (the manufacturer’s cost, a vendor’s cost to acquire, etc.) and how to define manufactured product components associated with trackers. In May of 2024, the IRS issued Notice 2024-41 setting forth further guidance on the domestic content bonus tax credits, including a safe harbor method for calculating domestic content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4" w:name="page35"/>
    <w:bookmarkEnd w:id="34"/>
    <w:p>
      <w:pPr>
        <w:jc w:val="both"/>
        <w:spacing w:after="0" w:line="262" w:lineRule="auto"/>
        <w:rPr>
          <w:sz w:val="20"/>
          <w:szCs w:val="20"/>
          <w:color w:val="auto"/>
        </w:rPr>
      </w:pPr>
      <w:r>
        <w:rPr>
          <w:rFonts w:ascii="Arial" w:cs="Arial" w:eastAsia="Arial" w:hAnsi="Arial"/>
          <w:sz w:val="20"/>
          <w:szCs w:val="20"/>
          <w:color w:val="auto"/>
        </w:rPr>
        <w:t>percentages. On January 16, 2025, the IRS released Notice 2025-08, modifying Notice 2023-38 and Notice 2024-41 as well as introducing an updated elective safe harbor method for use in lieu of provisions of the adjusted percentage rule provided in Notice 2023-38 for calculating the domestic content bonus credit amounts applicable for certain qualified facilities and energy projects. Notice 2024-41 and Notice 2025-08 and the updated definitions described therein have clarified some pre-existing uncertainty in the industry, but they have also introduced uncertainties of their own. These uncertainties have and could continue to cause our customers to delay projects as they navigate the existing guidance in qualifying for the tax credit and possibly wait for further clarity. If these financial benefits vary significantly from our assumptions, our business, financial condition, and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Structured Cost Management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high-quality portfolio and drive consistent margins over time.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the Ongoing Russian-Ukraine War</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Russian-Ukraine war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Disruption of Key Shipping Lanes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disruption of container shipping traffic through the Red Sea has created port congestion, especially in Asia, affecting transit times, capacity, and shipping costs for routes connecting the rest of the world with Asia. Many shipping companies have paused shipments through the Suez Canal and the Red Sea causing rerouting of commercial vessels. To address the challenges arising from prolonged transit times, we have increased our local sourcing efforts where feasible within certain regions. These measures aim to reduce delays to get the product to project sites on time. There is still uncertainty on how long these disruptions and the severity of their impact on our operations will last, but we continue to monitor the situation and evaluate our procurement and supply chain strategies, as to reduce any negative impact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Inflation</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Inflationary pressures may continue to negatively impact our results of operations in the near-term. To mitigate the inflationary pressures on our business, despite our ASPs decreasing due to the current deflationary environment for commodities like steel, we have continued to accelerate our productivity initiatives, expanded our supplier base, and continued to execute on our overhead cost containment practices.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AD/CVD Petitions and Determinations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18, 2023, the U.S. Department of Commerce issued final affirmative determinations of circumvention with respect to certain crystalline solar photovoltaic (“CSPV”) cells and modules produced in Cambodia, Malaysia, Thailand and Vietnam using parts and components from China. As a result, certain CSPV cells and modules from Cambodia, Malaysia, Thailand and Vietnam are now subject to antidumping and countervailing duty (“AD/CVD”) orders on CSPV cells and modules from China that have been in place since</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35" w:name="page36"/>
    <w:bookmarkEnd w:id="35"/>
    <w:p>
      <w:pPr>
        <w:jc w:val="both"/>
        <w:spacing w:after="0" w:line="263" w:lineRule="auto"/>
        <w:rPr>
          <w:sz w:val="20"/>
          <w:szCs w:val="20"/>
          <w:color w:val="auto"/>
        </w:rPr>
      </w:pPr>
      <w:r>
        <w:rPr>
          <w:rFonts w:ascii="Arial" w:cs="Arial" w:eastAsia="Arial" w:hAnsi="Arial"/>
          <w:sz w:val="20"/>
          <w:szCs w:val="20"/>
          <w:color w:val="auto"/>
        </w:rPr>
        <w:t>2012. Subject to certain certification and utilization conditions, imports of CSPV cells and modules covered by the circumvention determinations that entered the U.S. during the two-year period prior to June 6, 2024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AD/CVD orders on the projects that are also intended to use our products, with such impact being largely out of our control. We have seen a number of projects in our order book delayed as a result of the USDOC investigation, and effective enforcement of the AD/CVD orders could negatively impact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Trade Policy and Executive Orders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On February 1, 2025, President Trump issued executive orders directing the U.S. to impose new tariffs on imports from Canada, Mexico, and China, to take effect on February 4, 2025, and on February 3, 2025, President Trump announced his intention to pause these tariffs on Canada and Mexico for a one-month period. The tariffs impose an additional 25% </w:t>
      </w:r>
      <w:r>
        <w:rPr>
          <w:rFonts w:ascii="Arial" w:cs="Arial" w:eastAsia="Arial" w:hAnsi="Arial"/>
          <w:sz w:val="20"/>
          <w:szCs w:val="20"/>
          <w:i w:val="1"/>
          <w:iCs w:val="1"/>
          <w:color w:val="auto"/>
        </w:rPr>
        <w:t>ad valorem</w:t>
      </w:r>
      <w:r>
        <w:rPr>
          <w:rFonts w:ascii="Arial" w:cs="Arial" w:eastAsia="Arial" w:hAnsi="Arial"/>
          <w:sz w:val="20"/>
          <w:szCs w:val="20"/>
          <w:color w:val="auto"/>
        </w:rPr>
        <w:t xml:space="preserve"> rate of duty on all imports from Canada and Mexico (other than imports of Canadian energy resources exports, which are subject to a 10% </w:t>
      </w:r>
      <w:r>
        <w:rPr>
          <w:rFonts w:ascii="Arial" w:cs="Arial" w:eastAsia="Arial" w:hAnsi="Arial"/>
          <w:sz w:val="20"/>
          <w:szCs w:val="20"/>
          <w:i w:val="1"/>
          <w:iCs w:val="1"/>
          <w:color w:val="auto"/>
        </w:rPr>
        <w:t xml:space="preserve">ad valorem </w:t>
      </w:r>
      <w:r>
        <w:rPr>
          <w:rFonts w:ascii="Arial" w:cs="Arial" w:eastAsia="Arial" w:hAnsi="Arial"/>
          <w:sz w:val="20"/>
          <w:szCs w:val="20"/>
          <w:color w:val="auto"/>
        </w:rPr>
        <w:t>rate of duty) and an additional 10%</w:t>
      </w:r>
      <w:r>
        <w:rPr>
          <w:rFonts w:ascii="Arial" w:cs="Arial" w:eastAsia="Arial" w:hAnsi="Arial"/>
          <w:sz w:val="20"/>
          <w:szCs w:val="20"/>
          <w:i w:val="1"/>
          <w:iCs w:val="1"/>
          <w:color w:val="auto"/>
        </w:rPr>
        <w:t xml:space="preserve"> ad valorem </w:t>
      </w:r>
      <w:r>
        <w:rPr>
          <w:rFonts w:ascii="Arial" w:cs="Arial" w:eastAsia="Arial" w:hAnsi="Arial"/>
          <w:sz w:val="20"/>
          <w:szCs w:val="20"/>
          <w:color w:val="auto"/>
        </w:rPr>
        <w:t>rate of duty on all imports from China. On March 3, 2025, the</w:t>
      </w:r>
      <w:r>
        <w:rPr>
          <w:rFonts w:ascii="Arial" w:cs="Arial" w:eastAsia="Arial" w:hAnsi="Arial"/>
          <w:sz w:val="20"/>
          <w:szCs w:val="20"/>
          <w:i w:val="1"/>
          <w:iCs w:val="1"/>
          <w:color w:val="auto"/>
        </w:rPr>
        <w:t xml:space="preserve"> </w:t>
      </w:r>
      <w:r>
        <w:rPr>
          <w:rFonts w:ascii="Arial" w:cs="Arial" w:eastAsia="Arial" w:hAnsi="Arial"/>
          <w:sz w:val="20"/>
          <w:szCs w:val="20"/>
          <w:color w:val="auto"/>
        </w:rPr>
        <w:t>announced 25% tariff on Canadian and Mexican goods took effect and the tariff on Chinese goods was doubled to 20%. On March 12, 2025 tariffs on steel and aluminum increased from 25% to 50% on all steel and aluminum coming from Canada. On April 2, 2025, President Trump introduced tariffs on most countries of a baseline rate of 10%, and individualized rates on some countries of up to 50%. On April 9, 2025, President Trump increased tariffs for Chinese goods to 125% and subsequently to 145%, while the tariffs announced on April 2, 2025, for all other countries, were reduced to a baseline rate of 10% for the next 90 days.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currently evaluating the potential impact of the imposition of the announced tariffs, and any additional or retaliatory tariffs, to our business and financial condition. While we do not believe that the tariffs announced by the U.S. in 2025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U.S. dollars at period-end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6" w:name="page37"/>
    <w:bookmarkEnd w:id="36"/>
    <w:p>
      <w:pPr>
        <w:jc w:val="both"/>
        <w:spacing w:after="0" w:line="265" w:lineRule="auto"/>
        <w:rPr>
          <w:sz w:val="20"/>
          <w:szCs w:val="20"/>
          <w:color w:val="auto"/>
        </w:rPr>
      </w:pPr>
      <w:r>
        <w:rPr>
          <w:rFonts w:ascii="Arial" w:cs="Arial" w:eastAsia="Arial" w:hAnsi="Arial"/>
          <w:sz w:val="20"/>
          <w:szCs w:val="20"/>
          <w:color w:val="auto"/>
        </w:rPr>
        <w:t>to evaluate our business, measure our performance, identify trends affecting our business, and formulate projections. The primary operating metric we use to evaluate our sales performance and to track market acceptance of our products is megawatts (“MWs”) shipped and specifically the change in MWs shipped from period to period. MWs are measured for each individual project and are calculated based on the respective project’s expected megawatt output once installed and fully operational.</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condensed consolidated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generate revenue from the sale of solar tracking systems, parts, software, and services.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commodity prices and availability of government incentives to the end-users of our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growth is dependent on continued growth in the size and number of solar energy projects installed each year, as well as our ability to maintain market share in each geography where we compete, expand our global footprint to new and evolving markets, grow our production capabilities to satisfy demand, and continue to develop and introduce new innovative products that integrate emerging technologies and the performance requirements of our customers.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 majority of our revenue is recognized over time as work progresses, and for single performance obligations, we use an input measure, the cost-to-cost method, to determine progress. We review and update the contract related estimates on an ongoing basis and recognize adjustments for any project specific facts and circumstances that could impact the measurement of the extent of progress, such as the total costs to complete the contracts, under the cumulative catch-up method. Due to the relatively short duration of our outstanding performance obligations, and our ability to estimate the remaining costs to be incurred, which are substantially all material costs covered under our material supply agreements with our suppliers, we have not recorded any material catch-up adjustments for the periods presented that would have impacted revenues or EPS related to revisions in our measurement of remaining progress of our performance obligations.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Cost of product and service revenue consists primarily of product costs, including raw materials, purchased components, net of any incentives or rebates earned from our suppliers, salaries, wages and benefits of manufacturing personnel, freight, tariffs, customer support, product warranty, amortization of developed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7" w:name="page38"/>
    <w:bookmarkEnd w:id="37"/>
    <w:p>
      <w:pPr>
        <w:jc w:val="both"/>
        <w:spacing w:after="0" w:line="265" w:lineRule="auto"/>
        <w:rPr>
          <w:sz w:val="20"/>
          <w:szCs w:val="20"/>
          <w:color w:val="auto"/>
        </w:rPr>
      </w:pPr>
      <w:r>
        <w:rPr>
          <w:rFonts w:ascii="Arial" w:cs="Arial" w:eastAsia="Arial" w:hAnsi="Arial"/>
          <w:sz w:val="20"/>
          <w:szCs w:val="20"/>
          <w:color w:val="auto"/>
        </w:rPr>
        <w:t>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 modify our production schedules and processes to mitigate the impact of these disruptions and cost increases on our margins. We do not currently hedge against changes in the price of our raw materials.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Gross profit may vary from quarter to quarter and is primarily affected by our volume, ASPs, product costs, project mix, customer mix, geographical mix, commodity prices, logistics rates, warranty costs, and seasonality. Gross profit will also be impacted by tax incentives we can recognize, for example ICMS value added tax benefits in Brazil, which will discontinue in 2033.</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General and administrative expense consists primarily of salaries, benefits, and equity-based compensation related to our executive, sales, engineering, finance, human resources, information technology, and legal personnel, as well as travel, facility costs, marketing, bad debt provision, and professional fees. The majority of our sales during the three months ended March 31, 2025 and 2024, were in the U.S.; however, we also have a sales presence in the U.S., Spain, Brazil, South Africa and Australia. We intend to continue to expand our sales presence and marketing efforts to additional countries.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Contingent consideration consists of the changes in fair value of the TRA entered into with a former indirect stockholder, concurrent with the acquisition of Array Technologies Patent Holdings Co., LLC by ATI Investment Parent, LLC. The TRA liability was recorded at fair value as of July 8, 2016 and subsequent changes in the fair value are recognized in earnings. For discussion and analysis of the TRA see </w:t>
      </w:r>
      <w:r>
        <w:rPr>
          <w:rFonts w:ascii="Arial" w:cs="Arial" w:eastAsia="Arial" w:hAnsi="Arial"/>
          <w:sz w:val="20"/>
          <w:szCs w:val="20"/>
          <w:u w:val="single" w:color="auto"/>
          <w:color w:val="0000FF"/>
        </w:rPr>
        <w:t>Note 11 – Commitments and Contingencies</w:t>
      </w:r>
      <w:r>
        <w:rPr>
          <w:rFonts w:ascii="Arial" w:cs="Arial" w:eastAsia="Arial" w:hAnsi="Arial"/>
          <w:sz w:val="20"/>
          <w:szCs w:val="20"/>
          <w:color w:val="auto"/>
        </w:rPr>
        <w: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Amortization consists of the expense recognized over the expected period of use of our customer relationships, contractual backlog, and STI trade name intangible assets. Amortization related to certain acquired intangible assets is recorded as Total cost of revenue under the caption "Amortization of developed technology."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and cash equivalents balance.</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the Convertible Notes, and Other Debt held by our STI Operations.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are subject to U.S. federal, state and non-U.S. income taxes. As we expand into additional foreign markets, we may be subject to additional foreign tax.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8" w:name="page39"/>
    <w:bookmarkEnd w:id="38"/>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Reportable Segments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Subsequent to the acquisition of STI, we began reporting our results of operations in two segments; the Array Legacy Operations segment and the acquired STI Operations segment. The segment amounts included in this </w:t>
      </w:r>
      <w:r>
        <w:rPr>
          <w:rFonts w:ascii="Arial" w:cs="Arial" w:eastAsia="Arial" w:hAnsi="Arial"/>
          <w:sz w:val="20"/>
          <w:szCs w:val="20"/>
          <w:u w:val="single" w:color="auto"/>
          <w:color w:val="0000FF"/>
        </w:rPr>
        <w:t>Item 2. Management’s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Discussion and Analysis</w:t>
      </w:r>
      <w:r>
        <w:rPr>
          <w:rFonts w:ascii="Arial" w:cs="Arial" w:eastAsia="Arial" w:hAnsi="Arial"/>
          <w:sz w:val="20"/>
          <w:szCs w:val="20"/>
          <w:color w:val="0000FF"/>
        </w:rPr>
        <w:t xml:space="preserve"> </w:t>
      </w:r>
      <w:r>
        <w:rPr>
          <w:rFonts w:ascii="Arial" w:cs="Arial" w:eastAsia="Arial" w:hAnsi="Arial"/>
          <w:sz w:val="20"/>
          <w:szCs w:val="20"/>
          <w:color w:val="000000"/>
        </w:rPr>
        <w:t>are presented on a basis consistent with our internal management reporting. Additional information on</w:t>
      </w:r>
      <w:r>
        <w:rPr>
          <w:rFonts w:ascii="Arial" w:cs="Arial" w:eastAsia="Arial" w:hAnsi="Arial"/>
          <w:sz w:val="20"/>
          <w:szCs w:val="20"/>
          <w:color w:val="0000FF"/>
        </w:rPr>
        <w:t xml:space="preserve"> </w:t>
      </w:r>
      <w:r>
        <w:rPr>
          <w:rFonts w:ascii="Arial" w:cs="Arial" w:eastAsia="Arial" w:hAnsi="Arial"/>
          <w:sz w:val="20"/>
          <w:szCs w:val="20"/>
          <w:color w:val="000000"/>
        </w:rPr>
        <w:t xml:space="preserve">our reportable segments is contained in </w:t>
      </w:r>
      <w:r>
        <w:rPr>
          <w:rFonts w:ascii="Arial" w:cs="Arial" w:eastAsia="Arial" w:hAnsi="Arial"/>
          <w:sz w:val="20"/>
          <w:szCs w:val="20"/>
          <w:u w:val="single" w:color="auto"/>
          <w:color w:val="0000FF"/>
        </w:rPr>
        <w:t>Note 15 – Segment Reporting</w:t>
      </w:r>
      <w:r>
        <w:rPr>
          <w:rFonts w:ascii="Arial" w:cs="Arial" w:eastAsia="Arial" w:hAnsi="Arial"/>
          <w:sz w:val="20"/>
          <w:szCs w:val="20"/>
          <w:color w:val="000000"/>
        </w:rPr>
        <w:t xml:space="preserve"> in the accompanying notes to the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(in thousands, except percentages):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5"/>
          </w:tcPr>
          <w:p>
            <w:pPr>
              <w:ind w:left="160"/>
              <w:spacing w:after="0"/>
              <w:rPr>
                <w:sz w:val="20"/>
                <w:szCs w:val="20"/>
                <w:color w:val="auto"/>
              </w:rPr>
            </w:pPr>
            <w:r>
              <w:rPr>
                <w:rFonts w:ascii="Arial" w:cs="Arial" w:eastAsia="Arial" w:hAnsi="Arial"/>
                <w:sz w:val="20"/>
                <w:szCs w:val="20"/>
                <w:b w:val="1"/>
                <w:bCs w:val="1"/>
                <w:color w:val="auto"/>
              </w:rPr>
              <w:t>Three Months Ended March 31,</w:t>
            </w:r>
          </w:p>
        </w:tc>
        <w:tc>
          <w:tcPr>
            <w:tcW w:w="340" w:type="dxa"/>
            <w:vAlign w:val="bottom"/>
          </w:tcPr>
          <w:p>
            <w:pPr>
              <w:spacing w:after="0"/>
              <w:rPr>
                <w:sz w:val="23"/>
                <w:szCs w:val="23"/>
                <w:color w:val="auto"/>
              </w:rPr>
            </w:pPr>
          </w:p>
        </w:tc>
        <w:tc>
          <w:tcPr>
            <w:tcW w:w="2620" w:type="dxa"/>
            <w:vAlign w:val="bottom"/>
            <w:gridSpan w:val="3"/>
          </w:tcPr>
          <w:p>
            <w:pPr>
              <w:jc w:val="right"/>
              <w:ind w:right="441"/>
              <w:spacing w:after="0"/>
              <w:rPr>
                <w:sz w:val="20"/>
                <w:szCs w:val="20"/>
                <w:color w:val="auto"/>
              </w:rPr>
            </w:pPr>
            <w:r>
              <w:rPr>
                <w:rFonts w:ascii="Arial" w:cs="Arial" w:eastAsia="Arial" w:hAnsi="Arial"/>
                <w:sz w:val="20"/>
                <w:szCs w:val="20"/>
                <w:b w:val="1"/>
                <w:bCs w:val="1"/>
                <w:color w:val="auto"/>
              </w:rPr>
              <w:t>Increase/(Decrease)</w:t>
            </w:r>
          </w:p>
        </w:tc>
      </w:tr>
      <w:tr>
        <w:trPr>
          <w:trHeight w:val="263"/>
        </w:trPr>
        <w:tc>
          <w:tcPr>
            <w:tcW w:w="44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w:t>
            </w:r>
          </w:p>
        </w:tc>
        <w:tc>
          <w:tcPr>
            <w:tcW w:w="1280" w:type="dxa"/>
            <w:vAlign w:val="bottom"/>
            <w:tcBorders>
              <w:top w:val="single" w:sz="8" w:color="auto"/>
            </w:tcBorders>
            <w:gridSpan w:val="2"/>
          </w:tcPr>
          <w:p>
            <w:pPr>
              <w:jc w:val="right"/>
              <w:ind w:right="421"/>
              <w:spacing w:after="0"/>
              <w:rPr>
                <w:sz w:val="20"/>
                <w:szCs w:val="20"/>
                <w:color w:val="auto"/>
              </w:rPr>
            </w:pPr>
            <w:r>
              <w:rPr>
                <w:rFonts w:ascii="Arial" w:cs="Arial" w:eastAsia="Arial" w:hAnsi="Arial"/>
                <w:sz w:val="20"/>
                <w:szCs w:val="20"/>
                <w:b w:val="1"/>
                <w:bCs w:val="1"/>
                <w:color w:val="auto"/>
              </w:rPr>
              <w:t>%</w:t>
            </w:r>
          </w:p>
        </w:tc>
      </w:tr>
      <w:tr>
        <w:trPr>
          <w:trHeight w:val="25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302,363</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153,403</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148,960</w:t>
            </w:r>
          </w:p>
        </w:tc>
        <w:tc>
          <w:tcPr>
            <w:tcW w:w="8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97 %</w:t>
            </w:r>
          </w:p>
        </w:tc>
      </w:tr>
      <w:tr>
        <w:trPr>
          <w:trHeight w:val="257"/>
        </w:trPr>
        <w:tc>
          <w:tcPr>
            <w:tcW w:w="442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4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222,296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94,674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127,622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135 %</w:t>
            </w:r>
          </w:p>
        </w:tc>
      </w:tr>
      <w:tr>
        <w:trPr>
          <w:trHeight w:val="257"/>
        </w:trPr>
        <w:tc>
          <w:tcPr>
            <w:tcW w:w="44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Amortization of developed technology</w:t>
            </w: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3,639</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 %</w:t>
            </w:r>
          </w:p>
        </w:tc>
      </w:tr>
      <w:tr>
        <w:trPr>
          <w:trHeight w:val="250"/>
        </w:trPr>
        <w:tc>
          <w:tcPr>
            <w:tcW w:w="4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cost of revenue</w:t>
            </w:r>
          </w:p>
        </w:tc>
        <w:tc>
          <w:tcPr>
            <w:tcW w:w="2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225,935</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98,313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127,622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130 %</w:t>
            </w:r>
          </w:p>
        </w:tc>
      </w:tr>
      <w:tr>
        <w:trPr>
          <w:trHeight w:val="250"/>
        </w:trPr>
        <w:tc>
          <w:tcPr>
            <w:tcW w:w="442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Gross profit</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76,428</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55,090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21,338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39 %</w:t>
            </w:r>
          </w:p>
        </w:tc>
      </w:tr>
      <w:tr>
        <w:trPr>
          <w:trHeight w:val="250"/>
        </w:trPr>
        <w:tc>
          <w:tcPr>
            <w:tcW w:w="4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7"/>
        </w:trPr>
        <w:tc>
          <w:tcPr>
            <w:tcW w:w="442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General and administrative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43,945</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37,784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16 %</w:t>
            </w:r>
          </w:p>
        </w:tc>
      </w:tr>
      <w:tr>
        <w:trPr>
          <w:trHeight w:val="257"/>
        </w:trPr>
        <w:tc>
          <w:tcPr>
            <w:tcW w:w="4420" w:type="dxa"/>
            <w:vAlign w:val="bottom"/>
          </w:tcPr>
          <w:p>
            <w:pPr>
              <w:ind w:left="20"/>
              <w:spacing w:after="0"/>
              <w:rPr>
                <w:sz w:val="20"/>
                <w:szCs w:val="20"/>
                <w:color w:val="auto"/>
              </w:rPr>
            </w:pPr>
            <w:r>
              <w:rPr>
                <w:rFonts w:ascii="Arial" w:cs="Arial" w:eastAsia="Arial" w:hAnsi="Arial"/>
                <w:sz w:val="20"/>
                <w:szCs w:val="20"/>
                <w:color w:val="auto"/>
              </w:rPr>
              <w:t>Change in fair value of contingent consideration</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(150)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(735)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585</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80 %</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5,349</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9,627</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(4,278)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(44)%</w:t>
            </w:r>
          </w:p>
        </w:tc>
      </w:tr>
      <w:tr>
        <w:trPr>
          <w:trHeight w:val="250"/>
        </w:trPr>
        <w:tc>
          <w:tcPr>
            <w:tcW w:w="442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operating expenses</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49,144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46,676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5 %</w:t>
            </w:r>
          </w:p>
        </w:tc>
      </w:tr>
      <w:tr>
        <w:trPr>
          <w:trHeight w:val="250"/>
        </w:trPr>
        <w:tc>
          <w:tcPr>
            <w:tcW w:w="4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7"/>
        </w:trPr>
        <w:tc>
          <w:tcPr>
            <w:tcW w:w="4420" w:type="dxa"/>
            <w:vAlign w:val="bottom"/>
          </w:tcPr>
          <w:p>
            <w:pPr>
              <w:ind w:left="20"/>
              <w:spacing w:after="0"/>
              <w:rPr>
                <w:sz w:val="20"/>
                <w:szCs w:val="20"/>
                <w:color w:val="auto"/>
              </w:rPr>
            </w:pPr>
            <w:r>
              <w:rPr>
                <w:rFonts w:ascii="Arial" w:cs="Arial" w:eastAsia="Arial" w:hAnsi="Arial"/>
                <w:sz w:val="20"/>
                <w:szCs w:val="20"/>
                <w:color w:val="auto"/>
              </w:rPr>
              <w:t>Income from operations</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27,284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8,414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18,870</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224 %</w:t>
            </w:r>
          </w:p>
        </w:tc>
      </w:tr>
      <w:tr>
        <w:trPr>
          <w:trHeight w:val="270"/>
        </w:trPr>
        <w:tc>
          <w:tcPr>
            <w:tcW w:w="44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56"/>
        </w:trPr>
        <w:tc>
          <w:tcPr>
            <w:tcW w:w="442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814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(791)</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(97)%</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w:t>
            </w: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3,319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3,680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w:t>
            </w:r>
          </w:p>
        </w:tc>
      </w:tr>
      <w:tr>
        <w:trPr>
          <w:trHeight w:val="256"/>
        </w:trPr>
        <w:tc>
          <w:tcPr>
            <w:tcW w:w="4420" w:type="dxa"/>
            <w:vAlign w:val="bottom"/>
          </w:tcPr>
          <w:p>
            <w:pPr>
              <w:ind w:left="20"/>
              <w:spacing w:after="0"/>
              <w:rPr>
                <w:sz w:val="20"/>
                <w:szCs w:val="20"/>
                <w:color w:val="auto"/>
              </w:rPr>
            </w:pPr>
            <w:r>
              <w:rPr>
                <w:rFonts w:ascii="Arial" w:cs="Arial" w:eastAsia="Arial" w:hAnsi="Arial"/>
                <w:sz w:val="20"/>
                <w:szCs w:val="20"/>
                <w:color w:val="auto"/>
              </w:rPr>
              <w:t>Foreign currency gain (loss), net</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689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1,188</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238 %</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(8,035)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(8,940)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10 %</w:t>
            </w:r>
          </w:p>
        </w:tc>
      </w:tr>
      <w:tr>
        <w:trPr>
          <w:trHeight w:val="250"/>
        </w:trPr>
        <w:tc>
          <w:tcPr>
            <w:tcW w:w="442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Total other expense, net</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19 %</w:t>
            </w:r>
          </w:p>
        </w:tc>
      </w:tr>
      <w:tr>
        <w:trPr>
          <w:trHeight w:val="250"/>
        </w:trPr>
        <w:tc>
          <w:tcPr>
            <w:tcW w:w="4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6"/>
        </w:trPr>
        <w:tc>
          <w:tcPr>
            <w:tcW w:w="4420" w:type="dxa"/>
            <w:vAlign w:val="bottom"/>
          </w:tcPr>
          <w:p>
            <w:pPr>
              <w:ind w:left="20"/>
              <w:spacing w:after="0"/>
              <w:rPr>
                <w:sz w:val="20"/>
                <w:szCs w:val="20"/>
                <w:color w:val="auto"/>
              </w:rPr>
            </w:pPr>
            <w:r>
              <w:rPr>
                <w:rFonts w:ascii="Arial" w:cs="Arial" w:eastAsia="Arial" w:hAnsi="Arial"/>
                <w:sz w:val="20"/>
                <w:szCs w:val="20"/>
                <w:color w:val="auto"/>
              </w:rPr>
              <w:t>Income before income tax expense</w:t>
            </w:r>
          </w:p>
        </w:tc>
        <w:tc>
          <w:tcPr>
            <w:tcW w:w="2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23,280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3,469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19,811</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571 %</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6,534</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401 %</w:t>
            </w:r>
          </w:p>
        </w:tc>
      </w:tr>
      <w:tr>
        <w:trPr>
          <w:trHeight w:val="250"/>
        </w:trPr>
        <w:tc>
          <w:tcPr>
            <w:tcW w:w="442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16,746</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14,581</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673 %</w:t>
            </w: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23" w:lineRule="exact"/>
        <w:rPr>
          <w:sz w:val="20"/>
          <w:szCs w:val="20"/>
          <w:color w:val="auto"/>
        </w:rPr>
      </w:pPr>
    </w:p>
    <w:p>
      <w:pPr>
        <w:ind w:right="420"/>
        <w:spacing w:after="0" w:line="273"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5"/>
          </w:tcPr>
          <w:p>
            <w:pPr>
              <w:ind w:left="160"/>
              <w:spacing w:after="0"/>
              <w:rPr>
                <w:sz w:val="20"/>
                <w:szCs w:val="20"/>
                <w:color w:val="auto"/>
              </w:rPr>
            </w:pPr>
            <w:r>
              <w:rPr>
                <w:rFonts w:ascii="Arial" w:cs="Arial" w:eastAsia="Arial" w:hAnsi="Arial"/>
                <w:sz w:val="20"/>
                <w:szCs w:val="20"/>
                <w:b w:val="1"/>
                <w:bCs w:val="1"/>
                <w:color w:val="auto"/>
              </w:rPr>
              <w:t>Three Months Ended March 31,</w:t>
            </w:r>
          </w:p>
        </w:tc>
        <w:tc>
          <w:tcPr>
            <w:tcW w:w="340" w:type="dxa"/>
            <w:vAlign w:val="bottom"/>
          </w:tcPr>
          <w:p>
            <w:pPr>
              <w:spacing w:after="0"/>
              <w:rPr>
                <w:sz w:val="23"/>
                <w:szCs w:val="23"/>
                <w:color w:val="auto"/>
              </w:rPr>
            </w:pPr>
          </w:p>
        </w:tc>
        <w:tc>
          <w:tcPr>
            <w:tcW w:w="2640" w:type="dxa"/>
            <w:vAlign w:val="bottom"/>
            <w:gridSpan w:val="3"/>
          </w:tcPr>
          <w:p>
            <w:pPr>
              <w:jc w:val="right"/>
              <w:ind w:right="540"/>
              <w:spacing w:after="0"/>
              <w:rPr>
                <w:sz w:val="20"/>
                <w:szCs w:val="20"/>
                <w:color w:val="auto"/>
              </w:rPr>
            </w:pPr>
            <w:r>
              <w:rPr>
                <w:rFonts w:ascii="Arial" w:cs="Arial" w:eastAsia="Arial" w:hAnsi="Arial"/>
                <w:sz w:val="20"/>
                <w:szCs w:val="20"/>
                <w:b w:val="1"/>
                <w:bCs w:val="1"/>
                <w:color w:val="auto"/>
              </w:rPr>
              <w:t>Increase/(Decrease)</w:t>
            </w:r>
          </w:p>
        </w:tc>
      </w:tr>
      <w:tr>
        <w:trPr>
          <w:trHeight w:val="263"/>
        </w:trPr>
        <w:tc>
          <w:tcPr>
            <w:tcW w:w="44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w:t>
            </w: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20"/>
                <w:szCs w:val="20"/>
                <w:b w:val="1"/>
                <w:bCs w:val="1"/>
                <w:color w:val="auto"/>
              </w:rPr>
              <w:t>%</w:t>
            </w:r>
          </w:p>
        </w:tc>
      </w:tr>
      <w:tr>
        <w:trPr>
          <w:trHeight w:val="237"/>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57"/>
        </w:trPr>
        <w:tc>
          <w:tcPr>
            <w:tcW w:w="4400" w:type="dxa"/>
            <w:vAlign w:val="bottom"/>
          </w:tcPr>
          <w:p>
            <w:pPr>
              <w:ind w:left="240"/>
              <w:spacing w:after="0"/>
              <w:rPr>
                <w:sz w:val="20"/>
                <w:szCs w:val="20"/>
                <w:color w:val="auto"/>
              </w:rPr>
            </w:pPr>
            <w:r>
              <w:rPr>
                <w:rFonts w:ascii="Arial" w:cs="Arial" w:eastAsia="Arial" w:hAnsi="Arial"/>
                <w:sz w:val="20"/>
                <w:szCs w:val="20"/>
                <w:color w:val="auto"/>
              </w:rPr>
              <w:t>Array Legacy Operations</w:t>
            </w: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213,214</w:t>
            </w:r>
          </w:p>
        </w:tc>
        <w:tc>
          <w:tcPr>
            <w:tcW w:w="80" w:type="dxa"/>
            <w:vAlign w:val="bottom"/>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114,381</w:t>
            </w:r>
          </w:p>
        </w:tc>
        <w:tc>
          <w:tcPr>
            <w:tcW w:w="8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98,833</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86 %</w:t>
            </w:r>
          </w:p>
        </w:tc>
      </w:tr>
      <w:tr>
        <w:trPr>
          <w:trHeight w:val="256"/>
        </w:trPr>
        <w:tc>
          <w:tcPr>
            <w:tcW w:w="44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2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89,149</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39,022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50,127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128 %</w:t>
            </w:r>
          </w:p>
        </w:tc>
      </w:tr>
      <w:tr>
        <w:trPr>
          <w:trHeight w:val="250"/>
        </w:trPr>
        <w:tc>
          <w:tcPr>
            <w:tcW w:w="4400" w:type="dxa"/>
            <w:vAlign w:val="bottom"/>
          </w:tcPr>
          <w:p>
            <w:pPr>
              <w:ind w:left="2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302,363</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153,403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148,960</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97 %</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44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Array Legacy Operations</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65,681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49,086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16,595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34 %</w:t>
            </w:r>
          </w:p>
        </w:tc>
      </w:tr>
      <w:tr>
        <w:trPr>
          <w:trHeight w:val="257"/>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10,747</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6,004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4,743</w:t>
            </w: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20"/>
                <w:szCs w:val="20"/>
                <w:color w:val="auto"/>
              </w:rPr>
              <w:t>79 %</w:t>
            </w:r>
          </w:p>
        </w:tc>
      </w:tr>
      <w:tr>
        <w:trPr>
          <w:trHeight w:val="27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76,428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55,090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21,338</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39 %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months ended March 31, 2025 and 2024</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revenue increased $149.0 million, or 97%, for the three months ended March 31, 2025, compared to the three months ended March 31, 2024, primarily driven by higher revenue from Array Legacy Operations of 86% and STI Operations of 128%.</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Array Legacy Operations revenue increased by $98.8 million, or 86%, for the three months ended March 31, 2025 compared to the three months ended March 31, 2024 primarily driven by an increase of approximately 116% in volume, partially offset by a decrease of approximately 14% in average selling prices.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Revenue from STI Operations increased by $50.1 million, or 128% for the three months ended March 31, 2025 compared to the three months ended March 31, 2024. The increase was primarily driven by an increase of approximately 212% in volume, partially offset by a decrease of approximately 17% in average selling prices and an unfavorable foreign currency impact of approximately 10%.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cost of revenue increased by $127.6 million, or 130%, for the three months ended March 31, 2025 compared to the three months ended March 31, 2024, in line with higher revenues, partially offset by lower input cost per watt resulting from the realization of 45X benefits by Array Legacy Operations and from supply chain efficiencies.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gross profit increased by $21.3 million, or 39%, for the three months ended March 31, 2025 compared to the three months ended March 31, 2024. Gross Margin decreased to 25.3% for the three months ended March 31, 2025, as compared to 35.9% during the same period in the prior year.</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Legacy Operations gross profit increased by $16.6 million, or 34%, for the three months ended March 31, 2025 compared to the three months ended March 31, 2024. Gross margin decreased to 31% from 43% for the three months ended March 31, 2025 and 2024, respectively. The decrease in gross margin was driven by a 14% decrease in average selling prices and a 2% reduction in margin from lower 45x benefits. In addition, gross margin during the three months ended March 31, 2024, included a one-time benefit of $4.0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color w:val="auto"/>
        </w:rPr>
        <w:t>related to a settlement with a supplier, which was recorded as a reduction to cost of product and service revenue.</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STI Operations gross profit increased by $4.7 million, or 79%, for the three months ended March 31, 2025 compared to the three months ended March 31, 2024. Gross margin for STI Operations decreased to 12% from 15% for the three months ended March 31, 2025 and 2024, respectively, driven primarily by a 17% reduction in average selling prices, partially offset by a 14% reduction in cost per watt.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Consolidated general and administrative expenses for the three months ended March 31, 2025 increased by $6.2 million, or 16%, compared to the three months ended March 31, 2024. The increase was primarily due to an increase of $3.2 million in personnel expenses, a $1.7 million allowance for credit risk related to one customer and an increase in facility, infrastructure and other costs of $1.3 million.</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Change in the fair value of contingent consideration for the three months ended March 31, 2025 resulted in a gain of $0.6 million, compared to the three months ended March 31, 2024, due to the fair value remeasurement of the TRA liability.</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depreciation and amortization expense for the three months ended March 31, 2025 decreased by $4.3 million, or 44%, compared to the three months ended March 31, 2024. The decrease was primarily due to certain assets acquired becoming fully amortized or fully impaired at December 31, 2024.</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Income, Net</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Other expense for the three months ended March 31, 2025 and 2024 totaled $23 thousand and $0.8 million, respectively, and consisted primarily of other non-income taxes and miscellaneous income/expense.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Consolidated interest income for the three months ended March 31, 2025 decreased by $0.4 million, or 10%, compared to the three months ended March 31, 2024, primarily as a result of lower yields on our cash management program.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Consolidated interest expense for the three months ended March 31, 2025 decreased by $0.9 million, or 10%, compared to the three months ended March 31, 2024, primarily due to lower interest rates on our variable rate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Consolidated income tax expense for the three months ended March 31, 2025 increased by $5.2 million, or 401%, compared to the three months ended March 31, 2024. The Company recorded income tax expense of $6.5 million and $1.3 million for the three months ended March 31, 2025 and 2024, respectively.</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Our effective tax rate was 28.1% and 37.6% for the three months ended March 31, 2025 and 2024, respectively. Tax expense for the three months ended March 31, 2025, was favorably impacted by lower profits in non-US jurisdictions and additional tax credits recorded during the period. Additionally, tax expense of $ 1.0 million related to equity-based compensation, was recorded discretely. Tax expense for the three months ended March 31, 2024 was unfavorably impacted by higher income reported in non-U.S. jurisdictions and tax expense of $0.4 million related to equity-based compensation recorded discretely.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1" w:name="page42"/>
    <w:bookmarkEnd w:id="41"/>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51"/>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7"/>
        </w:trPr>
        <w:tc>
          <w:tcPr>
            <w:tcW w:w="6520" w:type="dxa"/>
            <w:vAlign w:val="bottom"/>
          </w:tcPr>
          <w:p>
            <w:pPr>
              <w:spacing w:after="0"/>
              <w:rPr>
                <w:sz w:val="24"/>
                <w:szCs w:val="24"/>
                <w:color w:val="auto"/>
              </w:rPr>
            </w:pPr>
          </w:p>
        </w:tc>
        <w:tc>
          <w:tcPr>
            <w:tcW w:w="39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2025</w:t>
            </w: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2024</w:t>
            </w:r>
          </w:p>
        </w:tc>
        <w:tc>
          <w:tcPr>
            <w:tcW w:w="800" w:type="dxa"/>
            <w:vAlign w:val="bottom"/>
            <w:tcBorders>
              <w:bottom w:val="single" w:sz="8" w:color="auto"/>
            </w:tcBorders>
          </w:tcPr>
          <w:p>
            <w:pPr>
              <w:spacing w:after="0"/>
              <w:rPr>
                <w:sz w:val="21"/>
                <w:szCs w:val="2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provided by operating activities</w:t>
            </w:r>
          </w:p>
        </w:tc>
        <w:tc>
          <w:tcPr>
            <w:tcW w:w="1480" w:type="dxa"/>
            <w:vAlign w:val="bottom"/>
            <w:shd w:val="clear" w:color="auto" w:fill="CCEEFF"/>
          </w:tcPr>
          <w:p>
            <w:pPr>
              <w:jc w:val="right"/>
              <w:ind w:right="124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(13,059)</w:t>
            </w:r>
          </w:p>
        </w:tc>
        <w:tc>
          <w:tcPr>
            <w:tcW w:w="1580" w:type="dxa"/>
            <w:vAlign w:val="bottom"/>
            <w:gridSpan w:val="2"/>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47,502</w:t>
            </w: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(2,352)</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(2,386)</w:t>
            </w: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financing activities</w:t>
            </w:r>
          </w:p>
        </w:tc>
        <w:tc>
          <w:tcPr>
            <w:tcW w:w="1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(1,725)</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(4,575)</w:t>
            </w: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2,488</w:t>
            </w:r>
          </w:p>
        </w:tc>
        <w:tc>
          <w:tcPr>
            <w:tcW w:w="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(2,001)</w:t>
            </w:r>
          </w:p>
        </w:tc>
      </w:tr>
      <w:tr>
        <w:trPr>
          <w:trHeight w:val="29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8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(14,648)</w:t>
            </w:r>
          </w:p>
        </w:tc>
        <w:tc>
          <w:tcPr>
            <w:tcW w:w="1580" w:type="dxa"/>
            <w:vAlign w:val="bottom"/>
            <w:gridSpan w:val="2"/>
            <w:shd w:val="clear" w:color="auto" w:fill="CCEEFF"/>
          </w:tcPr>
          <w:p>
            <w:pPr>
              <w:jc w:val="right"/>
              <w:ind w:right="130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38,540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Based on our past performance and current expectations, we believe that operating cash flows will be sufficient to meet our liquidity needs in the next 12 months and beyond.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March 31, 2025, our cash balance was $348.3 million, of which $31.5 million was held outside the U.S., and our net working capital was $567.8 million. We had outstanding borrowings of $232.8 million under our $575 million Term Loan Facility and $161.3 million available to us under our $200 million Revolving Credit Facility.</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 provided that if on July 15, 2027, the date that is P91D days prior to the stated maturity of the Term Loan Facility, all or any portion of the Term Loan Facility is outstanding, the Revolving Credit Facility will mature on such date.</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For the three months ended March 31, 2025, cash used in operating activities was $13.1 million attributable to net income of $16.7 million and $19.0 million of non-cash adjustments, mainly consisting of depreciation and amortization expense and equity-based compensation, partially offset by a net cash outflow of $48.8 million from changes in our operating assets and liabilities.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three months ended March 31, 2024, cash provided by operating activities was $47.5 million, attributable to net income of $2.2 million, $18.9 million of non-cash adjustments, mainly consisting of depreciation expense and equity-based compensation and a cash inflow of $26.5 million from changes in our operations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Cash used in investing activities for both the three months ended March 31, 2025 and 2024 was $2.4 million and related primarily to the purchase of property, plant and equipment.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Cash used in financing activities for the three months ended March 31, 2025 was $1.7 million, driven primarily by a $1.1 million payment on our Term Loan Facility and $ 1.2 million in TRA payments issued during the three months ended March 31, 2025, partially offset a net increase in other debt of $0.6 million.</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Cash used in financing activities for the three months ended March 31, 2024 was $4.6 million, driven primarily by a $1.1 million payment on our Term Loan Facility, a net reduction of other debt of $1.5 million, as well as $1.4 million in TRA payments issued during the three months ended March 31, 2024.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Information regarding our debt obligations, lease commitments and other commitments is provided in Item 7, “Management’s Discussion and Analysis of Financial Condition and Results of Operations” in our 2024 Annual Report on form 10-K. There were no material changes in our contractual obligations and commitments as of March 31, 2025.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On August 10, 2021, we entered into a Securities Purchase Agreement (the “Securities Purchase Agreement”), pursuant to which we issued 400,000 shares of its Series A Redeemable Perpetual Preferred Stock (the “Series A Shares”) and 9,000,000 shares of our common stock for an aggregate purchase price of approximately $395.4 million.</w:t>
      </w:r>
    </w:p>
    <w:p>
      <w:pPr>
        <w:spacing w:after="0" w:line="205"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8 – Redeemable Perpetual Preferred Stock</w:t>
      </w:r>
      <w:r>
        <w:rPr>
          <w:rFonts w:ascii="Arial" w:cs="Arial" w:eastAsia="Arial" w:hAnsi="Arial"/>
          <w:sz w:val="20"/>
          <w:szCs w:val="20"/>
          <w:color w:val="auto"/>
        </w:rPr>
        <w:t>, to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7 – Debt</w:t>
      </w:r>
      <w:r>
        <w:rPr>
          <w:rFonts w:ascii="Arial" w:cs="Arial" w:eastAsia="Arial" w:hAnsi="Arial"/>
          <w:sz w:val="20"/>
          <w:szCs w:val="20"/>
          <w:color w:val="auto"/>
        </w:rPr>
        <w:t xml:space="preserve"> to our condensed consolidated financial statements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As of March 31, 2025, we posted surety bonds in the total amount of approximately $269.9 million. These off-balance sheet arrangements do not adversely impact our liquidity or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preparing our condensed consolidated financial statements in conformity with U.S. GAAP, we make estimates and assumptions that affect the amounts of reported assets, liabilities, revenues, and expenses, as well as the disclosure of contingent liabilities. Some of our accounting policies require the application of significant judgment in the selection of the appropriate assumptions for making these estimates. By their nature, these judgments are subject to an inherent degree of uncertainty. We base our judgments and estimates on our historical experience, our forecasts, and other available information as appropriate. We believe the judgments and estimates involved in accrued solar module collection and recycling, product warranties, and government grants have the greatest potential impact on our condensed consolidated financial</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3" w:name="page44"/>
    <w:bookmarkEnd w:id="43"/>
    <w:p>
      <w:pPr>
        <w:jc w:val="both"/>
        <w:spacing w:after="0" w:line="265" w:lineRule="auto"/>
        <w:rPr>
          <w:sz w:val="20"/>
          <w:szCs w:val="20"/>
          <w:color w:val="auto"/>
        </w:rPr>
      </w:pPr>
      <w:r>
        <w:rPr>
          <w:rFonts w:ascii="Arial" w:cs="Arial" w:eastAsia="Arial" w:hAnsi="Arial"/>
          <w:sz w:val="20"/>
          <w:szCs w:val="20"/>
          <w:color w:val="auto"/>
        </w:rPr>
        <w:t>statements. The actual results experienced by us may differ materially and adversely from our estimates. To the extent there are material differences between our estimates and the actual results, our future results of operations will be affected. For a description of the accounting policies that require the most significant judgment and estimates in the preparation of our condensed consolidated financial statements, refer to our Annual Report on Form 10-K for the year ended December 31, 2024. There have been no material changes to our accounting policies during the three months ended March 31, 2025.</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123"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material changes to the information previously provided under Item 7A. of our 2024 Annual Report.</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March 31, 2025. Based upon that evaluation, our Chief Executive Officer and Chief Financial Officer concluded that, as of such date, our disclosure controls and procedures were effective at a reasonable assurance level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also carried out an evaluation, under the supervision and with participation of management, including our principal executive officer and principal financial officer, of our “internal control over financial reporting” to determine whether any changes in our internal control over financial reporting occurred during the three months ended March 31, 2025 that materially affected or were reasonably likely to materially affect our internal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20"/>
          <w:szCs w:val="20"/>
          <w:color w:val="auto"/>
        </w:rPr>
        <w:t>control over financial reporting. Based on that evaluation, there were no such changes in our internal control over financial reporting that occurred during the three months ended March 31, 2025.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See </w:t>
      </w:r>
      <w:r>
        <w:rPr>
          <w:rFonts w:ascii="Arial" w:cs="Arial" w:eastAsia="Arial" w:hAnsi="Arial"/>
          <w:sz w:val="19"/>
          <w:szCs w:val="19"/>
          <w:u w:val="single" w:color="auto"/>
          <w:color w:val="0000FF"/>
        </w:rPr>
        <w:t>Note 11 – Commitments and Contingencies</w:t>
      </w:r>
      <w:r>
        <w:rPr>
          <w:rFonts w:ascii="Arial" w:cs="Arial" w:eastAsia="Arial" w:hAnsi="Arial"/>
          <w:sz w:val="19"/>
          <w:szCs w:val="19"/>
          <w:color w:val="auto"/>
        </w:rPr>
        <w:t xml:space="preserve"> under the heading “Legal Proceedings” of our condensed consolidated financial statements for legal proceedings and related matters. In addition to the lawsuits described in Note 11 to our condensed consolidated financial statements, from time to time we may be involved in claims arising in the ordinary course of business. To our knowledge, other than the cases described in Note 11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69" w:lineRule="auto"/>
        <w:rPr>
          <w:rFonts w:ascii="Arial" w:cs="Arial" w:eastAsia="Arial" w:hAnsi="Arial"/>
          <w:sz w:val="20"/>
          <w:szCs w:val="20"/>
          <w:color w:val="000000"/>
        </w:rPr>
      </w:pPr>
      <w:r>
        <w:rPr>
          <w:rFonts w:ascii="Arial" w:cs="Arial" w:eastAsia="Arial" w:hAnsi="Arial"/>
          <w:sz w:val="20"/>
          <w:szCs w:val="20"/>
          <w:color w:val="auto"/>
        </w:rPr>
        <w:t xml:space="preserve">Except as set forth below, and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Financial Condition and Results of Operations”</w:t>
      </w:r>
      <w:r>
        <w:rPr>
          <w:rFonts w:ascii="Arial" w:cs="Arial" w:eastAsia="Arial" w:hAnsi="Arial"/>
          <w:sz w:val="20"/>
          <w:szCs w:val="20"/>
          <w:color w:val="000000"/>
        </w:rPr>
        <w:t>), there were no material changes to the risk factors disclosed in Part I, Item 1A,</w:t>
      </w:r>
      <w:r>
        <w:rPr>
          <w:rFonts w:ascii="Arial" w:cs="Arial" w:eastAsia="Arial" w:hAnsi="Arial"/>
          <w:sz w:val="20"/>
          <w:szCs w:val="20"/>
          <w:color w:val="0000FF"/>
        </w:rPr>
        <w:t xml:space="preserve"> </w:t>
      </w:r>
      <w:r>
        <w:rPr>
          <w:rFonts w:ascii="Arial" w:cs="Arial" w:eastAsia="Arial" w:hAnsi="Arial"/>
          <w:sz w:val="20"/>
          <w:szCs w:val="20"/>
          <w:color w:val="000000"/>
        </w:rPr>
        <w:t xml:space="preserve">in our </w:t>
      </w:r>
      <w:hyperlink r:id="rId61">
        <w:r>
          <w:rPr>
            <w:rFonts w:ascii="Arial" w:cs="Arial" w:eastAsia="Arial" w:hAnsi="Arial"/>
            <w:sz w:val="20"/>
            <w:szCs w:val="20"/>
            <w:u w:val="single" w:color="auto"/>
            <w:color w:val="0000FF"/>
          </w:rPr>
          <w:t>2024 Annual Report</w:t>
        </w:r>
      </w:hyperlink>
      <w:r>
        <w:rPr>
          <w:rFonts w:ascii="Arial" w:cs="Arial" w:eastAsia="Arial" w:hAnsi="Arial"/>
          <w:sz w:val="20"/>
          <w:szCs w:val="20"/>
          <w:color w:val="000000"/>
        </w:rPr>
        <w:t>.</w:t>
      </w:r>
    </w:p>
    <w:p>
      <w:pPr>
        <w:spacing w:after="0" w:line="197" w:lineRule="exact"/>
        <w:rPr>
          <w:sz w:val="20"/>
          <w:szCs w:val="20"/>
          <w:color w:val="auto"/>
        </w:rPr>
      </w:pPr>
    </w:p>
    <w:p>
      <w:pPr>
        <w:jc w:val="both"/>
        <w:spacing w:after="0" w:line="310" w:lineRule="auto"/>
        <w:rPr>
          <w:sz w:val="20"/>
          <w:szCs w:val="20"/>
          <w:color w:val="auto"/>
        </w:rPr>
      </w:pPr>
      <w:r>
        <w:rPr>
          <w:rFonts w:ascii="Arial" w:cs="Arial" w:eastAsia="Arial" w:hAnsi="Arial"/>
          <w:sz w:val="20"/>
          <w:szCs w:val="20"/>
          <w:b w:val="1"/>
          <w:bCs w:val="1"/>
          <w:i w:val="1"/>
          <w:iCs w:val="1"/>
          <w:color w:val="auto"/>
        </w:rPr>
        <w:t>Changes in the global trade environment, including the imposition of import tariffs, could adversely affect the amount or timing of our revenues, results of operations or cash flows.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The U.S. has recently imposed significant new tariffs on nearly all products and components imported into the U.S. and could propose additional tariffs or increases to those already in place. To the extent we continue to use overseas suppliers of steel and aluminum, these tariffs could result in interruptions in the supply chain and impact costs and our gross margins. In addition, the threat of potential tariffs can create uncertainty among our customers and slow down the rate of existing projects and projects in our orderbook.</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More specifically, in March 2018, the U.S. imposed a 25% tariff on steel imports and a 10% tariff on aluminum imports pursuant to Section 232 of the Trade Expansion Act of 1962 and extended these tariffs to cover imports of derivative steel and aluminum articles on February 2020 under the same legal authority. These tariffs were increased on February 10, 2025, pursuant to two executive orders from President Trump (the "February 2025 Executive Orders"), resulting in across-the-board 25% duties on steel and aluminum imports. Additionally, all previous alternative arrangements, such as complete exemptions, hard quotas, or tariff rate quotas, with trading partners on imports of steel and aluminum products, have been eliminated. The February 2025 Executive Orders also eliminated the system for exclusions, under which thousands of products were allowed to enter the U.S. free of these additional duties and create a process by which additional “derivative” products could be added to the scope of the tariffs by request of the domestic producer.</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February 1, 2025, President Trump issued executive orders directing the U.S. to impose new tariffs on imports from Canada, Mexico, and China, to take effect on February 4, 2025. On February 3, 2025, President Trump announced his intention to pause these tariffs on Canada and Mexico for the next month. The tariffs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20"/>
          <w:szCs w:val="20"/>
          <w:color w:val="auto"/>
        </w:rPr>
        <w:t>impose an additional 25% ad valorem rate of duty on all imports from Canada and Mexico (other than imports of Canadian energy resources exports, which are subject to a 10% ad valorem rate of duty) and an additional 10% ad valorem rate of duty on all imports from China. On March 3, 2025, the announced 25% tariff on Canadian and Mexican goods took effect and the tariff on Chinese goods was doubled to 20%. On March 12, 2025 tariffs on steel and aluminum increased from 25% to 50% on all steel and aluminum coming from Canada. On April 2, 2025, President Trump introduced tariffs on most countries of a baseline rate of 10%, and individualized rates on some countries of up to 50%. On April 9, 2025, President Trump increased tariffs for Chinese goods to 125% and subsequently to 145%, while the tariffs announced on April 2, 2025 for all other countries was reduced to a baseline rate of 10% for the next 90 days.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are currently evaluating the potential impact of the imposition of the announced tariffs, and any additional or retaliatory tariffs, to our business and financial condition. While we do not believe that the tariffs announced by the U.S. in 2025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More broadly, President Trump has directed the USDOC, USTR, and other agencies, to review and identify unfair trade practices by other countries and recommend appropriate actions, as well as recommend modifications of AD/CVD laws to further induce compliance by foreign respondents and governments involved in those proceedings. These directives have been issued under the America First Trade Policy and Reciprocal Trade and Tariffs memoranda, and the effects on the global trading system can be far-reaching.</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former President Biden extended the safeguard tariff for an additional four years, starting at a rate of 14.75% and reducing that rate each year to 14% in 2026, and directed the U.S. Trade Representative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Furthermore, starting in July 2018, the U.S. adopted four lists of tariffs (Lists 1,2,3, and 4A) on $ 550 billion worth of Chinese imports, including, inverters and power optimizers. Products on Lists 1, 2, and 3 are subject to 25% tariffs, while products on List 4A are subject to 7.5% tariffs. On December 16, 2024, the U.S. Trade Representative (“USTR”) announced that it would increase Section 301 tariffs on polysilicon and wafers to 50% in 2025. At the same time, the USTR implemented 14 tariff exclusions for listed solar cell and wafer manufacturing equipment. While these tariffs are not directly applicable to our products, they could impact the solar energy projects in which our products are used, which could lead to decreased demand for our products.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18, 2023, the U.S. Department of Commerce (“USDOC”) issued final affirmative determinations of circumvention with respect to certain crystalline solar photovoltaic (“CSPV”) cells and modules produced in Cambodia, Malaysia, Thailand and Vietnam using parts and components from China. As a result, certain CSPV cells and modules from Cambodia, Malaysia, Thailand and Vietnam are now subject to antidumping and countervailing duty (“AD/CVD”) orders on CSPV cells and modules from China that have been in place since 2012. Subject to certain certification and utilization conditions, imports of CSPV cells and modules covered by</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6" w:name="page47"/>
    <w:bookmarkEnd w:id="46"/>
    <w:p>
      <w:pPr>
        <w:jc w:val="both"/>
        <w:spacing w:after="0" w:line="263" w:lineRule="auto"/>
        <w:rPr>
          <w:sz w:val="20"/>
          <w:szCs w:val="20"/>
          <w:color w:val="auto"/>
        </w:rPr>
      </w:pPr>
      <w:r>
        <w:rPr>
          <w:rFonts w:ascii="Arial" w:cs="Arial" w:eastAsia="Arial" w:hAnsi="Arial"/>
          <w:sz w:val="20"/>
          <w:szCs w:val="20"/>
          <w:color w:val="auto"/>
        </w:rPr>
        <w:t>the circumvention determinations that entered the U.S. during the two-year period prior to June 6, 2024 – which had been authorized by the former President Biden on June 2022 – were not subject to AD/CVD cash deposit or duty requirements. Imports of CSPV cells and modules from the four Southeast Asian countries covered by the circumvention determination that entered the U.S. on or after June 6, 2024 are subject to AD/CVD cash deposit requirements of the China AD/CVD orders and, possibly, final AD/CVD duty liability. Cash deposit rates for CSPV modules covered by the China AD/CVD orders vary significantly depending on the producer and exporter of the modules and may amount to over 250% of the entered value of the imported merchandise.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In September 2024, the USDOC released its final determination from their investigations against aluminum extrusions from multiple countries. On October 30, 2024, the USITC voted to find no injury in its pending AD/CVD investigation, meaning that the USDOC’s AD/CVD orders will not go into effect. The coalition of petitioners may still appeal the USITC’s decision, and we will continue to monitor developments in the appeal process. If the USITC’s decision is overturned on appeal, the imposition of AD/CVD orders could negatively impact our business, financial condition, and results of operations.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April 24, 2024, the American Alliance for Solar Manufacturing Trade Committee, an ad hoc coalition of domestic producers of CSPV cells and modules, filed a petition with the USDOC and the U.S. International Trade Commission (“USITC”) seeking the imposition of AD/CVD tariffs on imports of CSPV cells and modules from Cambodia, Malaysia, Thailand and Vietnam. The USITC made a preliminary affirmative determination on June 7, 2024, and the USDOC made its preliminary affirmative determination on October 1, 2024. The preliminary tariff rates vary from below 1% to almost 300%, depending on the relevant company.</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 The repeal of the 24-month exemption, and any affirmative determinations made once the exemption expires in any event, would have an adverse effect on our business, financial condition, and results of operations.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Amendment to the Senior Secured Credit Facility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May 1, 2025, Array Tech, Inc. and ATI Investment Sub, Inc., both wholly owned subsidiaries of the Company, entered into the Fourth Amendment to the Credit Agreement. The Fourth Amendment, among other things, (i) refinanced the Revolving Credit Facility with new revolving commitments and loans thereunder and (ii) revised the Consolidated First Lien Secured Leverage Ratio as applicable under Section 7.09 (Financial Covenant) of the Credit Agreement from 7.10:1.00 to 5.50:1.00.</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amended by the Fourth Amendment, the Revolving Credit Facility has total commitments of $166 million and a maturity date of October 14, 2028; provided that if on July 15, 2027, the date that is P91D days prior to the stated maturity of the Term Loan Facility, all or any portion of the Term Loan Facility is outstanding, the Revolving Credit Facility will mature on such date.</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foregoing description of the Fourth Amendment is qualified in its entirety by reference to Exhibit 10.2 to this Current Report on Form 10-Q, which is incorporated by reference herein.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10b5-1 Trading Plans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From time to time, our directors and officers may adopt plans for the purchase or sale of our securities. Such plans may be designed to satisfy the affirmative defense conditions of Rule 10b5-1 under the Exchange Act or may constitute non-Rule 10b5-1 trading arrangements (as defined in Item 408(c) of Regulation S-K). During the three months ended March 31, 2025, none of our directors or officers adopted, amended or terminated any such plan or trading arrangement.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06"/>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8"/>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7"/>
            <w:shd w:val="clear" w:color="auto" w:fill="CCEEFF"/>
          </w:tcPr>
          <w:p>
            <w:pPr>
              <w:spacing w:after="0" w:line="196" w:lineRule="exact"/>
              <w:rPr>
                <w:rFonts w:ascii="Arial" w:cs="Arial" w:eastAsia="Arial" w:hAnsi="Arial"/>
                <w:sz w:val="20"/>
                <w:szCs w:val="20"/>
                <w:color w:val="0000FF"/>
              </w:rPr>
            </w:pPr>
            <w:hyperlink r:id="rId65">
              <w:r>
                <w:rPr>
                  <w:rFonts w:ascii="Arial" w:cs="Arial" w:eastAsia="Arial" w:hAnsi="Arial"/>
                  <w:sz w:val="20"/>
                  <w:szCs w:val="20"/>
                  <w:color w:val="0000FF"/>
                </w:rPr>
                <w:t>Amended and Restated Certificate of Incorporation of Array</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0000FF"/>
            </w:tcBorders>
            <w:gridSpan w:val="4"/>
            <w:shd w:val="clear" w:color="auto" w:fill="CCEEFF"/>
          </w:tcPr>
          <w:p>
            <w:pPr>
              <w:spacing w:after="0" w:line="183" w:lineRule="exact"/>
              <w:rPr>
                <w:rFonts w:ascii="Arial" w:cs="Arial" w:eastAsia="Arial" w:hAnsi="Arial"/>
                <w:sz w:val="20"/>
                <w:szCs w:val="20"/>
                <w:color w:val="0000FF"/>
              </w:rPr>
            </w:pPr>
            <w:hyperlink r:id="rId65">
              <w:r>
                <w:rPr>
                  <w:rFonts w:ascii="Arial" w:cs="Arial" w:eastAsia="Arial" w:hAnsi="Arial"/>
                  <w:sz w:val="20"/>
                  <w:szCs w:val="20"/>
                  <w:color w:val="0000FF"/>
                </w:rPr>
                <w:t>Technologies, Inc., dated October 19, 2020</w:t>
              </w:r>
            </w:hyperlink>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8"/>
          </w:tcPr>
          <w:p>
            <w:pPr>
              <w:spacing w:after="0" w:line="203" w:lineRule="exact"/>
              <w:rPr>
                <w:rFonts w:ascii="Arial" w:cs="Arial" w:eastAsia="Arial" w:hAnsi="Arial"/>
                <w:sz w:val="20"/>
                <w:szCs w:val="20"/>
                <w:color w:val="0000FF"/>
              </w:rPr>
            </w:pPr>
            <w:hyperlink r:id="rId66">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4"/>
          </w:tcPr>
          <w:p>
            <w:pPr>
              <w:spacing w:after="0" w:line="183" w:lineRule="exact"/>
              <w:rPr>
                <w:rFonts w:ascii="Arial" w:cs="Arial" w:eastAsia="Arial" w:hAnsi="Arial"/>
                <w:sz w:val="20"/>
                <w:szCs w:val="20"/>
                <w:color w:val="0000FF"/>
              </w:rPr>
            </w:pPr>
            <w:hyperlink r:id="rId66">
              <w:r>
                <w:rPr>
                  <w:rFonts w:ascii="Arial" w:cs="Arial" w:eastAsia="Arial" w:hAnsi="Arial"/>
                  <w:sz w:val="20"/>
                  <w:szCs w:val="20"/>
                  <w:color w:val="0000FF"/>
                </w:rPr>
                <w:t>dated October 19, 2020</w:t>
              </w:r>
            </w:hyperlink>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154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0000FF"/>
            </w:tcBorders>
            <w:gridSpan w:val="6"/>
            <w:shd w:val="clear" w:color="auto" w:fill="CCEEFF"/>
          </w:tcPr>
          <w:p>
            <w:pPr>
              <w:spacing w:after="0" w:line="216" w:lineRule="exact"/>
              <w:rPr>
                <w:rFonts w:ascii="Arial" w:cs="Arial" w:eastAsia="Arial" w:hAnsi="Arial"/>
                <w:sz w:val="20"/>
                <w:szCs w:val="20"/>
                <w:color w:val="0000FF"/>
                <w:w w:val="98"/>
              </w:rPr>
            </w:pPr>
            <w:hyperlink r:id="rId67">
              <w:r>
                <w:rPr>
                  <w:rFonts w:ascii="Arial" w:cs="Arial" w:eastAsia="Arial" w:hAnsi="Arial"/>
                  <w:sz w:val="20"/>
                  <w:szCs w:val="20"/>
                  <w:color w:val="0000FF"/>
                  <w:w w:val="98"/>
                </w:rPr>
                <w:t>Certificate of Designations of Series A Perpetual Preferred Stock</w:t>
              </w:r>
            </w:hyperlink>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5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6"/>
              </w:rPr>
              <w:t>8/11/2021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400"/>
              <w:spacing w:after="0" w:line="216" w:lineRule="exact"/>
              <w:rPr>
                <w:sz w:val="20"/>
                <w:szCs w:val="20"/>
                <w:color w:val="auto"/>
              </w:rPr>
            </w:pPr>
            <w:r>
              <w:rPr>
                <w:rFonts w:ascii="Arial" w:cs="Arial" w:eastAsia="Arial" w:hAnsi="Arial"/>
                <w:sz w:val="20"/>
                <w:szCs w:val="20"/>
                <w:color w:val="auto"/>
              </w:rPr>
              <w:t>3.1</w:t>
            </w: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8"/>
          </w:tcPr>
          <w:p>
            <w:pPr>
              <w:spacing w:after="0" w:line="203" w:lineRule="exact"/>
              <w:rPr>
                <w:sz w:val="20"/>
                <w:szCs w:val="20"/>
                <w:color w:val="auto"/>
              </w:rPr>
            </w:pPr>
            <w:r>
              <w:rPr>
                <w:rFonts w:ascii="Arial" w:cs="Arial" w:eastAsia="Arial" w:hAnsi="Arial"/>
                <w:sz w:val="20"/>
                <w:szCs w:val="20"/>
                <w:color w:val="0000FF"/>
              </w:rPr>
              <w:t>Offer Letter of Employment, dated December 29, 2024, Array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Borders>
              <w:top w:val="single" w:sz="8" w:color="0000FF"/>
            </w:tcBorders>
            <w:gridSpan w:val="5"/>
          </w:tcPr>
          <w:p>
            <w:pPr>
              <w:spacing w:after="0" w:line="183" w:lineRule="exact"/>
              <w:rPr>
                <w:sz w:val="20"/>
                <w:szCs w:val="20"/>
                <w:color w:val="auto"/>
              </w:rPr>
            </w:pPr>
            <w:r>
              <w:rPr>
                <w:rFonts w:ascii="Arial" w:cs="Arial" w:eastAsia="Arial" w:hAnsi="Arial"/>
                <w:sz w:val="20"/>
                <w:szCs w:val="20"/>
                <w:color w:val="0000FF"/>
              </w:rPr>
              <w:t>Tech, Inc. and Gina Gunning</w:t>
            </w:r>
          </w:p>
        </w:tc>
        <w:tc>
          <w:tcPr>
            <w:tcW w:w="50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3"/>
        </w:trPr>
        <w:tc>
          <w:tcPr>
            <w:tcW w:w="1540" w:type="dxa"/>
            <w:vAlign w:val="bottom"/>
          </w:tcPr>
          <w:p>
            <w:pPr>
              <w:jc w:val="center"/>
              <w:spacing w:after="0"/>
              <w:rPr>
                <w:sz w:val="20"/>
                <w:szCs w:val="20"/>
                <w:color w:val="auto"/>
              </w:rPr>
            </w:pPr>
            <w:r>
              <w:rPr>
                <w:rFonts w:ascii="Arial" w:cs="Arial" w:eastAsia="Arial" w:hAnsi="Arial"/>
                <w:sz w:val="20"/>
                <w:szCs w:val="20"/>
                <w:color w:val="auto"/>
                <w:w w:val="98"/>
              </w:rPr>
              <w:t>10.2*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8"/>
          </w:tcPr>
          <w:p>
            <w:pPr>
              <w:spacing w:after="0"/>
              <w:rPr>
                <w:sz w:val="20"/>
                <w:szCs w:val="20"/>
                <w:color w:val="auto"/>
              </w:rPr>
            </w:pPr>
            <w:r>
              <w:rPr>
                <w:rFonts w:ascii="Arial" w:cs="Arial" w:eastAsia="Arial" w:hAnsi="Arial"/>
                <w:sz w:val="20"/>
                <w:szCs w:val="20"/>
                <w:u w:val="single" w:color="auto"/>
                <w:color w:val="0000FF"/>
              </w:rPr>
              <w:t>Amendment No. 4 to the Credit Agreement, dated as of May 1,</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659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ind w:left="1680" w:right="3900"/>
        <w:spacing w:after="0" w:line="215" w:lineRule="auto"/>
        <w:rPr>
          <w:sz w:val="20"/>
          <w:szCs w:val="20"/>
          <w:color w:val="auto"/>
        </w:rPr>
      </w:pPr>
      <w:r>
        <w:rPr>
          <w:rFonts w:ascii="Arial" w:cs="Arial" w:eastAsia="Arial" w:hAnsi="Arial"/>
          <w:sz w:val="19"/>
          <w:szCs w:val="19"/>
          <w:u w:val="single" w:color="auto"/>
          <w:color w:val="0000FF"/>
        </w:rPr>
        <w:t>2025, by and among Array Tech, Inc., as borrower, ATI Investment Sub, Inc. as holdings, Goldman Sachs Bank USA, as</w:t>
      </w:r>
    </w:p>
    <w:p>
      <w:pPr>
        <w:ind w:left="1680"/>
        <w:spacing w:after="0" w:line="211" w:lineRule="auto"/>
        <w:rPr>
          <w:sz w:val="20"/>
          <w:szCs w:val="20"/>
          <w:color w:val="auto"/>
        </w:rPr>
      </w:pPr>
      <w:r>
        <w:rPr>
          <w:rFonts w:ascii="Arial" w:cs="Arial" w:eastAsia="Arial" w:hAnsi="Arial"/>
          <w:sz w:val="20"/>
          <w:szCs w:val="20"/>
          <w:u w:val="single" w:color="auto"/>
          <w:color w:val="0000FF"/>
        </w:rPr>
        <w:t>administrative agent, and the additional lenders party thereto (in</w:t>
      </w:r>
    </w:p>
    <w:p>
      <w:pPr>
        <w:ind w:left="1680"/>
        <w:spacing w:after="0"/>
        <w:rPr>
          <w:sz w:val="20"/>
          <w:szCs w:val="20"/>
          <w:color w:val="auto"/>
        </w:rPr>
      </w:pPr>
      <w:r>
        <w:rPr>
          <w:rFonts w:ascii="Arial" w:cs="Arial" w:eastAsia="Arial" w:hAnsi="Arial"/>
          <w:sz w:val="20"/>
          <w:szCs w:val="20"/>
          <w:u w:val="single" w:color="auto"/>
          <w:color w:val="0000FF"/>
        </w:rPr>
        <w:t>such capacities indicated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67"/>
        </w:trPr>
        <w:tc>
          <w:tcPr>
            <w:tcW w:w="16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3"/>
                <w:szCs w:val="23"/>
                <w:color w:val="auto"/>
              </w:rPr>
            </w:pPr>
          </w:p>
        </w:tc>
        <w:tc>
          <w:tcPr>
            <w:tcW w:w="5840" w:type="dxa"/>
            <w:vAlign w:val="bottom"/>
            <w:gridSpan w:val="7"/>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40" w:type="dxa"/>
            <w:vAlign w:val="bottom"/>
            <w:gridSpan w:val="2"/>
          </w:tcPr>
          <w:p>
            <w:pPr>
              <w:ind w:left="240"/>
              <w:spacing w:after="0"/>
              <w:rPr>
                <w:sz w:val="20"/>
                <w:szCs w:val="20"/>
                <w:color w:val="auto"/>
              </w:rPr>
            </w:pPr>
            <w:r>
              <w:rPr>
                <w:rFonts w:ascii="Arial" w:cs="Arial" w:eastAsia="Arial" w:hAnsi="Arial"/>
                <w:sz w:val="20"/>
                <w:szCs w:val="20"/>
                <w:b w:val="1"/>
                <w:bCs w:val="1"/>
                <w:color w:val="auto"/>
              </w:rPr>
              <w:t>Form</w:t>
            </w:r>
          </w:p>
        </w:tc>
        <w:tc>
          <w:tcPr>
            <w:tcW w:w="162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98"/>
              </w:rPr>
              <w:t>31.1*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76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20"/>
                <w:szCs w:val="20"/>
                <w:color w:val="0000FF"/>
                <w:w w:val="98"/>
              </w:rPr>
              <w:t>Certification of the Chief Executive Officer, as required by Section</w:t>
            </w: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5"/>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12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7"/>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0000FF"/>
              <w:bottom w:val="single" w:sz="8" w:color="0000FF"/>
            </w:tcBorders>
            <w:gridSpan w:val="2"/>
            <w:shd w:val="clear" w:color="auto" w:fill="CCEEFF"/>
          </w:tcPr>
          <w:p>
            <w:pPr>
              <w:spacing w:after="0" w:line="183" w:lineRule="exact"/>
              <w:rPr>
                <w:sz w:val="20"/>
                <w:szCs w:val="20"/>
                <w:color w:val="auto"/>
              </w:rPr>
            </w:pPr>
            <w:r>
              <w:rPr>
                <w:rFonts w:ascii="Arial" w:cs="Arial" w:eastAsia="Arial" w:hAnsi="Arial"/>
                <w:sz w:val="20"/>
                <w:szCs w:val="20"/>
                <w:color w:val="0000FF"/>
                <w:w w:val="98"/>
              </w:rPr>
              <w:t>302 of the Sarbanes- Oxley Act of 2002 (18 U.S.C. 1350)</w:t>
            </w:r>
          </w:p>
        </w:tc>
        <w:tc>
          <w:tcPr>
            <w:tcW w:w="68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7"/>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5"/>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2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7"/>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3"/>
            <w:shd w:val="clear" w:color="auto" w:fill="CCEEFF"/>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80" w:type="dxa"/>
            <w:vAlign w:val="bottom"/>
            <w:tcBorders>
              <w:top w:val="single" w:sz="8" w:color="CCEEFF"/>
            </w:tcBorders>
            <w:gridSpan w:val="4"/>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1"/>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1660" w:type="dxa"/>
            <w:vAlign w:val="bottom"/>
            <w:gridSpan w:val="2"/>
          </w:tcPr>
          <w:p>
            <w:pPr>
              <w:jc w:val="center"/>
              <w:ind w:right="100"/>
              <w:spacing w:after="0" w:line="194" w:lineRule="exact"/>
              <w:rPr>
                <w:sz w:val="20"/>
                <w:szCs w:val="20"/>
                <w:color w:val="auto"/>
              </w:rPr>
            </w:pPr>
            <w:r>
              <w:rPr>
                <w:rFonts w:ascii="Arial" w:cs="Arial" w:eastAsia="Arial" w:hAnsi="Arial"/>
                <w:sz w:val="20"/>
                <w:szCs w:val="20"/>
                <w:color w:val="auto"/>
                <w:w w:val="99"/>
              </w:rPr>
              <w:t>101.INS</w:t>
            </w:r>
          </w:p>
        </w:tc>
        <w:tc>
          <w:tcPr>
            <w:tcW w:w="20" w:type="dxa"/>
            <w:vAlign w:val="bottom"/>
          </w:tcPr>
          <w:p>
            <w:pPr>
              <w:spacing w:after="0"/>
              <w:rPr>
                <w:sz w:val="16"/>
                <w:szCs w:val="16"/>
                <w:color w:val="auto"/>
              </w:rPr>
            </w:pPr>
          </w:p>
        </w:tc>
        <w:tc>
          <w:tcPr>
            <w:tcW w:w="5840" w:type="dxa"/>
            <w:vAlign w:val="bottom"/>
            <w:gridSpan w:val="7"/>
          </w:tcPr>
          <w:p>
            <w:pPr>
              <w:spacing w:after="0" w:line="194" w:lineRule="exact"/>
              <w:rPr>
                <w:sz w:val="20"/>
                <w:szCs w:val="20"/>
                <w:color w:val="auto"/>
              </w:rPr>
            </w:pPr>
            <w:r>
              <w:rPr>
                <w:rFonts w:ascii="Arial" w:cs="Arial" w:eastAsia="Arial" w:hAnsi="Arial"/>
                <w:sz w:val="20"/>
                <w:szCs w:val="20"/>
                <w:color w:val="auto"/>
              </w:rPr>
              <w:t>XBRL Instance Document – the instance document does not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7"/>
          </w:tcPr>
          <w:p>
            <w:pPr>
              <w:spacing w:after="0" w:line="197" w:lineRule="exact"/>
              <w:rPr>
                <w:sz w:val="20"/>
                <w:szCs w:val="20"/>
                <w:color w:val="auto"/>
              </w:rPr>
            </w:pPr>
            <w:r>
              <w:rPr>
                <w:rFonts w:ascii="Arial" w:cs="Arial" w:eastAsia="Arial" w:hAnsi="Arial"/>
                <w:sz w:val="20"/>
                <w:szCs w:val="20"/>
                <w:color w:val="auto"/>
              </w:rPr>
              <w:t>appear in the Interactive Data file because its XBRL tags are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7"/>
          </w:tcPr>
          <w:p>
            <w:pPr>
              <w:spacing w:after="0"/>
              <w:rPr>
                <w:sz w:val="20"/>
                <w:szCs w:val="20"/>
                <w:color w:val="auto"/>
              </w:rPr>
            </w:pPr>
            <w:r>
              <w:rPr>
                <w:rFonts w:ascii="Arial" w:cs="Arial" w:eastAsia="Arial" w:hAnsi="Arial"/>
                <w:sz w:val="20"/>
                <w:szCs w:val="20"/>
                <w:color w:val="auto"/>
              </w:rPr>
              <w:t>embedded within the Inline XBRL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8"/>
              </w:rPr>
              <w:t>101.SCH</w:t>
            </w:r>
          </w:p>
        </w:tc>
        <w:tc>
          <w:tcPr>
            <w:tcW w:w="20" w:type="dxa"/>
            <w:vAlign w:val="bottom"/>
            <w:shd w:val="clear" w:color="auto" w:fill="CCEEFF"/>
          </w:tcPr>
          <w:p>
            <w:pPr>
              <w:spacing w:after="0"/>
              <w:rPr>
                <w:sz w:val="22"/>
                <w:szCs w:val="22"/>
                <w:color w:val="auto"/>
              </w:rPr>
            </w:pPr>
          </w:p>
        </w:tc>
        <w:tc>
          <w:tcPr>
            <w:tcW w:w="58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jc w:val="center"/>
              <w:ind w:right="100"/>
              <w:spacing w:after="0"/>
              <w:rPr>
                <w:sz w:val="20"/>
                <w:szCs w:val="20"/>
                <w:color w:val="auto"/>
              </w:rPr>
            </w:pPr>
            <w:r>
              <w:rPr>
                <w:rFonts w:ascii="Arial" w:cs="Arial" w:eastAsia="Arial" w:hAnsi="Arial"/>
                <w:sz w:val="20"/>
                <w:szCs w:val="20"/>
                <w:color w:val="auto"/>
                <w:w w:val="97"/>
              </w:rPr>
              <w:t>101.CAL</w:t>
            </w:r>
          </w:p>
        </w:tc>
        <w:tc>
          <w:tcPr>
            <w:tcW w:w="20" w:type="dxa"/>
            <w:vAlign w:val="bottom"/>
          </w:tcPr>
          <w:p>
            <w:pPr>
              <w:spacing w:after="0"/>
              <w:rPr>
                <w:sz w:val="22"/>
                <w:szCs w:val="22"/>
                <w:color w:val="auto"/>
              </w:rPr>
            </w:pPr>
          </w:p>
        </w:tc>
        <w:tc>
          <w:tcPr>
            <w:tcW w:w="5840" w:type="dxa"/>
            <w:vAlign w:val="bottom"/>
            <w:gridSpan w:val="7"/>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101.DEF</w:t>
            </w:r>
          </w:p>
        </w:tc>
        <w:tc>
          <w:tcPr>
            <w:tcW w:w="20" w:type="dxa"/>
            <w:vAlign w:val="bottom"/>
            <w:shd w:val="clear" w:color="auto" w:fill="CCEEFF"/>
          </w:tcPr>
          <w:p>
            <w:pPr>
              <w:spacing w:after="0"/>
              <w:rPr>
                <w:sz w:val="22"/>
                <w:szCs w:val="22"/>
                <w:color w:val="auto"/>
              </w:rPr>
            </w:pPr>
          </w:p>
        </w:tc>
        <w:tc>
          <w:tcPr>
            <w:tcW w:w="58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6"/>
        </w:trPr>
        <w:tc>
          <w:tcPr>
            <w:tcW w:w="1660" w:type="dxa"/>
            <w:vAlign w:val="bottom"/>
            <w:gridSpan w:val="2"/>
          </w:tcPr>
          <w:p>
            <w:pPr>
              <w:jc w:val="center"/>
              <w:ind w:right="100"/>
              <w:spacing w:after="0"/>
              <w:rPr>
                <w:sz w:val="20"/>
                <w:szCs w:val="20"/>
                <w:color w:val="auto"/>
              </w:rPr>
            </w:pPr>
            <w:r>
              <w:rPr>
                <w:rFonts w:ascii="Arial" w:cs="Arial" w:eastAsia="Arial" w:hAnsi="Arial"/>
                <w:sz w:val="20"/>
                <w:szCs w:val="20"/>
                <w:color w:val="auto"/>
                <w:w w:val="98"/>
              </w:rPr>
              <w:t>101.LAB</w:t>
            </w:r>
          </w:p>
        </w:tc>
        <w:tc>
          <w:tcPr>
            <w:tcW w:w="20" w:type="dxa"/>
            <w:vAlign w:val="bottom"/>
          </w:tcPr>
          <w:p>
            <w:pPr>
              <w:spacing w:after="0"/>
              <w:rPr>
                <w:sz w:val="22"/>
                <w:szCs w:val="22"/>
                <w:color w:val="auto"/>
              </w:rPr>
            </w:pPr>
          </w:p>
        </w:tc>
        <w:tc>
          <w:tcPr>
            <w:tcW w:w="5840" w:type="dxa"/>
            <w:vAlign w:val="bottom"/>
            <w:gridSpan w:val="7"/>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20"/>
                <w:szCs w:val="20"/>
                <w:color w:val="auto"/>
                <w:w w:val="99"/>
              </w:rPr>
              <w:t>101.PRE</w:t>
            </w:r>
          </w:p>
        </w:tc>
        <w:tc>
          <w:tcPr>
            <w:tcW w:w="20" w:type="dxa"/>
            <w:vAlign w:val="bottom"/>
            <w:shd w:val="clear" w:color="auto" w:fill="CCEEFF"/>
          </w:tcPr>
          <w:p>
            <w:pPr>
              <w:spacing w:after="0"/>
              <w:rPr>
                <w:sz w:val="22"/>
                <w:szCs w:val="22"/>
                <w:color w:val="auto"/>
              </w:rPr>
            </w:pPr>
          </w:p>
        </w:tc>
        <w:tc>
          <w:tcPr>
            <w:tcW w:w="5840" w:type="dxa"/>
            <w:vAlign w:val="bottom"/>
            <w:gridSpan w:val="7"/>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80" w:hanging="1068"/>
        <w:spacing w:after="0"/>
        <w:tabs>
          <w:tab w:leader="none" w:pos="16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17" w:lineRule="exact"/>
        <w:rPr>
          <w:rFonts w:ascii="Arial" w:cs="Arial" w:eastAsia="Arial" w:hAnsi="Arial"/>
          <w:sz w:val="20"/>
          <w:szCs w:val="20"/>
          <w:color w:val="auto"/>
        </w:rPr>
      </w:pPr>
    </w:p>
    <w:p>
      <w:pPr>
        <w:ind w:left="220" w:hanging="212"/>
        <w:spacing w:after="0"/>
        <w:tabs>
          <w:tab w:leader="none" w:pos="2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49" w:name="page50"/>
    <w:bookmarkEnd w:id="49"/>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1840" w:type="dxa"/>
            <w:vAlign w:val="bottom"/>
            <w:tcBorders>
              <w:bottom w:val="single" w:sz="8" w:color="auto"/>
            </w:tcBorders>
          </w:tcPr>
          <w:p>
            <w:pPr>
              <w:spacing w:after="0"/>
              <w:rPr>
                <w:sz w:val="22"/>
                <w:szCs w:val="22"/>
                <w:color w:val="auto"/>
              </w:rPr>
            </w:pP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20"/>
                <w:szCs w:val="20"/>
                <w:color w:val="auto"/>
              </w:rPr>
              <w:t>May 6, 2025</w:t>
            </w:r>
          </w:p>
        </w:tc>
      </w:tr>
      <w:tr>
        <w:trPr>
          <w:trHeight w:val="244"/>
        </w:trPr>
        <w:tc>
          <w:tcPr>
            <w:tcW w:w="8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1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86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Keith Jennings</w:t>
            </w:r>
          </w:p>
        </w:tc>
        <w:tc>
          <w:tcPr>
            <w:tcW w:w="1840" w:type="dxa"/>
            <w:vAlign w:val="bottom"/>
            <w:tcBorders>
              <w:bottom w:val="single" w:sz="8" w:color="auto"/>
            </w:tcBorders>
          </w:tcPr>
          <w:p>
            <w:pPr>
              <w:spacing w:after="0"/>
              <w:rPr>
                <w:sz w:val="24"/>
                <w:szCs w:val="24"/>
                <w:color w:val="auto"/>
              </w:rPr>
            </w:pP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20"/>
                <w:szCs w:val="20"/>
                <w:color w:val="auto"/>
              </w:rPr>
              <w:t>May 6, 2025</w:t>
            </w:r>
          </w:p>
        </w:tc>
      </w:tr>
      <w:tr>
        <w:trPr>
          <w:trHeight w:val="244"/>
        </w:trPr>
        <w:tc>
          <w:tcPr>
            <w:tcW w:w="8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H. Keith Jennings</w:t>
            </w:r>
          </w:p>
        </w:tc>
        <w:tc>
          <w:tcPr>
            <w:tcW w:w="1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61"/>
        </w:trPr>
        <w:tc>
          <w:tcPr>
            <w:tcW w:w="86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18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1066"/>
        </w:trPr>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40" w:type="dxa"/>
            <w:vAlign w:val="bottom"/>
          </w:tcPr>
          <w:p>
            <w:pPr>
              <w:jc w:val="right"/>
              <w:ind w:right="201"/>
              <w:spacing w:after="0"/>
              <w:rPr>
                <w:sz w:val="20"/>
                <w:szCs w:val="20"/>
                <w:color w:val="auto"/>
              </w:rPr>
            </w:pPr>
            <w:r>
              <w:rPr>
                <w:rFonts w:ascii="Arial" w:cs="Arial" w:eastAsia="Arial" w:hAnsi="Arial"/>
                <w:sz w:val="20"/>
                <w:szCs w:val="20"/>
                <w:color w:val="auto"/>
              </w:rPr>
              <w:t>45</w:t>
            </w:r>
          </w:p>
        </w:tc>
        <w:tc>
          <w:tcPr>
            <w:tcW w:w="206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1120"/>
          </w:cols>
          <w:pgMar w:left="320" w:top="1317" w:right="459" w:bottom="1440" w:gutter="0" w:footer="0" w:header="0"/>
        </w:sectPr>
      </w:pPr>
    </w:p>
    <w:bookmarkStart w:id="50" w:name="page51"/>
    <w:bookmarkEnd w:id="5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1"/>
          <w:szCs w:val="21"/>
          <w:b w:val="1"/>
          <w:bCs w:val="1"/>
          <w:color w:val="auto"/>
        </w:rPr>
        <w:t>Exhibit 10.1</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December 29, 2024</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Dear Gina,</w:t>
      </w: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It is a pleasure to extend to you an offer of employment with Array Tech, Inc., a New Mexico corporation (together with its parent and subsidiary entities,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I look forward to your contribution and success as </w:t>
      </w:r>
      <w:r>
        <w:rPr>
          <w:rFonts w:ascii="Arial" w:cs="Arial" w:eastAsia="Arial" w:hAnsi="Arial"/>
          <w:sz w:val="20"/>
          <w:szCs w:val="20"/>
          <w:b w:val="1"/>
          <w:bCs w:val="1"/>
          <w:color w:val="auto"/>
        </w:rPr>
        <w:t>Chief Legal Officer and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Corporate Secretary </w:t>
      </w:r>
      <w:r>
        <w:rPr>
          <w:rFonts w:ascii="Arial" w:cs="Arial" w:eastAsia="Arial" w:hAnsi="Arial"/>
          <w:sz w:val="20"/>
          <w:szCs w:val="20"/>
          <w:color w:val="auto"/>
        </w:rPr>
        <w:t>of the Company, reporting to the Chief Executive Officer and based in our Chandler, Arizona office.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accepting this offer, you agree to devote your full professional time and attention to the business of the Company and to faithfully, diligently, and competently perform your duties hereunder. During your employment with the Company, you shall have the normal duties, responsibilities, functions, and authority customarily exercised by the </w:t>
      </w:r>
      <w:r>
        <w:rPr>
          <w:rFonts w:ascii="Arial" w:cs="Arial" w:eastAsia="Arial" w:hAnsi="Arial"/>
          <w:sz w:val="20"/>
          <w:szCs w:val="20"/>
          <w:b w:val="1"/>
          <w:bCs w:val="1"/>
          <w:color w:val="auto"/>
        </w:rPr>
        <w:t>Chief Legal Officer and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Corporate Secretary </w:t>
      </w:r>
      <w:r>
        <w:rPr>
          <w:rFonts w:ascii="Arial" w:cs="Arial" w:eastAsia="Arial" w:hAnsi="Arial"/>
          <w:sz w:val="20"/>
          <w:szCs w:val="20"/>
          <w:color w:val="auto"/>
        </w:rPr>
        <w:t>of a publicly listed company of similar size and nature as the Company, subject to the power and</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of the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of the Company to expand or limit such duties, responsibilities, functions, and authority. While employed by the Company, you agree not to serve as an officer, director, employee, consultant, or advisor to any other business (with or without compensation) without the Company’s prior written consent.</w:t>
      </w:r>
    </w:p>
    <w:p>
      <w:pPr>
        <w:spacing w:after="0" w:line="170" w:lineRule="exact"/>
        <w:rPr>
          <w:sz w:val="20"/>
          <w:szCs w:val="20"/>
          <w:color w:val="auto"/>
        </w:rPr>
      </w:pPr>
    </w:p>
    <w:p>
      <w:pPr>
        <w:ind w:right="740"/>
        <w:spacing w:after="0" w:line="273" w:lineRule="auto"/>
        <w:rPr>
          <w:sz w:val="20"/>
          <w:szCs w:val="20"/>
          <w:color w:val="auto"/>
        </w:rPr>
      </w:pPr>
      <w:r>
        <w:rPr>
          <w:rFonts w:ascii="Arial" w:cs="Arial" w:eastAsia="Arial" w:hAnsi="Arial"/>
          <w:sz w:val="21"/>
          <w:szCs w:val="21"/>
          <w:color w:val="auto"/>
        </w:rPr>
        <w:t>The information below summarizes various employment details and benefits to which you will be entitled upon your acceptance of this offer and commencement of employment with the Company.</w:t>
      </w:r>
    </w:p>
    <w:p>
      <w:pPr>
        <w:spacing w:after="0" w:line="168"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Effective Date of New Role</w:t>
      </w:r>
    </w:p>
    <w:p>
      <w:pPr>
        <w:spacing w:after="0" w:line="216" w:lineRule="exact"/>
        <w:rPr>
          <w:sz w:val="20"/>
          <w:szCs w:val="20"/>
          <w:color w:val="auto"/>
        </w:rPr>
      </w:pPr>
    </w:p>
    <w:p>
      <w:pPr>
        <w:ind w:right="20"/>
        <w:spacing w:after="0" w:line="296" w:lineRule="auto"/>
        <w:rPr>
          <w:sz w:val="20"/>
          <w:szCs w:val="20"/>
          <w:color w:val="auto"/>
        </w:rPr>
      </w:pPr>
      <w:r>
        <w:rPr>
          <w:rFonts w:ascii="Arial" w:cs="Arial" w:eastAsia="Arial" w:hAnsi="Arial"/>
          <w:sz w:val="21"/>
          <w:szCs w:val="21"/>
          <w:color w:val="auto"/>
        </w:rPr>
        <w:t xml:space="preserve">The effective date of the new role is </w:t>
      </w:r>
      <w:r>
        <w:rPr>
          <w:rFonts w:ascii="Arial" w:cs="Arial" w:eastAsia="Arial" w:hAnsi="Arial"/>
          <w:sz w:val="21"/>
          <w:szCs w:val="21"/>
          <w:b w:val="1"/>
          <w:bCs w:val="1"/>
          <w:color w:val="auto"/>
        </w:rPr>
        <w:t>January 27, 2025</w:t>
      </w:r>
      <w:r>
        <w:rPr>
          <w:rFonts w:ascii="Arial" w:cs="Arial" w:eastAsia="Arial" w:hAnsi="Arial"/>
          <w:sz w:val="21"/>
          <w:szCs w:val="21"/>
          <w:color w:val="auto"/>
        </w:rPr>
        <w:t xml:space="preserve">. Please return a signed copy of the offer letter with your acceptance on or before </w:t>
      </w:r>
      <w:r>
        <w:rPr>
          <w:rFonts w:ascii="Arial" w:cs="Arial" w:eastAsia="Arial" w:hAnsi="Arial"/>
          <w:sz w:val="21"/>
          <w:szCs w:val="21"/>
          <w:b w:val="1"/>
          <w:bCs w:val="1"/>
          <w:color w:val="auto"/>
        </w:rPr>
        <w:t>December 30, 2024</w:t>
      </w:r>
      <w:r>
        <w:rPr>
          <w:rFonts w:ascii="Arial" w:cs="Arial" w:eastAsia="Arial" w:hAnsi="Arial"/>
          <w:sz w:val="21"/>
          <w:szCs w:val="21"/>
          <w:color w:val="auto"/>
        </w:rPr>
        <w:t>.</w:t>
      </w:r>
    </w:p>
    <w:p>
      <w:pPr>
        <w:spacing w:after="0" w:line="122"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Base Salary</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Your annual base salary (as adjusted from time to time, “</w:t>
      </w:r>
      <w:r>
        <w:rPr>
          <w:rFonts w:ascii="Arial" w:cs="Arial" w:eastAsia="Arial" w:hAnsi="Arial"/>
          <w:sz w:val="21"/>
          <w:szCs w:val="21"/>
          <w:u w:val="single" w:color="auto"/>
          <w:color w:val="auto"/>
        </w:rPr>
        <w:t>Salary</w:t>
      </w:r>
      <w:r>
        <w:rPr>
          <w:rFonts w:ascii="Arial" w:cs="Arial" w:eastAsia="Arial" w:hAnsi="Arial"/>
          <w:sz w:val="21"/>
          <w:szCs w:val="21"/>
          <w:color w:val="auto"/>
        </w:rPr>
        <w:t>”) during your employment with the Company will be</w:t>
      </w:r>
    </w:p>
    <w:p>
      <w:pPr>
        <w:spacing w:after="0" w:line="32" w:lineRule="exact"/>
        <w:rPr>
          <w:sz w:val="20"/>
          <w:szCs w:val="20"/>
          <w:color w:val="auto"/>
        </w:rPr>
      </w:pPr>
    </w:p>
    <w:p>
      <w:pPr>
        <w:ind w:right="120"/>
        <w:spacing w:after="0" w:line="251" w:lineRule="auto"/>
        <w:rPr>
          <w:sz w:val="20"/>
          <w:szCs w:val="20"/>
          <w:color w:val="auto"/>
        </w:rPr>
      </w:pPr>
      <w:r>
        <w:rPr>
          <w:rFonts w:ascii="Arial" w:cs="Arial" w:eastAsia="Arial" w:hAnsi="Arial"/>
          <w:sz w:val="21"/>
          <w:szCs w:val="21"/>
          <w:b w:val="1"/>
          <w:bCs w:val="1"/>
          <w:color w:val="auto"/>
        </w:rPr>
        <w:t>$445,000</w:t>
      </w:r>
      <w:r>
        <w:rPr>
          <w:rFonts w:ascii="Arial" w:cs="Arial" w:eastAsia="Arial" w:hAnsi="Arial"/>
          <w:sz w:val="21"/>
          <w:szCs w:val="21"/>
          <w:color w:val="auto"/>
        </w:rPr>
        <w:t>, paid periodically in accordance with the Company’s normal payroll practice for salaried employees. For any</w:t>
      </w:r>
      <w:r>
        <w:rPr>
          <w:rFonts w:ascii="Arial" w:cs="Arial" w:eastAsia="Arial" w:hAnsi="Arial"/>
          <w:sz w:val="21"/>
          <w:szCs w:val="21"/>
          <w:b w:val="1"/>
          <w:bCs w:val="1"/>
          <w:color w:val="auto"/>
        </w:rPr>
        <w:t xml:space="preserve"> </w:t>
      </w:r>
      <w:r>
        <w:rPr>
          <w:rFonts w:ascii="Arial" w:cs="Arial" w:eastAsia="Arial" w:hAnsi="Arial"/>
          <w:sz w:val="21"/>
          <w:szCs w:val="21"/>
          <w:color w:val="auto"/>
        </w:rPr>
        <w:t>partial years of employment, the Salary shall be prorated based on your time at the Company. Your annual base salary may be adjusted based on your individual performance, as determined by the Board or the Human Capital Committee thereof (the “</w:t>
      </w:r>
      <w:r>
        <w:rPr>
          <w:rFonts w:ascii="Arial" w:cs="Arial" w:eastAsia="Arial" w:hAnsi="Arial"/>
          <w:sz w:val="21"/>
          <w:szCs w:val="21"/>
          <w:u w:val="single" w:color="auto"/>
          <w:color w:val="auto"/>
        </w:rPr>
        <w:t>Human Capital Committee</w:t>
      </w:r>
      <w:r>
        <w:rPr>
          <w:rFonts w:ascii="Arial" w:cs="Arial" w:eastAsia="Arial" w:hAnsi="Arial"/>
          <w:sz w:val="21"/>
          <w:szCs w:val="21"/>
          <w:color w:val="auto"/>
        </w:rPr>
        <w:t xml:space="preserve">”). You will be eligible for an adjustment to your base salary beginning in </w:t>
      </w:r>
      <w:r>
        <w:rPr>
          <w:rFonts w:ascii="Arial" w:cs="Arial" w:eastAsia="Arial" w:hAnsi="Arial"/>
          <w:sz w:val="21"/>
          <w:szCs w:val="21"/>
          <w:b w:val="1"/>
          <w:bCs w:val="1"/>
          <w:color w:val="auto"/>
        </w:rPr>
        <w:t>March of</w:t>
      </w:r>
      <w:r>
        <w:rPr>
          <w:rFonts w:ascii="Arial" w:cs="Arial" w:eastAsia="Arial" w:hAnsi="Arial"/>
          <w:sz w:val="21"/>
          <w:szCs w:val="21"/>
          <w:color w:val="auto"/>
        </w:rPr>
        <w:t xml:space="preserve"> </w:t>
      </w:r>
      <w:r>
        <w:rPr>
          <w:rFonts w:ascii="Arial" w:cs="Arial" w:eastAsia="Arial" w:hAnsi="Arial"/>
          <w:sz w:val="21"/>
          <w:szCs w:val="21"/>
          <w:b w:val="1"/>
          <w:bCs w:val="1"/>
          <w:color w:val="auto"/>
        </w:rPr>
        <w:t>2026</w:t>
      </w:r>
      <w:r>
        <w:rPr>
          <w:rFonts w:ascii="Arial" w:cs="Arial" w:eastAsia="Arial" w:hAnsi="Arial"/>
          <w:sz w:val="21"/>
          <w:szCs w:val="21"/>
          <w:color w:val="auto"/>
        </w:rPr>
        <w:t>.</w:t>
      </w:r>
    </w:p>
    <w:p>
      <w:pPr>
        <w:spacing w:after="0" w:line="180"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Annual Bonus</w:t>
      </w: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color w:val="auto"/>
        </w:rPr>
        <w:t>Your annual bonus target (as adjusted from time to time, the “</w:t>
      </w:r>
      <w:r>
        <w:rPr>
          <w:rFonts w:ascii="Arial" w:cs="Arial" w:eastAsia="Arial" w:hAnsi="Arial"/>
          <w:sz w:val="20"/>
          <w:szCs w:val="20"/>
          <w:u w:val="single" w:color="auto"/>
          <w:color w:val="auto"/>
        </w:rPr>
        <w:t>Annual Bonus</w:t>
      </w:r>
      <w:r>
        <w:rPr>
          <w:rFonts w:ascii="Arial" w:cs="Arial" w:eastAsia="Arial" w:hAnsi="Arial"/>
          <w:sz w:val="20"/>
          <w:szCs w:val="20"/>
          <w:color w:val="auto"/>
        </w:rPr>
        <w:t xml:space="preserve">”) will be </w:t>
      </w:r>
      <w:r>
        <w:rPr>
          <w:rFonts w:ascii="Arial" w:cs="Arial" w:eastAsia="Arial" w:hAnsi="Arial"/>
          <w:sz w:val="20"/>
          <w:szCs w:val="20"/>
          <w:b w:val="1"/>
          <w:bCs w:val="1"/>
          <w:color w:val="auto"/>
        </w:rPr>
        <w:t>65%</w:t>
      </w:r>
      <w:r>
        <w:rPr>
          <w:rFonts w:ascii="Arial" w:cs="Arial" w:eastAsia="Arial" w:hAnsi="Arial"/>
          <w:sz w:val="20"/>
          <w:szCs w:val="20"/>
          <w:color w:val="auto"/>
        </w:rPr>
        <w:t xml:space="preserve"> of your Salary and will be based on Company performance metrics in addition to your individual performance, as determined by the Board or the Human Capital Committee thereof (the “</w:t>
      </w:r>
      <w:r>
        <w:rPr>
          <w:rFonts w:ascii="Arial" w:cs="Arial" w:eastAsia="Arial" w:hAnsi="Arial"/>
          <w:sz w:val="20"/>
          <w:szCs w:val="20"/>
          <w:u w:val="single" w:color="auto"/>
          <w:color w:val="auto"/>
        </w:rPr>
        <w:t>Human Capital Committee</w:t>
      </w:r>
      <w:r>
        <w:rPr>
          <w:rFonts w:ascii="Arial" w:cs="Arial" w:eastAsia="Arial" w:hAnsi="Arial"/>
          <w:sz w:val="20"/>
          <w:szCs w:val="20"/>
          <w:color w:val="auto"/>
        </w:rPr>
        <w:t xml:space="preserve">”). Bonuses are awarded at the sole discretion of the Company. Your participation in the Annual Bonus Program will be effective </w:t>
      </w:r>
      <w:r>
        <w:rPr>
          <w:rFonts w:ascii="Arial" w:cs="Arial" w:eastAsia="Arial" w:hAnsi="Arial"/>
          <w:sz w:val="20"/>
          <w:szCs w:val="20"/>
          <w:b w:val="1"/>
          <w:bCs w:val="1"/>
          <w:color w:val="auto"/>
        </w:rPr>
        <w:t>January 27, 2025</w:t>
      </w:r>
      <w:r>
        <w:rPr>
          <w:rFonts w:ascii="Arial" w:cs="Arial" w:eastAsia="Arial" w:hAnsi="Arial"/>
          <w:sz w:val="20"/>
          <w:szCs w:val="20"/>
          <w:color w:val="auto"/>
        </w:rPr>
        <w:t>, with the 2025 bonus plan 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Additionally, you will be eligible for the following:</w:t>
      </w:r>
    </w:p>
    <w:p>
      <w:pPr>
        <w:spacing w:after="0" w:line="218" w:lineRule="exact"/>
        <w:rPr>
          <w:sz w:val="20"/>
          <w:szCs w:val="20"/>
          <w:color w:val="auto"/>
        </w:rPr>
      </w:pPr>
    </w:p>
    <w:p>
      <w:pPr>
        <w:ind w:left="660" w:right="120" w:hanging="328"/>
        <w:spacing w:after="0" w:line="256" w:lineRule="auto"/>
        <w:tabs>
          <w:tab w:leader="none" w:pos="650"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You will be eligible to receive the equivalent of your 2024 target annual bonus. The bonus payment of </w:t>
      </w:r>
      <w:r>
        <w:rPr>
          <w:rFonts w:ascii="Arial" w:cs="Arial" w:eastAsia="Arial" w:hAnsi="Arial"/>
          <w:sz w:val="21"/>
          <w:szCs w:val="21"/>
          <w:b w:val="1"/>
          <w:bCs w:val="1"/>
          <w:color w:val="auto"/>
        </w:rPr>
        <w:t>$270,000,</w:t>
      </w:r>
      <w:r>
        <w:rPr>
          <w:rFonts w:ascii="Arial" w:cs="Arial" w:eastAsia="Arial" w:hAnsi="Arial"/>
          <w:sz w:val="21"/>
          <w:szCs w:val="21"/>
          <w:color w:val="auto"/>
        </w:rPr>
        <w:t xml:space="preserve"> subject to applicable withholdings will be made in March 2025 with Array annual bonus payments. If you leave the Company within 24 months of the bonus payment dates because of a Voluntary Resignation without Good Reason or discharge for Cause, you will be required to repay your cash bonus payments. Any such repayments will be payable immediately in a lump sum at your termination of active employment.</w:t>
      </w:r>
    </w:p>
    <w:p>
      <w:pPr>
        <w:spacing w:after="0" w:line="170" w:lineRule="exact"/>
        <w:rPr>
          <w:sz w:val="20"/>
          <w:szCs w:val="20"/>
          <w:color w:val="auto"/>
        </w:rPr>
      </w:pPr>
    </w:p>
    <w:p>
      <w:pPr>
        <w:ind w:left="660" w:hanging="328"/>
        <w:spacing w:after="0" w:line="250" w:lineRule="auto"/>
        <w:tabs>
          <w:tab w:leader="none" w:pos="653"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You will be eligible to receive two (2) one-time cash bonus payments of </w:t>
      </w:r>
      <w:r>
        <w:rPr>
          <w:rFonts w:ascii="Arial" w:cs="Arial" w:eastAsia="Arial" w:hAnsi="Arial"/>
          <w:sz w:val="21"/>
          <w:szCs w:val="21"/>
          <w:b w:val="1"/>
          <w:bCs w:val="1"/>
          <w:color w:val="auto"/>
        </w:rPr>
        <w:t>$87,500 each</w:t>
      </w:r>
      <w:r>
        <w:rPr>
          <w:rFonts w:ascii="Arial" w:cs="Arial" w:eastAsia="Arial" w:hAnsi="Arial"/>
          <w:sz w:val="21"/>
          <w:szCs w:val="21"/>
          <w:color w:val="auto"/>
        </w:rPr>
        <w:t xml:space="preserve">, minus any applicable withholdings. The two one-time payments equal $175,000 in total (the “Buyout Bonus”) in recognition of certain unvested awards granted but forfeited under your prior employer’s long-term incentive plan (the “Forfeited LTI Awards”). The first cash bonus of </w:t>
      </w:r>
      <w:r>
        <w:rPr>
          <w:rFonts w:ascii="Arial" w:cs="Arial" w:eastAsia="Arial" w:hAnsi="Arial"/>
          <w:sz w:val="21"/>
          <w:szCs w:val="21"/>
          <w:b w:val="1"/>
          <w:bCs w:val="1"/>
          <w:color w:val="auto"/>
        </w:rPr>
        <w:t>$87,500</w:t>
      </w:r>
      <w:r>
        <w:rPr>
          <w:rFonts w:ascii="Arial" w:cs="Arial" w:eastAsia="Arial" w:hAnsi="Arial"/>
          <w:sz w:val="21"/>
          <w:szCs w:val="21"/>
          <w:color w:val="auto"/>
        </w:rPr>
        <w:t xml:space="preserve"> will be payable with or prior to your second regularly scheduled payroll date subject to applicable withholdings. The second cash bonus of </w:t>
      </w:r>
      <w:r>
        <w:rPr>
          <w:rFonts w:ascii="Arial" w:cs="Arial" w:eastAsia="Arial" w:hAnsi="Arial"/>
          <w:sz w:val="21"/>
          <w:szCs w:val="21"/>
          <w:b w:val="1"/>
          <w:bCs w:val="1"/>
          <w:color w:val="auto"/>
        </w:rPr>
        <w:t>$87,500</w:t>
      </w:r>
      <w:r>
        <w:rPr>
          <w:rFonts w:ascii="Arial" w:cs="Arial" w:eastAsia="Arial" w:hAnsi="Arial"/>
          <w:sz w:val="21"/>
          <w:szCs w:val="21"/>
          <w:color w:val="auto"/>
        </w:rPr>
        <w:t xml:space="preserve"> will be payable six (6) months following your employment start date and subject to applicable withholdings. If you leave the Company within 24 months of your start date because of a Voluntary Resignation without Good Reason or discharge for Cause, you will be required to repay the one-time cash bonus amount of $175,000. Any such repayment will be payable immediately in a lump sum at your termination of active employment.</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21"/>
          <w:szCs w:val="21"/>
          <w:color w:val="auto"/>
        </w:rPr>
        <w:t xml:space="preserve">You will receive a one-time cash bonus of </w:t>
      </w:r>
      <w:r>
        <w:rPr>
          <w:rFonts w:ascii="Arial" w:cs="Arial" w:eastAsia="Arial" w:hAnsi="Arial"/>
          <w:sz w:val="21"/>
          <w:szCs w:val="21"/>
          <w:b w:val="1"/>
          <w:bCs w:val="1"/>
          <w:color w:val="auto"/>
        </w:rPr>
        <w:t>$100,000</w:t>
      </w:r>
      <w:r>
        <w:rPr>
          <w:rFonts w:ascii="Arial" w:cs="Arial" w:eastAsia="Arial" w:hAnsi="Arial"/>
          <w:sz w:val="21"/>
          <w:szCs w:val="21"/>
          <w:color w:val="auto"/>
        </w:rPr>
        <w:t xml:space="preserve"> to assist with relocation expenses associated with your physical and timely relocation to the Greater Phoenix Area (“</w:t>
      </w:r>
      <w:r>
        <w:rPr>
          <w:rFonts w:ascii="Arial" w:cs="Arial" w:eastAsia="Arial" w:hAnsi="Arial"/>
          <w:sz w:val="21"/>
          <w:szCs w:val="21"/>
          <w:u w:val="single" w:color="auto"/>
          <w:color w:val="auto"/>
        </w:rPr>
        <w:t>relocation bonus</w:t>
      </w:r>
      <w:r>
        <w:rPr>
          <w:rFonts w:ascii="Arial" w:cs="Arial" w:eastAsia="Arial" w:hAnsi="Arial"/>
          <w:sz w:val="21"/>
          <w:szCs w:val="21"/>
          <w:color w:val="auto"/>
        </w:rPr>
        <w:t>”), subject to applicable withholdings and payable upon the initiation of your relocation process. If your employment is terminated for Cause or you voluntarily resign without Good Reason on or prior to the 18-month anniversary of the date of your relocation to the Greater Phoenix Area, you will be required to repay to the Company the amount of the relocation package, as applicable, within 30 days of the termination of your employment.</w:t>
      </w:r>
    </w:p>
    <w:p>
      <w:pPr>
        <w:spacing w:after="0" w:line="176"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Long Term Incentives</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In this role, you will be eligible to receive an annual grant under the Company’s Long Term Incentive Plan (the “</w:t>
      </w:r>
      <w:r>
        <w:rPr>
          <w:rFonts w:ascii="Arial" w:cs="Arial" w:eastAsia="Arial" w:hAnsi="Arial"/>
          <w:sz w:val="21"/>
          <w:szCs w:val="21"/>
          <w:u w:val="single" w:color="auto"/>
          <w:color w:val="auto"/>
        </w:rPr>
        <w:t>LTIP</w:t>
      </w:r>
      <w:r>
        <w:rPr>
          <w:rFonts w:ascii="Arial" w:cs="Arial" w:eastAsia="Arial" w:hAnsi="Arial"/>
          <w:sz w:val="21"/>
          <w:szCs w:val="21"/>
          <w:color w:val="auto"/>
        </w:rPr>
        <w:t xml:space="preserve">”), in the discretion of the Board or the Human Capital Committee thereof. Effective in March 2025, and subject to approval by the Board or the Human Capital Committee, you will be eligible to receive an equity grant with a grant date fair value of </w:t>
      </w:r>
      <w:r>
        <w:rPr>
          <w:rFonts w:ascii="Arial" w:cs="Arial" w:eastAsia="Arial" w:hAnsi="Arial"/>
          <w:sz w:val="21"/>
          <w:szCs w:val="21"/>
          <w:b w:val="1"/>
          <w:bCs w:val="1"/>
          <w:color w:val="auto"/>
        </w:rPr>
        <w:t>$760,000</w:t>
      </w:r>
      <w:r>
        <w:rPr>
          <w:rFonts w:ascii="Arial" w:cs="Arial" w:eastAsia="Arial" w:hAnsi="Arial"/>
          <w:sz w:val="21"/>
          <w:szCs w:val="21"/>
          <w:color w:val="auto"/>
        </w:rPr>
        <w:t>. 50% of the annual equity grant will be in the form of Performance Stock Units (“</w:t>
      </w:r>
      <w:r>
        <w:rPr>
          <w:rFonts w:ascii="Arial" w:cs="Arial" w:eastAsia="Arial" w:hAnsi="Arial"/>
          <w:sz w:val="21"/>
          <w:szCs w:val="21"/>
          <w:u w:val="single" w:color="auto"/>
          <w:color w:val="auto"/>
        </w:rPr>
        <w:t>PSUs</w:t>
      </w:r>
      <w:r>
        <w:rPr>
          <w:rFonts w:ascii="Arial" w:cs="Arial" w:eastAsia="Arial" w:hAnsi="Arial"/>
          <w:sz w:val="21"/>
          <w:szCs w:val="21"/>
          <w:color w:val="auto"/>
        </w:rPr>
        <w:t>”) subject to cliff vesting</w:t>
      </w:r>
      <w:r>
        <w:rPr>
          <w:rFonts w:ascii="Arial" w:cs="Arial" w:eastAsia="Arial" w:hAnsi="Arial"/>
          <w:sz w:val="21"/>
          <w:szCs w:val="21"/>
          <w:b w:val="1"/>
          <w:bCs w:val="1"/>
          <w:color w:val="auto"/>
        </w:rPr>
        <w:t xml:space="preserve"> </w:t>
      </w:r>
      <w:r>
        <w:rPr>
          <w:rFonts w:ascii="Arial" w:cs="Arial" w:eastAsia="Arial" w:hAnsi="Arial"/>
          <w:sz w:val="21"/>
          <w:szCs w:val="21"/>
          <w:color w:val="auto"/>
        </w:rPr>
        <w:t>after a three-year performance period (fiscal years 2025 to 2027, inclusive) contingent upon the achievement of certain Company performance criteria determined by the Board or the Human Capital Committee and set forth in the award agreement evidencing the PSUs, and 50% of the equity grant will be in the form of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vesting in three equal annual installments beginning on the first anniversary of the grant date, in each case subject to your continued employment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 xml:space="preserve">Additionally, you will receive on or about </w:t>
      </w:r>
      <w:r>
        <w:rPr>
          <w:rFonts w:ascii="Arial" w:cs="Arial" w:eastAsia="Arial" w:hAnsi="Arial"/>
          <w:sz w:val="21"/>
          <w:szCs w:val="21"/>
          <w:b w:val="1"/>
          <w:bCs w:val="1"/>
          <w:color w:val="auto"/>
        </w:rPr>
        <w:t>January 27, 2025</w:t>
      </w:r>
      <w:r>
        <w:rPr>
          <w:rFonts w:ascii="Arial" w:cs="Arial" w:eastAsia="Arial" w:hAnsi="Arial"/>
          <w:sz w:val="21"/>
          <w:szCs w:val="21"/>
          <w:color w:val="auto"/>
        </w:rPr>
        <w:t>:</w:t>
      </w:r>
    </w:p>
    <w:p>
      <w:pPr>
        <w:spacing w:after="0" w:line="218" w:lineRule="exact"/>
        <w:rPr>
          <w:sz w:val="20"/>
          <w:szCs w:val="20"/>
          <w:color w:val="auto"/>
        </w:rPr>
      </w:pPr>
    </w:p>
    <w:p>
      <w:pPr>
        <w:ind w:left="660" w:hanging="328"/>
        <w:spacing w:after="0" w:line="264" w:lineRule="auto"/>
        <w:tabs>
          <w:tab w:leader="none" w:pos="652"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an initial equity grant with a grant date fair value of </w:t>
      </w:r>
      <w:r>
        <w:rPr>
          <w:rFonts w:ascii="Arial" w:cs="Arial" w:eastAsia="Arial" w:hAnsi="Arial"/>
          <w:sz w:val="21"/>
          <w:szCs w:val="21"/>
          <w:b w:val="1"/>
          <w:bCs w:val="1"/>
          <w:color w:val="auto"/>
        </w:rPr>
        <w:t>$300,000</w:t>
      </w:r>
      <w:r>
        <w:rPr>
          <w:rFonts w:ascii="Arial" w:cs="Arial" w:eastAsia="Arial" w:hAnsi="Arial"/>
          <w:sz w:val="21"/>
          <w:szCs w:val="21"/>
          <w:color w:val="auto"/>
        </w:rPr>
        <w:t xml:space="preserve"> in the form of RSUs, vesting in three equal annual installments beginning on the first anniversary of the grant date, in each case subject to your continued employment with the Company through the applicable vesting date.</w:t>
      </w:r>
    </w:p>
    <w:p>
      <w:pPr>
        <w:spacing w:after="0" w:line="175" w:lineRule="exact"/>
        <w:rPr>
          <w:sz w:val="20"/>
          <w:szCs w:val="20"/>
          <w:color w:val="auto"/>
        </w:rPr>
      </w:pPr>
    </w:p>
    <w:p>
      <w:pPr>
        <w:ind w:left="660" w:right="100" w:hanging="328"/>
        <w:spacing w:after="0" w:line="257" w:lineRule="auto"/>
        <w:tabs>
          <w:tab w:leader="none" w:pos="657"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RSUs will be subject to the LTIP and the terms of the award agreements evidencing such awards. In the event of a conflict between the terms of this letter agreement and the LTIP or award agreement(s), the LTIP or award agreement(s) will control.</w:t>
      </w:r>
    </w:p>
    <w:p>
      <w:pPr>
        <w:spacing w:after="0" w:line="184" w:lineRule="exact"/>
        <w:rPr>
          <w:rFonts w:ascii="Arial" w:cs="Arial" w:eastAsia="Arial" w:hAnsi="Arial"/>
          <w:sz w:val="21"/>
          <w:szCs w:val="21"/>
          <w:color w:val="auto"/>
        </w:rPr>
      </w:pPr>
    </w:p>
    <w:p>
      <w:pPr>
        <w:ind w:left="420" w:hanging="412"/>
        <w:spacing w:after="0"/>
        <w:tabs>
          <w:tab w:leader="none" w:pos="420" w:val="left"/>
        </w:tabs>
        <w:numPr>
          <w:ilvl w:val="0"/>
          <w:numId w:val="32"/>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Benefits and D&amp;O Coverage</w:t>
      </w:r>
    </w:p>
    <w:p>
      <w:pPr>
        <w:spacing w:after="0" w:line="216" w:lineRule="exact"/>
        <w:rPr>
          <w:sz w:val="20"/>
          <w:szCs w:val="20"/>
          <w:color w:val="auto"/>
        </w:rPr>
      </w:pPr>
    </w:p>
    <w:p>
      <w:pPr>
        <w:ind w:right="260"/>
        <w:spacing w:after="0" w:line="256" w:lineRule="auto"/>
        <w:rPr>
          <w:sz w:val="20"/>
          <w:szCs w:val="20"/>
          <w:color w:val="auto"/>
        </w:rPr>
      </w:pPr>
      <w:r>
        <w:rPr>
          <w:rFonts w:ascii="Arial" w:cs="Arial" w:eastAsia="Arial" w:hAnsi="Arial"/>
          <w:sz w:val="21"/>
          <w:szCs w:val="21"/>
          <w:color w:val="auto"/>
        </w:rPr>
        <w:t>Effective on the first day of employment with the Company, you will be entitled to participate in each of the benefit plans made available by the Company to its salaried employees, on terms no less favorable than those applicable to other salaried employees. Participation in Company benefit plans will be governed by and subject to the terms, conditions and overall administration of such plans.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You will also be covered under all the Company’s applicable director and officer (“</w:t>
      </w:r>
      <w:r>
        <w:rPr>
          <w:rFonts w:ascii="Arial" w:cs="Arial" w:eastAsia="Arial" w:hAnsi="Arial"/>
          <w:sz w:val="21"/>
          <w:szCs w:val="21"/>
          <w:u w:val="single" w:color="auto"/>
          <w:color w:val="auto"/>
        </w:rPr>
        <w:t>D&amp;O</w:t>
      </w:r>
      <w:r>
        <w:rPr>
          <w:rFonts w:ascii="Arial" w:cs="Arial" w:eastAsia="Arial" w:hAnsi="Arial"/>
          <w:sz w:val="21"/>
          <w:szCs w:val="21"/>
          <w:color w:val="auto"/>
        </w:rPr>
        <w:t>”) insurance policies and entitled to enter into the Company’s standard D&amp;O indemnification agreement on the same terms and conditions as the other directors and officers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Your disability coverage will be provided to you in two components:</w:t>
      </w:r>
    </w:p>
    <w:p>
      <w:pPr>
        <w:spacing w:after="0" w:line="218" w:lineRule="exact"/>
        <w:rPr>
          <w:sz w:val="20"/>
          <w:szCs w:val="20"/>
          <w:color w:val="auto"/>
        </w:rPr>
      </w:pPr>
    </w:p>
    <w:p>
      <w:pPr>
        <w:ind w:left="660" w:hanging="328"/>
        <w:spacing w:after="0" w:line="286" w:lineRule="auto"/>
        <w:tabs>
          <w:tab w:leader="none" w:pos="655" w:val="left"/>
        </w:tabs>
        <w:numPr>
          <w:ilvl w:val="0"/>
          <w:numId w:val="33"/>
        </w:numPr>
        <w:rPr>
          <w:rFonts w:ascii="Arial" w:cs="Arial" w:eastAsia="Arial" w:hAnsi="Arial"/>
          <w:sz w:val="21"/>
          <w:szCs w:val="21"/>
          <w:color w:val="auto"/>
        </w:rPr>
      </w:pPr>
      <w:r>
        <w:rPr>
          <w:rFonts w:ascii="Arial" w:cs="Arial" w:eastAsia="Arial" w:hAnsi="Arial"/>
          <w:sz w:val="21"/>
          <w:szCs w:val="21"/>
          <w:color w:val="auto"/>
        </w:rPr>
        <w:t>Your employer provided Group LTD benefit covers 60% of your base salary and bonus to a maximum monthly benefit of $12,500.</w:t>
      </w:r>
    </w:p>
    <w:p>
      <w:pPr>
        <w:spacing w:after="0" w:line="139" w:lineRule="exact"/>
        <w:rPr>
          <w:rFonts w:ascii="Arial" w:cs="Arial" w:eastAsia="Arial" w:hAnsi="Arial"/>
          <w:sz w:val="21"/>
          <w:szCs w:val="21"/>
          <w:color w:val="auto"/>
        </w:rPr>
      </w:pPr>
    </w:p>
    <w:p>
      <w:pPr>
        <w:ind w:left="660" w:hanging="328"/>
        <w:spacing w:after="0" w:line="273" w:lineRule="auto"/>
        <w:tabs>
          <w:tab w:leader="none" w:pos="647"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 addition, a new employer provided IDI benefit, provided through Unum, will cover 60% of your total compensation less Group LTD up to an additional $15,000 for a combined monthly maximum benefit of $27,500.</w:t>
      </w:r>
    </w:p>
    <w:p>
      <w:pPr>
        <w:spacing w:after="0" w:line="168"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Vacation; Paid Time Off</w:t>
      </w:r>
    </w:p>
    <w:p>
      <w:pPr>
        <w:spacing w:after="0" w:line="216" w:lineRule="exact"/>
        <w:rPr>
          <w:sz w:val="20"/>
          <w:szCs w:val="20"/>
          <w:color w:val="auto"/>
        </w:rPr>
      </w:pPr>
    </w:p>
    <w:p>
      <w:pPr>
        <w:ind w:right="240"/>
        <w:spacing w:after="0" w:line="253" w:lineRule="auto"/>
        <w:rPr>
          <w:sz w:val="20"/>
          <w:szCs w:val="20"/>
          <w:color w:val="auto"/>
        </w:rPr>
      </w:pPr>
      <w:r>
        <w:rPr>
          <w:rFonts w:ascii="Arial" w:cs="Arial" w:eastAsia="Arial" w:hAnsi="Arial"/>
          <w:sz w:val="21"/>
          <w:szCs w:val="21"/>
          <w:color w:val="auto"/>
        </w:rPr>
        <w:t xml:space="preserve">During your employment with the Company, you will be entitled to </w:t>
      </w:r>
      <w:r>
        <w:rPr>
          <w:rFonts w:ascii="Arial" w:cs="Arial" w:eastAsia="Arial" w:hAnsi="Arial"/>
          <w:sz w:val="21"/>
          <w:szCs w:val="21"/>
          <w:b w:val="1"/>
          <w:bCs w:val="1"/>
          <w:color w:val="auto"/>
        </w:rPr>
        <w:t>twenty (20)</w:t>
      </w:r>
      <w:r>
        <w:rPr>
          <w:rFonts w:ascii="Arial" w:cs="Arial" w:eastAsia="Arial" w:hAnsi="Arial"/>
          <w:sz w:val="21"/>
          <w:szCs w:val="21"/>
          <w:color w:val="auto"/>
        </w:rPr>
        <w:t xml:space="preserve"> days of paid time off per calendar year, accrued on a pro rata basis and available throughout a calendar year, and you shall be entitled to holidays normally paid by the Company, in each case in accordance with the Company’s policies and subject to the Company’s employee handbook, as the same may be modified from time to time. Nothing stated herein shall be interpreted to conflict with applicable wage laws requiring the payment of all accrued but unpaid paid time off at the time employment is terminated for any reason.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420" w:hanging="412"/>
        <w:spacing w:after="0"/>
        <w:tabs>
          <w:tab w:leader="none" w:pos="420" w:val="left"/>
        </w:tabs>
        <w:numPr>
          <w:ilvl w:val="0"/>
          <w:numId w:val="3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Reimbursement of Expenses</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21"/>
          <w:szCs w:val="21"/>
          <w:color w:val="auto"/>
        </w:rPr>
        <w:t>During your employment with the Company, the Company will reimburse you for all reasonable and documented out-of-pocket travel and other expenses incurred in performing duties and responsibilities under this letter agreement which are consistent with the Company’s policies in effect from time to time with respect to travel, entertainment, and other business expenses. All the Company’s reimbursement obligations pursuant to this Section 7 shall be subject to the Company’s requirements with respect to reporting and documentation of such expenses.</w:t>
      </w:r>
    </w:p>
    <w:p>
      <w:pPr>
        <w:spacing w:after="0" w:line="172"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At Will Employment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We anticipate and are hopeful of a long and fruitful relationship. Your employment by the Company will be “at will,” meaning that you and the Company may terminate your services at any time for any reason or no reason and without prior notice, except as set forth herein.</w:t>
      </w:r>
    </w:p>
    <w:p>
      <w:pPr>
        <w:spacing w:after="0" w:line="164"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Confidential Information, Non-Solicitation, Non-Disparagement and Invention Assignment</w:t>
      </w:r>
    </w:p>
    <w:p>
      <w:pPr>
        <w:spacing w:after="0" w:line="216" w:lineRule="exact"/>
        <w:rPr>
          <w:sz w:val="20"/>
          <w:szCs w:val="20"/>
          <w:color w:val="auto"/>
        </w:rPr>
      </w:pPr>
    </w:p>
    <w:p>
      <w:pPr>
        <w:ind w:right="160"/>
        <w:spacing w:after="0" w:line="264" w:lineRule="auto"/>
        <w:rPr>
          <w:sz w:val="20"/>
          <w:szCs w:val="20"/>
          <w:color w:val="auto"/>
        </w:rPr>
      </w:pPr>
      <w:r>
        <w:rPr>
          <w:rFonts w:ascii="Arial" w:cs="Arial" w:eastAsia="Arial" w:hAnsi="Arial"/>
          <w:sz w:val="21"/>
          <w:szCs w:val="21"/>
          <w:color w:val="auto"/>
        </w:rPr>
        <w:t xml:space="preserve">By your acceptance of this letter agreement, you agree to execute and abide by the “Confidential Information, Non-Disparagement and Non-Solicitation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“Employee Inventions Assignment Agreement” attached hereto </w:t>
      </w:r>
      <w:r>
        <w:rPr>
          <w:rFonts w:ascii="Arial" w:cs="Arial" w:eastAsia="Arial" w:hAnsi="Arial"/>
          <w:sz w:val="21"/>
          <w:szCs w:val="21"/>
          <w:u w:val="single" w:color="auto"/>
          <w:color w:val="auto"/>
        </w:rPr>
        <w:t>Exhibit C</w:t>
      </w:r>
      <w:r>
        <w:rPr>
          <w:rFonts w:ascii="Arial" w:cs="Arial" w:eastAsia="Arial" w:hAnsi="Arial"/>
          <w:sz w:val="21"/>
          <w:szCs w:val="21"/>
          <w:color w:val="auto"/>
        </w:rPr>
        <w:t>, which are incorporated herein by reference.</w:t>
      </w:r>
    </w:p>
    <w:p>
      <w:pPr>
        <w:spacing w:after="0" w:line="164"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Termination</w:t>
      </w:r>
    </w:p>
    <w:p>
      <w:pPr>
        <w:spacing w:after="0" w:line="22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If your employment is terminated by the Company without Cause, if you resign with Good Reason (each as defined below), or if you are terminated without Cause or resign with Good Reason within 12 months of a Change in Control (as defined in the Company’s Executive Severance Plan), you may receive severance (the “</w:t>
      </w:r>
      <w:r>
        <w:rPr>
          <w:rFonts w:ascii="Arial" w:cs="Arial" w:eastAsia="Arial" w:hAnsi="Arial"/>
          <w:sz w:val="21"/>
          <w:szCs w:val="21"/>
          <w:u w:val="single" w:color="auto"/>
          <w:color w:val="auto"/>
        </w:rPr>
        <w:t>Severance Payments</w:t>
      </w:r>
      <w:r>
        <w:rPr>
          <w:rFonts w:ascii="Arial" w:cs="Arial" w:eastAsia="Arial" w:hAnsi="Arial"/>
          <w:sz w:val="21"/>
          <w:szCs w:val="21"/>
          <w:color w:val="auto"/>
        </w:rPr>
        <w:t xml:space="preserve">”) pursuant to the terms of the Company’s Executive Severance Plan, as then in effect. As a condition precedent to your entitlement to the Severance Payments, (a) you must execute and deliver to the Company within 30 days following the termination of employment a general release substantially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General Release</w:t>
      </w:r>
      <w:r>
        <w:rPr>
          <w:rFonts w:ascii="Arial" w:cs="Arial" w:eastAsia="Arial" w:hAnsi="Arial"/>
          <w:sz w:val="21"/>
          <w:szCs w:val="21"/>
          <w:color w:val="auto"/>
        </w:rPr>
        <w:t xml:space="preserve">”), (b) the General Release must have become effective and no longer subject to revocation, (b) the General Release must not have been breached, and (c) you must not have breached any of the provisions of the attached “Confidential Information, Non-Disparagement, and Non-Solicitation Agreement” or the “Employee Inventions Assignment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Exhibit C</w:t>
      </w:r>
      <w:r>
        <w:rPr>
          <w:rFonts w:ascii="Arial" w:cs="Arial" w:eastAsia="Arial" w:hAnsi="Arial"/>
          <w:sz w:val="21"/>
          <w:szCs w:val="21"/>
          <w:color w:val="auto"/>
        </w:rPr>
        <w:t>, respectively. In addition, you must not have applied for unemployment compensation chargeable to the Company or any Company affiliate during the severance period. You shall not be entitled to any other salary, compensation, or benefits after termination of your employment, except as specifically provided in the Company’s employee benefit plans, or as required by applicable law. The Severance Payments, if any, will be paid in accordance with the Company’s severance policy, as in effect at the time your employment terminates.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means with respect to you one or more of the following: (i) the commission of a felony or other crime involving moral turpitude or the commission of any other act or omission involving dishonesty or fraud with respect to the Company or any Company affiliate or any of their customers, vendors or suppliers, (ii) reporting to work under the influence of alcohol or under the influence or in the possession of illegal drugs, (iii) substantial and repeated failure to perform duties as reasonably directed by the Board after notice of such failure and, if curable, an opportunity to permanently cure such failure within 30 days of such notice, (iv) breach of fiduciary duty, gross negligence or willful misconduct with respect to the Company or any Company affiliate, (v) a willful and material failure to observe policies or standards of the Company regarding employment practices (including nondiscrimination and sexual harassment policies) as prescribed thereby from time to time after notice of such failure and, if curable, an opportunity to permanently cure such failure within 30 days of such notice, or (vi) any breach by you of any non-competition, non-solicitation, no-hire, or confidentiality covenant between you and the Company or any Company affiliate or any material breach by you of any other provision of this letter agreement, the Company’s Executive Severance Plan, or any other agreement to which you and the Company or any Company affiliate are parties after notice of such breach and, if curable, an opportunity to permanently cure such breach within 30 days of such notice.</w:t>
      </w:r>
    </w:p>
    <w:p>
      <w:pPr>
        <w:spacing w:after="0" w:line="10"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xml:space="preserve">” means with respect to you: (i) a material reduction in your Salary without your consent, (ii) a relocation of your principal place of employment, without your consent, to a location more than 50 miles from your then-current principal place of employment (other than the relocation to the Greater Phoenix area contemplated above), or (iii) an adverse change in position or title without your consent; </w:t>
      </w:r>
      <w:r>
        <w:rPr>
          <w:rFonts w:ascii="Arial" w:cs="Arial" w:eastAsia="Arial" w:hAnsi="Arial"/>
          <w:sz w:val="20"/>
          <w:szCs w:val="20"/>
          <w:i w:val="1"/>
          <w:iCs w:val="1"/>
          <w:color w:val="auto"/>
        </w:rPr>
        <w:t>provided that</w:t>
      </w:r>
      <w:r>
        <w:rPr>
          <w:rFonts w:ascii="Arial" w:cs="Arial" w:eastAsia="Arial" w:hAnsi="Arial"/>
          <w:sz w:val="20"/>
          <w:szCs w:val="20"/>
          <w:color w:val="auto"/>
        </w:rPr>
        <w:t>, in any case, (a) written notice of your resignation for Good Reason must be delivered to the Company within 30 days after the occurrence of any such event in order for your resignation with Good Reason to be effective hereunder, (b) the Company shall have 30 days after receipt of such notice during which the Company may remedy the occurrence giving rise to the claim for Good Reason termination (if such occurrence is capable of being remedied), and, if the Company cures such occurrence within such 30- day period, there shall be no Good Reason, and (c) you must actually resign within 90 days following the event constituting Good Reason.</w:t>
      </w:r>
    </w:p>
    <w:p>
      <w:pPr>
        <w:spacing w:after="0" w:line="169"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If your employment is terminated due to your resignation without Good Reason, your disability or death or your termination by the Company for Cause, or for any other reason, the Company’s obligations hereunder shall immediately cease, except that you or your estate will be entitled to receive accrued salary and benefits through the date of termination. For purposes of this agreement, “disability” refers to your physical or mental incapacity or disability that renders you unable to substantially perform your duties and responsibilities to the Company or any Company affiliate (with or without any reasonable accommodation) (i) for 120 days in any 12-month period or (ii) for a period of 90 consecutive days in any 12-month period, subject to the provisions of applicable law.</w:t>
      </w:r>
    </w:p>
    <w:p>
      <w:pPr>
        <w:spacing w:after="0" w:line="5" w:lineRule="exact"/>
        <w:rPr>
          <w:sz w:val="20"/>
          <w:szCs w:val="20"/>
          <w:color w:val="auto"/>
        </w:rPr>
      </w:pPr>
    </w:p>
    <w:p>
      <w:pPr>
        <w:ind w:right="500"/>
        <w:spacing w:after="0" w:line="250" w:lineRule="auto"/>
        <w:rPr>
          <w:sz w:val="20"/>
          <w:szCs w:val="20"/>
          <w:color w:val="auto"/>
        </w:rPr>
      </w:pPr>
      <w:r>
        <w:rPr>
          <w:rFonts w:ascii="Arial" w:cs="Arial" w:eastAsia="Arial" w:hAnsi="Arial"/>
          <w:sz w:val="21"/>
          <w:szCs w:val="21"/>
          <w:color w:val="auto"/>
        </w:rPr>
        <w:t>If any question arises as to whether you have a Disability, then at the request of the Human Capital Committee or any delegate thereof (the “</w:t>
      </w:r>
      <w:r>
        <w:rPr>
          <w:rFonts w:ascii="Arial" w:cs="Arial" w:eastAsia="Arial" w:hAnsi="Arial"/>
          <w:sz w:val="21"/>
          <w:szCs w:val="21"/>
          <w:u w:val="single" w:color="auto"/>
          <w:color w:val="auto"/>
        </w:rPr>
        <w:t>Administrator</w:t>
      </w:r>
      <w:r>
        <w:rPr>
          <w:rFonts w:ascii="Arial" w:cs="Arial" w:eastAsia="Arial" w:hAnsi="Arial"/>
          <w:sz w:val="21"/>
          <w:szCs w:val="21"/>
          <w:color w:val="auto"/>
        </w:rPr>
        <w:t>”) you shall submit to a medical examination by a qualified third-party health care provider selected by the Administrator to determine whether you have a Disability, and such determination shall be conclusive of the issue for the purposes of this letter agreement, the Executive Severance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right="20"/>
        <w:spacing w:after="0" w:line="264" w:lineRule="auto"/>
        <w:rPr>
          <w:sz w:val="20"/>
          <w:szCs w:val="20"/>
          <w:color w:val="auto"/>
        </w:rPr>
      </w:pPr>
      <w:r>
        <w:rPr>
          <w:rFonts w:ascii="Arial" w:cs="Arial" w:eastAsia="Arial" w:hAnsi="Arial"/>
          <w:sz w:val="20"/>
          <w:szCs w:val="20"/>
          <w:color w:val="auto"/>
        </w:rPr>
        <w:t>Plan, or any other agreement to which you and the Company or any Company affiliate are parties. If such question shall arise and you shall fail to submit to such medical examination, the Administrator’s determination of the issue shall be conclusive of the issue for the purposes of this letter agreement, the Executive Severance Plan, or any other agreement to which you and the Company or any Company affiliate are parties. For the avoidance of doubt, if your employment is terminated due to any of the reasons described in this paragraph, you understand that you will not be entitled to any Severance Payments from the Company, you will not be entitled to any Annual Bonus (except for any Annual Bonus which is attributable to the fiscal year preceding the year of your termination and which had not been paid to you as of the date of your termination), and any equity award which you received from the Company but has not yet vested at the time of your termination (including any unvested portion of the initial equity grants described in Section 4 above) will be forfeited.</w:t>
      </w:r>
    </w:p>
    <w:p>
      <w:pPr>
        <w:spacing w:after="0" w:line="182" w:lineRule="exact"/>
        <w:rPr>
          <w:sz w:val="20"/>
          <w:szCs w:val="20"/>
          <w:color w:val="auto"/>
        </w:rPr>
      </w:pPr>
    </w:p>
    <w:p>
      <w:pPr>
        <w:ind w:left="560" w:hanging="552"/>
        <w:spacing w:after="0"/>
        <w:tabs>
          <w:tab w:leader="none" w:pos="560" w:val="left"/>
        </w:tabs>
        <w:numPr>
          <w:ilvl w:val="0"/>
          <w:numId w:val="3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Representations</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You hereby represent and warrant to the Company that (i) the execution, delivery, and performance of this letter agreement by you does not and shall not conflict with, breach, violate or cause a default under any contract, agreement, instrument, order, judgment or decree to which you are a party or by which you are bound, (ii) you are not a party to or bound by any employment agreement, non-compete agreement or confidentiality agreement with any person or entity other than the Company (except for confidentiality agreements disclosed to the Company prior to the date hereof, none of which would in any way limit your abilities to perform your duties to the Company), and (iii) upon the execution and delivery of this letter agreement by the Company, this letter agreement shall be the valid and binding obligation of yours, enforceable in accordance with its terms (except as such enforceability may be limited by applicable bankruptcy, insolvency or other similar laws affecting or relating to enforcement of creditors’ rights generally or general principles of equity). You hereby acknowledge and represent that you have consulted with independent legal counsel regarding your rights and obligations under this letter agreement and that you fully understand the terms and conditions contained herein.</w:t>
      </w:r>
    </w:p>
    <w:p>
      <w:pPr>
        <w:spacing w:after="0" w:line="173"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Corporate Opportunities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You shall submit to the Company all business, commercial and investment opportunities or offers presented or otherwise made available to you or of which you become aware at any time during the period of your employment which relate to the business of the Company or any Company affiliate (“</w:t>
      </w:r>
      <w:r>
        <w:rPr>
          <w:rFonts w:ascii="Arial" w:cs="Arial" w:eastAsia="Arial" w:hAnsi="Arial"/>
          <w:sz w:val="21"/>
          <w:szCs w:val="21"/>
          <w:u w:val="single" w:color="auto"/>
          <w:color w:val="auto"/>
        </w:rPr>
        <w:t>Corporate Opportunities</w:t>
      </w:r>
      <w:r>
        <w:rPr>
          <w:rFonts w:ascii="Arial" w:cs="Arial" w:eastAsia="Arial" w:hAnsi="Arial"/>
          <w:sz w:val="21"/>
          <w:szCs w:val="21"/>
          <w:color w:val="auto"/>
        </w:rPr>
        <w:t>”). Unless approved by the Company, you shall not accept or pursue, directly or indirectly, any Corporate Opportunities on your own behalf or on behalf of any party other than the Company or any Company affiliate.</w:t>
      </w:r>
    </w:p>
    <w:p>
      <w:pPr>
        <w:spacing w:after="0" w:line="19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Cooperation</w:t>
      </w:r>
    </w:p>
    <w:p>
      <w:pPr>
        <w:spacing w:after="0" w:line="216" w:lineRule="exact"/>
        <w:rPr>
          <w:sz w:val="20"/>
          <w:szCs w:val="20"/>
          <w:color w:val="auto"/>
        </w:rPr>
      </w:pPr>
    </w:p>
    <w:p>
      <w:pPr>
        <w:jc w:val="both"/>
        <w:ind w:right="140"/>
        <w:spacing w:after="0" w:line="264" w:lineRule="auto"/>
        <w:rPr>
          <w:sz w:val="20"/>
          <w:szCs w:val="20"/>
          <w:color w:val="auto"/>
        </w:rPr>
      </w:pPr>
      <w:r>
        <w:rPr>
          <w:rFonts w:ascii="Arial" w:cs="Arial" w:eastAsia="Arial" w:hAnsi="Arial"/>
          <w:sz w:val="21"/>
          <w:szCs w:val="21"/>
          <w:color w:val="auto"/>
        </w:rPr>
        <w:t>During the period of your employment and thereafter, you shall provide reasonable cooperation with the Company in any internal investigation, any administrative, regulatory or judicial investigation or proceeding or any dispute with a third party as reasonably requested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right="100"/>
        <w:spacing w:after="0" w:line="250" w:lineRule="auto"/>
        <w:rPr>
          <w:sz w:val="20"/>
          <w:szCs w:val="20"/>
          <w:color w:val="auto"/>
        </w:rPr>
      </w:pPr>
      <w:r>
        <w:rPr>
          <w:rFonts w:ascii="Arial" w:cs="Arial" w:eastAsia="Arial" w:hAnsi="Arial"/>
          <w:sz w:val="21"/>
          <w:szCs w:val="21"/>
          <w:color w:val="auto"/>
        </w:rPr>
        <w:t>by the Company (including by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your possession, all at times and on schedules and terms that are reasonably consistent with your other permitted activities and commitments). In the event the Company requires your cooperation in accordance with this provision, the Company shall pay your reasonable travel and other reasonable and documented out-of-pocket expenses related to such cooperation (such as lodging and meals) upon submission of invoices. In all cases, reasonable account shall be taken of the time commitment that would be involved in any request by the Company, your other professional and personal commitments and/or whether information or assistance can be obtained as effectively or sufficiently by other means or by other representatives within the Company.</w:t>
      </w:r>
    </w:p>
    <w:p>
      <w:pPr>
        <w:spacing w:after="0" w:line="187"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U.S. Income Tax Rule Compliance</w:t>
      </w:r>
    </w:p>
    <w:p>
      <w:pPr>
        <w:spacing w:after="0" w:line="216" w:lineRule="exact"/>
        <w:rPr>
          <w:sz w:val="20"/>
          <w:szCs w:val="20"/>
          <w:color w:val="auto"/>
        </w:rPr>
      </w:pPr>
    </w:p>
    <w:p>
      <w:pPr>
        <w:ind w:right="120"/>
        <w:spacing w:after="0" w:line="253" w:lineRule="auto"/>
        <w:rPr>
          <w:sz w:val="20"/>
          <w:szCs w:val="20"/>
          <w:color w:val="auto"/>
        </w:rPr>
      </w:pPr>
      <w:r>
        <w:rPr>
          <w:rFonts w:ascii="Arial" w:cs="Arial" w:eastAsia="Arial" w:hAnsi="Arial"/>
          <w:sz w:val="21"/>
          <w:szCs w:val="21"/>
          <w:color w:val="auto"/>
        </w:rPr>
        <w:t>All payments under this letter agreement are stated in gross amounts and shall be subject to customary withholding and other amounts required by law to be withheld. The Company shall be entitled to deduct or withhold from any amounts owing from the Company to you any federal, state, local or foreign withholding taxes, excise taxes or employment taxes (“</w:t>
      </w:r>
      <w:r>
        <w:rPr>
          <w:rFonts w:ascii="Arial" w:cs="Arial" w:eastAsia="Arial" w:hAnsi="Arial"/>
          <w:sz w:val="21"/>
          <w:szCs w:val="21"/>
          <w:u w:val="single" w:color="auto"/>
          <w:color w:val="auto"/>
        </w:rPr>
        <w:t>Taxes</w:t>
      </w:r>
      <w:r>
        <w:rPr>
          <w:rFonts w:ascii="Arial" w:cs="Arial" w:eastAsia="Arial" w:hAnsi="Arial"/>
          <w:sz w:val="21"/>
          <w:szCs w:val="21"/>
          <w:color w:val="auto"/>
        </w:rPr>
        <w:t>”) imposed with respect to your compensation or other payments from the Company (including wages, bonuses, the receipt or exercise of equity options, and/or the receipt or vesting of restricted equity). In the event the Company does not make such deductions or withholdings, you shall indemnify the Company for any amounts paid with respect to any such Taxes.</w:t>
      </w:r>
    </w:p>
    <w:p>
      <w:pPr>
        <w:spacing w:after="0" w:line="178"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Deferred Compensation Provisions</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Notwithstanding any other provision herein: (a) the parties hereto intend that payments and benefits under this letter agreement comply with or be exempt from Section 409A of the Internal Revenue Code of 1986, as amended, and the regulations and guidance promulgated thereunder (“</w:t>
      </w:r>
      <w:r>
        <w:rPr>
          <w:rFonts w:ascii="Arial" w:cs="Arial" w:eastAsia="Arial" w:hAnsi="Arial"/>
          <w:sz w:val="21"/>
          <w:szCs w:val="21"/>
          <w:u w:val="single" w:color="auto"/>
          <w:color w:val="auto"/>
        </w:rPr>
        <w:t>Section 409A</w:t>
      </w:r>
      <w:r>
        <w:rPr>
          <w:rFonts w:ascii="Arial" w:cs="Arial" w:eastAsia="Arial" w:hAnsi="Arial"/>
          <w:sz w:val="21"/>
          <w:szCs w:val="21"/>
          <w:color w:val="auto"/>
        </w:rPr>
        <w:t>”) and, accordingly, to the maximum extent permitted, this letter agreement shall be interpreted to be in compliance therewith or exempt therefrom; (b) for all purposes of this letter agreement, references herein to “termination,” “termination of employment,” “resignation” or other terms of similar import shall in each case mean a “separation from service” within the meaning of Section 409A; (c) in the event that you are a “specified employee” for purposes of Section 409A at the time of separation from service, any separation pay or other compensation payable hereunder by reason of such separation of service that would otherwise be paid during the six-month period immediately following such separation from service shall instead be paid on the six- month anniversary of the separation from service to the extent required to comply with Section 409A (or if earlier, within 60 days following your death); (d) for purposes of Section 409A, your right to receive any installment payment pursuant to this letter agreement shall be treated as a right to receive a series of separate and distinct payments; (e) in no event shall any payment under this letter agreement that constitutes nonqualified deferred compensation subject to Section 409A, as determined by the Company in its sole discretion, be subject to offset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right="20"/>
        <w:spacing w:after="0" w:line="266" w:lineRule="auto"/>
        <w:rPr>
          <w:sz w:val="20"/>
          <w:szCs w:val="20"/>
          <w:color w:val="auto"/>
        </w:rPr>
      </w:pPr>
      <w:r>
        <w:rPr>
          <w:rFonts w:ascii="Arial" w:cs="Arial" w:eastAsia="Arial" w:hAnsi="Arial"/>
          <w:sz w:val="20"/>
          <w:szCs w:val="20"/>
          <w:color w:val="auto"/>
        </w:rPr>
        <w:t>unless otherwise permitted by Section 409A; (f) to the extent that reimbursements or other in-kind benefits under this letter agreement constitute “nonqualified deferred compensation” for purposes of Code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 kind benefits provided in any taxable year shall in any way affect the expenses eligible for reimbursement, or in-kind benefits to be provided, in any other taxable year; and (g) payments made in accordance with the Company’s normal payroll practices shall be made within thirty (30) days of each payroll date pursuant to the payroll schedule of the Company.</w:t>
      </w:r>
    </w:p>
    <w:p>
      <w:pPr>
        <w:spacing w:after="0" w:line="161" w:lineRule="exact"/>
        <w:rPr>
          <w:sz w:val="20"/>
          <w:szCs w:val="20"/>
          <w:color w:val="auto"/>
        </w:rPr>
      </w:pPr>
    </w:p>
    <w:p>
      <w:pPr>
        <w:ind w:right="320"/>
        <w:spacing w:after="0" w:line="256" w:lineRule="auto"/>
        <w:rPr>
          <w:sz w:val="20"/>
          <w:szCs w:val="20"/>
          <w:color w:val="auto"/>
        </w:rPr>
      </w:pPr>
      <w:r>
        <w:rPr>
          <w:rFonts w:ascii="Arial" w:cs="Arial" w:eastAsia="Arial" w:hAnsi="Arial"/>
          <w:sz w:val="21"/>
          <w:szCs w:val="21"/>
          <w:color w:val="auto"/>
        </w:rPr>
        <w:t>The Company makes no representation to you regarding the taxation of the compensation and benefits under this letter agreement, including, but limited to, the tax effects of Section 409A, and you shall be solely responsible for the taxes imposed upon you with respect to your compensation and benefits under this letter agreement. In no event whatsoever shall the Company be liable for any additional tax, interest or penalty that may be imposed on you by Section 409A or damages for failing to comply with Section 409A.</w:t>
      </w:r>
    </w:p>
    <w:p>
      <w:pPr>
        <w:spacing w:after="0" w:line="172"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General</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letter agreement embodies the complete agreement and understanding among the parties and supersedes and preempts any prior understandings, agreements, or representations by or among the parties, written or oral, which may have related to the subject matter hereof in any way. The language used in this letter agreement shall be deemed to be the language chosen by the parties hereto to express their mutual intent, and no rule of strict construction shall be applied against any party. All issues and questions concerning the construction, validity, enforcement, and interpretation of this letter agreement and the exhibits and schedules hereto shall be governed by, and construed in accordance with, the laws of the State of Arizona, without giving effect to any choice of law or conflict of law rules or provisions (whether of the State of Arizona or any other jurisdiction) that would cause the application of the laws of any jurisdiction other than the State of Arizona. Each party agrees to commence any action, suit or proceeding arising out of this letter agreement or the transactions contemplated hereby in a United States District Court located in the District of Arizona, or in an Arizona State Court located in Maricopa County, Arizona, and irrevocably and unconditionally waives any objection to venue of any action, suit or proceeding arising out of this letter agreement or the transactions contemplated hereby in such courts and any claim that any such proceeding brought in such court has been brought in an inconvenient forum. No amendment, modification or waiver of this letter agreement shall be effective unless set forth in a written instrument executed by the Company and you. You may not assign your rights or obligations hereunder without the prior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21"/>
          <w:szCs w:val="21"/>
          <w:color w:val="auto"/>
        </w:rPr>
        <w:t>All notices and other communications hereunder shall be in writing and shall be deemed to have been given: (i) five business days after being sent by first class mail, return receipt requested, postage prepaid, (ii) one business day after being sent by reputable overnight courier, (iii) upon personal delivery, or (iv) when sent by facsimile or email, if sent prior to 6:00 p.m. Pacific Time on a business day (or else on the next following business day), in each case to the addresses, and email addresses set forth below (provided that a party may change his or its notice information by providing written notice to the other party in accordance with the foregoing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Notices to you via email:</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Gina Gunning</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color w:val="auto"/>
          <w:highlight w:val="black"/>
        </w:rPr>
        <w:t>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Notices to the Company via mail and email:</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Array Tech, Inc.</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3133 W Frye Road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Suite 600</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Chandler, AZ 85226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Attention: Chief Human Resources Officer</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color w:val="auto"/>
          <w:highlight w:val="black"/>
        </w:rPr>
        <w:t>______________</w:t>
      </w:r>
    </w:p>
    <w:p>
      <w:pPr>
        <w:spacing w:after="0" w:line="201" w:lineRule="exact"/>
        <w:rPr>
          <w:sz w:val="20"/>
          <w:szCs w:val="20"/>
          <w:color w:val="auto"/>
        </w:rPr>
      </w:pPr>
    </w:p>
    <w:p>
      <w:pPr>
        <w:ind w:right="600"/>
        <w:spacing w:after="0" w:line="286" w:lineRule="auto"/>
        <w:rPr>
          <w:sz w:val="20"/>
          <w:szCs w:val="20"/>
          <w:color w:val="auto"/>
        </w:rPr>
      </w:pPr>
      <w:r>
        <w:rPr>
          <w:rFonts w:ascii="Arial" w:cs="Arial" w:eastAsia="Arial" w:hAnsi="Arial"/>
          <w:sz w:val="21"/>
          <w:szCs w:val="21"/>
          <w:color w:val="auto"/>
        </w:rPr>
        <w:t>My colleagues at the Company and I look forward to commencing what we believe will be a productive and mutually rewarding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1"/>
          <w:szCs w:val="2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FDBA17"/>
        </w:rPr>
        <w:t>arraytechinc.com</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3901 Midway Place NE</w:t>
      </w:r>
    </w:p>
    <w:p>
      <w:pPr>
        <w:ind w:left="20"/>
        <w:spacing w:after="0"/>
        <w:rPr>
          <w:sz w:val="20"/>
          <w:szCs w:val="20"/>
          <w:color w:val="auto"/>
        </w:rPr>
      </w:pPr>
      <w:r>
        <w:rPr>
          <w:rFonts w:ascii="Arial" w:cs="Arial" w:eastAsia="Arial" w:hAnsi="Arial"/>
          <w:sz w:val="16"/>
          <w:szCs w:val="16"/>
          <w:color w:val="auto"/>
        </w:rPr>
        <w:t>Albuquerque, NM 87109 USA</w:t>
      </w:r>
    </w:p>
    <w:p>
      <w:pPr>
        <w:sectPr>
          <w:pgSz w:w="11900" w:h="16838" w:orient="portrait"/>
          <w:cols w:equalWidth="0" w:num="1">
            <w:col w:w="11200"/>
          </w:cols>
          <w:pgMar w:left="320" w:top="1440" w:right="379" w:bottom="1440" w:gutter="0" w:footer="0" w:header="0"/>
        </w:sectPr>
      </w:pPr>
    </w:p>
    <w:bookmarkStart w:id="59" w:name="page60"/>
    <w:bookmarkEnd w:id="5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Please confirm your acceptance of this offer by signing below, returning the original to me, and keeping a copy for yourself.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Sincerely yours,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Array Tech, Inc.</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_/s/ Terrance L. Collins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Name: Terrance L. Collins</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Title: Chief Human Resources Officer</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I accept the above offer of employment and agree to be bound by the terms of this letter agreement.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Gina K. Gunning</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Gina Gunning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12/30/24</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Date</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jc w:val="center"/>
        <w:ind w:right="272"/>
        <w:spacing w:after="0"/>
        <w:rPr>
          <w:sz w:val="20"/>
          <w:szCs w:val="20"/>
          <w:color w:val="auto"/>
        </w:rPr>
      </w:pPr>
      <w:r>
        <w:rPr>
          <w:rFonts w:ascii="Arial" w:cs="Arial" w:eastAsia="Arial" w:hAnsi="Arial"/>
          <w:sz w:val="21"/>
          <w:szCs w:val="21"/>
          <w:b w:val="1"/>
          <w:bCs w:val="1"/>
          <w:u w:val="single" w:color="auto"/>
          <w:color w:val="auto"/>
        </w:rPr>
        <w:t>Exhibit A</w:t>
      </w:r>
    </w:p>
    <w:p>
      <w:pPr>
        <w:spacing w:after="0" w:line="22" w:lineRule="exact"/>
        <w:rPr>
          <w:sz w:val="20"/>
          <w:szCs w:val="20"/>
          <w:color w:val="auto"/>
        </w:rPr>
      </w:pPr>
    </w:p>
    <w:p>
      <w:pPr>
        <w:jc w:val="center"/>
        <w:ind w:right="272"/>
        <w:spacing w:after="0"/>
        <w:rPr>
          <w:sz w:val="20"/>
          <w:szCs w:val="20"/>
          <w:color w:val="auto"/>
        </w:rPr>
      </w:pPr>
      <w:r>
        <w:rPr>
          <w:rFonts w:ascii="Arial" w:cs="Arial" w:eastAsia="Arial" w:hAnsi="Arial"/>
          <w:sz w:val="21"/>
          <w:szCs w:val="21"/>
          <w:b w:val="1"/>
          <w:bCs w:val="1"/>
          <w:u w:val="single" w:color="auto"/>
          <w:color w:val="auto"/>
        </w:rPr>
        <w:t>Confidential Information, Non-Disparagement and Non-Solicitation Agreement</w:t>
      </w:r>
    </w:p>
    <w:p>
      <w:pPr>
        <w:spacing w:after="0" w:line="292" w:lineRule="exact"/>
        <w:rPr>
          <w:sz w:val="20"/>
          <w:szCs w:val="20"/>
          <w:color w:val="auto"/>
        </w:rPr>
      </w:pPr>
    </w:p>
    <w:p>
      <w:pPr>
        <w:ind w:left="328" w:right="160" w:hanging="328"/>
        <w:spacing w:after="0" w:line="273" w:lineRule="auto"/>
        <w:tabs>
          <w:tab w:leader="none" w:pos="325" w:val="left"/>
        </w:tabs>
        <w:numPr>
          <w:ilvl w:val="0"/>
          <w:numId w:val="45"/>
        </w:numPr>
        <w:rPr>
          <w:rFonts w:ascii="Arial" w:cs="Arial" w:eastAsia="Arial" w:hAnsi="Arial"/>
          <w:sz w:val="21"/>
          <w:szCs w:val="21"/>
          <w:color w:val="auto"/>
        </w:rPr>
      </w:pPr>
      <w:r>
        <w:rPr>
          <w:rFonts w:ascii="Arial" w:cs="Arial" w:eastAsia="Arial" w:hAnsi="Arial"/>
          <w:sz w:val="21"/>
          <w:szCs w:val="21"/>
          <w:color w:val="auto"/>
        </w:rPr>
        <w:t>Definitions. Whenever used in this agreement the following words and phrases shall have the following respective meanings:</w:t>
      </w:r>
    </w:p>
    <w:p>
      <w:pPr>
        <w:spacing w:after="0" w:line="58" w:lineRule="exact"/>
        <w:rPr>
          <w:rFonts w:ascii="Arial" w:cs="Arial" w:eastAsia="Arial" w:hAnsi="Arial"/>
          <w:sz w:val="21"/>
          <w:szCs w:val="21"/>
          <w:color w:val="auto"/>
        </w:rPr>
      </w:pPr>
    </w:p>
    <w:p>
      <w:pPr>
        <w:ind w:left="968" w:right="860" w:hanging="320"/>
        <w:spacing w:after="0" w:line="273" w:lineRule="auto"/>
        <w:tabs>
          <w:tab w:leader="none" w:pos="965" w:val="left"/>
        </w:tabs>
        <w:numPr>
          <w:ilvl w:val="1"/>
          <w:numId w:val="45"/>
        </w:numPr>
        <w:rPr>
          <w:rFonts w:ascii="Arial" w:cs="Arial" w:eastAsia="Arial" w:hAnsi="Arial"/>
          <w:sz w:val="21"/>
          <w:szCs w:val="21"/>
          <w:color w:val="auto"/>
        </w:rPr>
      </w:pPr>
      <w:r>
        <w:rPr>
          <w:rFonts w:ascii="Arial" w:cs="Arial" w:eastAsia="Arial" w:hAnsi="Arial"/>
          <w:sz w:val="21"/>
          <w:szCs w:val="21"/>
          <w:color w:val="auto"/>
        </w:rPr>
        <w:t>“Company” shall mean Array Tech, Inc. together with all of its operating companies, parent entities, subsidiaries, and affiliates.</w:t>
      </w:r>
    </w:p>
    <w:p>
      <w:pPr>
        <w:spacing w:after="0" w:line="44" w:lineRule="exact"/>
        <w:rPr>
          <w:rFonts w:ascii="Arial" w:cs="Arial" w:eastAsia="Arial" w:hAnsi="Arial"/>
          <w:sz w:val="21"/>
          <w:szCs w:val="21"/>
          <w:color w:val="auto"/>
        </w:rPr>
      </w:pPr>
    </w:p>
    <w:p>
      <w:pPr>
        <w:ind w:left="968" w:right="100" w:hanging="320"/>
        <w:spacing w:after="0" w:line="260" w:lineRule="auto"/>
        <w:tabs>
          <w:tab w:leader="none" w:pos="965" w:val="left"/>
        </w:tabs>
        <w:numPr>
          <w:ilvl w:val="1"/>
          <w:numId w:val="45"/>
        </w:numPr>
        <w:rPr>
          <w:rFonts w:ascii="Arial" w:cs="Arial" w:eastAsia="Arial" w:hAnsi="Arial"/>
          <w:sz w:val="21"/>
          <w:szCs w:val="21"/>
          <w:color w:val="auto"/>
        </w:rPr>
      </w:pPr>
      <w:r>
        <w:rPr>
          <w:rFonts w:ascii="Arial" w:cs="Arial" w:eastAsia="Arial" w:hAnsi="Arial"/>
          <w:sz w:val="21"/>
          <w:szCs w:val="21"/>
          <w:color w:val="auto"/>
        </w:rPr>
        <w:t>“Customers” shall mean and include each person or entity: (i) to which the Company has sold, furnished, or made a proposal to sell or furnish any products, goods, services, or equipment which comprise any part of the Company’s products; or (ii) with which the Company has entered into an agreement, or made a sale of any kind.</w:t>
      </w:r>
    </w:p>
    <w:p>
      <w:pPr>
        <w:spacing w:after="0" w:line="60" w:lineRule="exact"/>
        <w:rPr>
          <w:rFonts w:ascii="Arial" w:cs="Arial" w:eastAsia="Arial" w:hAnsi="Arial"/>
          <w:sz w:val="21"/>
          <w:szCs w:val="21"/>
          <w:color w:val="auto"/>
        </w:rPr>
      </w:pPr>
    </w:p>
    <w:p>
      <w:pPr>
        <w:ind w:left="968" w:right="160" w:hanging="320"/>
        <w:spacing w:after="0" w:line="256" w:lineRule="auto"/>
        <w:tabs>
          <w:tab w:leader="none" w:pos="967" w:val="left"/>
        </w:tabs>
        <w:numPr>
          <w:ilvl w:val="1"/>
          <w:numId w:val="45"/>
        </w:numPr>
        <w:rPr>
          <w:rFonts w:ascii="Arial" w:cs="Arial" w:eastAsia="Arial" w:hAnsi="Arial"/>
          <w:sz w:val="21"/>
          <w:szCs w:val="21"/>
          <w:color w:val="auto"/>
        </w:rPr>
      </w:pPr>
      <w:r>
        <w:rPr>
          <w:rFonts w:ascii="Arial" w:cs="Arial" w:eastAsia="Arial" w:hAnsi="Arial"/>
          <w:sz w:val="21"/>
          <w:szCs w:val="21"/>
          <w:color w:val="auto"/>
        </w:rPr>
        <w:t>“Supplier” shall mean and include each person or entity from which the Company has acquired equipment, inventory, components, products, or services used by the Company to design, manufacture, fabricate, sell, or deliver any of the Company’s products (all such persons or entities are collectively referred to as “</w:t>
      </w:r>
      <w:r>
        <w:rPr>
          <w:rFonts w:ascii="Arial" w:cs="Arial" w:eastAsia="Arial" w:hAnsi="Arial"/>
          <w:sz w:val="21"/>
          <w:szCs w:val="21"/>
          <w:u w:val="single" w:color="auto"/>
          <w:color w:val="auto"/>
        </w:rPr>
        <w:t>Supplier</w:t>
      </w:r>
      <w:r>
        <w:rPr>
          <w:rFonts w:ascii="Arial" w:cs="Arial" w:eastAsia="Arial" w:hAnsi="Arial"/>
          <w:sz w:val="21"/>
          <w:szCs w:val="21"/>
          <w:color w:val="auto"/>
        </w:rPr>
        <w:t>”).</w:t>
      </w:r>
    </w:p>
    <w:p>
      <w:pPr>
        <w:spacing w:after="0" w:line="63" w:lineRule="exact"/>
        <w:rPr>
          <w:rFonts w:ascii="Arial" w:cs="Arial" w:eastAsia="Arial" w:hAnsi="Arial"/>
          <w:sz w:val="21"/>
          <w:szCs w:val="21"/>
          <w:color w:val="auto"/>
        </w:rPr>
      </w:pPr>
    </w:p>
    <w:p>
      <w:pPr>
        <w:ind w:left="968" w:right="20" w:hanging="320"/>
        <w:spacing w:after="0" w:line="249" w:lineRule="auto"/>
        <w:tabs>
          <w:tab w:leader="none" w:pos="965" w:val="left"/>
        </w:tabs>
        <w:numPr>
          <w:ilvl w:val="1"/>
          <w:numId w:val="45"/>
        </w:numPr>
        <w:rPr>
          <w:rFonts w:ascii="Arial" w:cs="Arial" w:eastAsia="Arial" w:hAnsi="Arial"/>
          <w:sz w:val="21"/>
          <w:szCs w:val="21"/>
          <w:color w:val="auto"/>
        </w:rPr>
      </w:pPr>
      <w:r>
        <w:rPr>
          <w:rFonts w:ascii="Arial" w:cs="Arial" w:eastAsia="Arial" w:hAnsi="Arial"/>
          <w:sz w:val="21"/>
          <w:szCs w:val="21"/>
          <w:color w:val="auto"/>
        </w:rPr>
        <w:t>Unless otherwise specified in writing by the Company, and except as limited below in Section (1)(e), “Confidential Information” shall mean all information about the Company’s business and affairs, regardless of the format of such information and whether such information has been separately identified as “confidential” or “proprietary,” and whether such information is patentable, copyrightable, or otherwise protected by law. Without limiting the scope of the foregoing, Confidential Information includes (i) business plans, financial reports, financial data, employee data, Customer lists, Customer preferences, Customer needs, Customer requirements, forecasts, strategies, contract terms, current and future proposals and quotations, profit margins or markups, costs, expenses, Supplier terms and conditions, strategies, plans, and agreements with regard to Supplier(s), and all other business information; (ii) Trade Secrets; and (iii) product designs and/or specifications, algorithms, computer programs, mask works, inventions, unpublished patent applications, manufacturing or other technical or scientific know-how, specifications, technical drawings, diagrams, schematics, software or firmware code, semiconductor or printed circuit board layout diagrams, technology, processes, and any other Trade Secrets, discoveries, ideas, concepts, know-how, techniques, materials, formulae, compositions, information, data, results, plans, surveys, and/or reports of a technical nature or concerning research and development and/or engineering activity.</w:t>
      </w:r>
    </w:p>
    <w:p>
      <w:pPr>
        <w:spacing w:after="0" w:line="75" w:lineRule="exact"/>
        <w:rPr>
          <w:rFonts w:ascii="Arial" w:cs="Arial" w:eastAsia="Arial" w:hAnsi="Arial"/>
          <w:sz w:val="21"/>
          <w:szCs w:val="21"/>
          <w:color w:val="auto"/>
        </w:rPr>
      </w:pPr>
    </w:p>
    <w:p>
      <w:pPr>
        <w:ind w:left="968" w:hanging="320"/>
        <w:spacing w:after="0" w:line="283" w:lineRule="auto"/>
        <w:tabs>
          <w:tab w:leader="none" w:pos="965" w:val="left"/>
        </w:tabs>
        <w:numPr>
          <w:ilvl w:val="1"/>
          <w:numId w:val="45"/>
        </w:numPr>
        <w:rPr>
          <w:rFonts w:ascii="Arial" w:cs="Arial" w:eastAsia="Arial" w:hAnsi="Arial"/>
          <w:sz w:val="20"/>
          <w:szCs w:val="20"/>
          <w:color w:val="auto"/>
        </w:rPr>
      </w:pPr>
      <w:r>
        <w:rPr>
          <w:rFonts w:ascii="Arial" w:cs="Arial" w:eastAsia="Arial" w:hAnsi="Arial"/>
          <w:sz w:val="20"/>
          <w:szCs w:val="20"/>
          <w:color w:val="auto"/>
        </w:rPr>
        <w:t>“Confidential Information” excludes information which you can demonstrate (i) is in the public domain through no act or omission of yours in violation of any agreement to which you are a party with the Company or any policy of the Company or (ii) has become available to you on a non-confidential basis from</w:t>
      </w:r>
    </w:p>
    <w:p>
      <w:pPr>
        <w:sectPr>
          <w:pgSz w:w="11900" w:h="16838" w:orient="portrait"/>
          <w:cols w:equalWidth="0" w:num="1">
            <w:col w:w="10868"/>
          </w:cols>
          <w:pgMar w:left="652" w:top="1440" w:right="379" w:bottom="1440" w:gutter="0" w:footer="0" w:header="0"/>
        </w:sectPr>
      </w:pPr>
    </w:p>
    <w:bookmarkStart w:id="61" w:name="page62"/>
    <w:bookmarkEnd w:id="6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968" w:right="960"/>
        <w:spacing w:after="0" w:line="273" w:lineRule="auto"/>
        <w:rPr>
          <w:sz w:val="20"/>
          <w:szCs w:val="20"/>
          <w:color w:val="auto"/>
        </w:rPr>
      </w:pPr>
      <w:r>
        <w:rPr>
          <w:rFonts w:ascii="Arial" w:cs="Arial" w:eastAsia="Arial" w:hAnsi="Arial"/>
          <w:sz w:val="21"/>
          <w:szCs w:val="21"/>
          <w:color w:val="auto"/>
        </w:rPr>
        <w:t>a source other than the Company without breach of such source’s confidentiality or non-disclosure obligations to the Company.</w:t>
      </w:r>
    </w:p>
    <w:p>
      <w:pPr>
        <w:spacing w:after="0" w:line="58" w:lineRule="exact"/>
        <w:rPr>
          <w:sz w:val="20"/>
          <w:szCs w:val="20"/>
          <w:color w:val="auto"/>
        </w:rPr>
      </w:pPr>
    </w:p>
    <w:p>
      <w:pPr>
        <w:ind w:left="968" w:right="180" w:hanging="320"/>
        <w:spacing w:after="0" w:line="273" w:lineRule="auto"/>
        <w:tabs>
          <w:tab w:leader="none" w:pos="961" w:val="left"/>
        </w:tabs>
        <w:numPr>
          <w:ilvl w:val="1"/>
          <w:numId w:val="46"/>
        </w:numPr>
        <w:rPr>
          <w:rFonts w:ascii="Arial" w:cs="Arial" w:eastAsia="Arial" w:hAnsi="Arial"/>
          <w:sz w:val="21"/>
          <w:szCs w:val="21"/>
          <w:color w:val="auto"/>
        </w:rPr>
      </w:pPr>
      <w:r>
        <w:rPr>
          <w:rFonts w:ascii="Arial" w:cs="Arial" w:eastAsia="Arial" w:hAnsi="Arial"/>
          <w:sz w:val="21"/>
          <w:szCs w:val="21"/>
          <w:color w:val="auto"/>
        </w:rPr>
        <w:t>“Trade Secrets” shall mean and include any compilation of data or information that would constitute a trade secret under applicable law.</w:t>
      </w:r>
    </w:p>
    <w:p>
      <w:pPr>
        <w:spacing w:after="0" w:line="58" w:lineRule="exact"/>
        <w:rPr>
          <w:rFonts w:ascii="Arial" w:cs="Arial" w:eastAsia="Arial" w:hAnsi="Arial"/>
          <w:sz w:val="21"/>
          <w:szCs w:val="21"/>
          <w:color w:val="auto"/>
        </w:rPr>
      </w:pPr>
    </w:p>
    <w:p>
      <w:pPr>
        <w:ind w:left="328" w:hanging="328"/>
        <w:spacing w:after="0" w:line="264" w:lineRule="auto"/>
        <w:tabs>
          <w:tab w:leader="none" w:pos="325"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Confidential Information. You acknowledge that, in the course of your employment with the Company, you will occupy a position of trust and confidence. You shall not, except in the course of the good faith performance of your duties to the Company, or as required by applicable law, without limitation in time and whether directly or indirectly, disclose to any person or entity, or use, any Confidential Information. You agree to deliver or return to the Company, at the Company’s request at any time or upon termination or expiration of your employment or as soon thereafter as possible, (i) all documents, computers, computer tapes and disks, records, lists, data, drawings, prints, notes, written information, keys and other personal property furnished by the Company or prepared by you during the term of your employment by the Company, and (ii) all notebooks and other data relating to research or experiments or other work conducted by you in the scope of employment, and in each case, all copies thereof.</w:t>
      </w:r>
    </w:p>
    <w:p>
      <w:pPr>
        <w:spacing w:after="0" w:line="58" w:lineRule="exact"/>
        <w:rPr>
          <w:rFonts w:ascii="Arial" w:cs="Arial" w:eastAsia="Arial" w:hAnsi="Arial"/>
          <w:sz w:val="20"/>
          <w:szCs w:val="20"/>
          <w:color w:val="auto"/>
        </w:rPr>
      </w:pPr>
    </w:p>
    <w:p>
      <w:pPr>
        <w:ind w:left="328" w:right="60" w:hanging="328"/>
        <w:spacing w:after="0" w:line="264" w:lineRule="auto"/>
        <w:tabs>
          <w:tab w:leader="none" w:pos="325" w:val="left"/>
        </w:tabs>
        <w:numPr>
          <w:ilvl w:val="0"/>
          <w:numId w:val="47"/>
        </w:numPr>
        <w:rPr>
          <w:rFonts w:ascii="Arial" w:cs="Arial" w:eastAsia="Arial" w:hAnsi="Arial"/>
          <w:sz w:val="20"/>
          <w:szCs w:val="20"/>
          <w:color w:val="auto"/>
        </w:rPr>
      </w:pPr>
      <w:r>
        <w:rPr>
          <w:rFonts w:ascii="Arial" w:cs="Arial" w:eastAsia="Arial" w:hAnsi="Arial"/>
          <w:sz w:val="20"/>
          <w:szCs w:val="20"/>
          <w:color w:val="auto"/>
        </w:rPr>
        <w:t>Prior Employment. During your employment with the Company, you shall be prohibited from using or disclosing any Confidential Information that you may have learned through any prior employment. If at any time during your employment with the Company you believe you are being asked to engage in work that will, or will be likely to, jeopardize any confidentiality or other obligations you may have to former employers, you shall immediately advise the Company so that your duties can be modified appropriately. You represent and warrant to the Company that you took nothing with you which belonged to any former employer when you left your prior employment positions and that you have nothing that contains any information which belongs to any former employer. If at any time you discover this is incorrect, you shall notify the Company and cooperate with the Company to take appropriate action. The Company does not want any such materials or information, and you shall not be permitted to use or refer to any such materials or information in the performance of your duties hereunder.</w:t>
      </w:r>
    </w:p>
    <w:p>
      <w:pPr>
        <w:spacing w:after="0" w:line="62" w:lineRule="exact"/>
        <w:rPr>
          <w:rFonts w:ascii="Arial" w:cs="Arial" w:eastAsia="Arial" w:hAnsi="Arial"/>
          <w:sz w:val="20"/>
          <w:szCs w:val="20"/>
          <w:color w:val="auto"/>
        </w:rPr>
      </w:pPr>
    </w:p>
    <w:p>
      <w:pPr>
        <w:ind w:left="328" w:right="120" w:hanging="328"/>
        <w:spacing w:after="0" w:line="256" w:lineRule="auto"/>
        <w:tabs>
          <w:tab w:leader="none" w:pos="325"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Non-Solicitation of Customers and Suppliers. During the 24 months subsequent to your termination from Company (the “</w:t>
      </w:r>
      <w:r>
        <w:rPr>
          <w:rFonts w:ascii="Arial" w:cs="Arial" w:eastAsia="Arial" w:hAnsi="Arial"/>
          <w:sz w:val="21"/>
          <w:szCs w:val="21"/>
          <w:u w:val="single" w:color="auto"/>
          <w:color w:val="auto"/>
        </w:rPr>
        <w:t>Applicable Period</w:t>
      </w:r>
      <w:r>
        <w:rPr>
          <w:rFonts w:ascii="Arial" w:cs="Arial" w:eastAsia="Arial" w:hAnsi="Arial"/>
          <w:sz w:val="21"/>
          <w:szCs w:val="21"/>
          <w:color w:val="auto"/>
        </w:rPr>
        <w:t>”) for any reason, whether voluntary or involuntary, you shall not, directly or indirectly, influence or attempt to influence Customers, Suppliers, licensees, licensors, franchisees, or other business relations of the Company to divert any of their business away from the Company or otherwise interfere with their relationship with the Company.</w:t>
      </w:r>
    </w:p>
    <w:p>
      <w:pPr>
        <w:spacing w:after="0" w:line="62" w:lineRule="exact"/>
        <w:rPr>
          <w:rFonts w:ascii="Arial" w:cs="Arial" w:eastAsia="Arial" w:hAnsi="Arial"/>
          <w:sz w:val="21"/>
          <w:szCs w:val="21"/>
          <w:color w:val="auto"/>
        </w:rPr>
      </w:pPr>
    </w:p>
    <w:p>
      <w:pPr>
        <w:ind w:left="328" w:right="180" w:hanging="328"/>
        <w:spacing w:after="0" w:line="256" w:lineRule="auto"/>
        <w:tabs>
          <w:tab w:leader="none" w:pos="325"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Non-Hire and Non-Solicitation of Employees. You recognize that you possess and will possess Confidential Information about other employees of the Company relating to their education, experience, skills, abilities, compensation and benefits, and inter-personal relationships with Customers of the Company. You recognize that the information you possess and will possess about these other employees is not and will not be generally known, is of substantial value to the Company in developing its</w:t>
      </w:r>
    </w:p>
    <w:p>
      <w:pPr>
        <w:sectPr>
          <w:pgSz w:w="11900" w:h="16838" w:orient="portrait"/>
          <w:cols w:equalWidth="0" w:num="1">
            <w:col w:w="10908"/>
          </w:cols>
          <w:pgMar w:left="652" w:top="1440" w:right="339" w:bottom="1440" w:gutter="0" w:footer="0" w:header="0"/>
        </w:sectPr>
      </w:pPr>
    </w:p>
    <w:bookmarkStart w:id="62" w:name="page63"/>
    <w:bookmarkEnd w:id="6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328" w:right="60"/>
        <w:spacing w:after="0" w:line="251" w:lineRule="auto"/>
        <w:rPr>
          <w:sz w:val="20"/>
          <w:szCs w:val="20"/>
          <w:color w:val="auto"/>
        </w:rPr>
      </w:pPr>
      <w:r>
        <w:rPr>
          <w:rFonts w:ascii="Arial" w:cs="Arial" w:eastAsia="Arial" w:hAnsi="Arial"/>
          <w:sz w:val="21"/>
          <w:szCs w:val="21"/>
          <w:color w:val="auto"/>
        </w:rPr>
        <w:t>business and in securing and retaining Customers and has been and will be acquired by you because of your business position with the Company. You agree that, during the Applicable Period, you will not, directly or indirectly, solicit, recruit, induce, or encourage or attempt to solicit, recruit, induce, or encourage any employee of the Company to terminate his or her employment or any other relationship with the Company, or otherwise interfere with their relationship with the Company; provided that you are not prohibited from making general solicitations of employment that are not targeted at the Company and its employees. You also agree that you will not convey any Confidential Information about other employees of the Company, including names and contact information, to any other person or entity.</w:t>
      </w:r>
    </w:p>
    <w:p>
      <w:pPr>
        <w:spacing w:after="0" w:line="72" w:lineRule="exact"/>
        <w:rPr>
          <w:sz w:val="20"/>
          <w:szCs w:val="20"/>
          <w:color w:val="auto"/>
        </w:rPr>
      </w:pPr>
    </w:p>
    <w:p>
      <w:pPr>
        <w:ind w:left="328" w:right="60" w:hanging="328"/>
        <w:spacing w:after="0" w:line="256" w:lineRule="auto"/>
        <w:tabs>
          <w:tab w:leader="none" w:pos="325" w:val="left"/>
        </w:tabs>
        <w:numPr>
          <w:ilvl w:val="0"/>
          <w:numId w:val="48"/>
        </w:numPr>
        <w:rPr>
          <w:rFonts w:ascii="Arial" w:cs="Arial" w:eastAsia="Arial" w:hAnsi="Arial"/>
          <w:sz w:val="21"/>
          <w:szCs w:val="21"/>
          <w:color w:val="auto"/>
        </w:rPr>
      </w:pPr>
      <w:r>
        <w:rPr>
          <w:rFonts w:ascii="Arial" w:cs="Arial" w:eastAsia="Arial" w:hAnsi="Arial"/>
          <w:sz w:val="21"/>
          <w:szCs w:val="21"/>
          <w:color w:val="auto"/>
        </w:rPr>
        <w:t>Non-Disparagement. You agree to refrain from directly or indirectly making any derogatory or negative statements or communications regarding the Company or any of its employees, officers, board members, affiliates, products, services, or practices, provided that you may confer in confidence with your legal representatives and make truthful statements as required by law or legal process.</w:t>
      </w:r>
    </w:p>
    <w:p>
      <w:pPr>
        <w:spacing w:after="0" w:line="76" w:lineRule="exact"/>
        <w:rPr>
          <w:rFonts w:ascii="Arial" w:cs="Arial" w:eastAsia="Arial" w:hAnsi="Arial"/>
          <w:sz w:val="21"/>
          <w:szCs w:val="21"/>
          <w:color w:val="auto"/>
        </w:rPr>
      </w:pPr>
    </w:p>
    <w:p>
      <w:pPr>
        <w:ind w:left="328" w:hanging="328"/>
        <w:spacing w:after="0" w:line="249" w:lineRule="auto"/>
        <w:tabs>
          <w:tab w:leader="none" w:pos="325" w:val="left"/>
        </w:tabs>
        <w:numPr>
          <w:ilvl w:val="0"/>
          <w:numId w:val="48"/>
        </w:numPr>
        <w:rPr>
          <w:rFonts w:ascii="Arial" w:cs="Arial" w:eastAsia="Arial" w:hAnsi="Arial"/>
          <w:sz w:val="21"/>
          <w:szCs w:val="21"/>
          <w:color w:val="auto"/>
        </w:rPr>
      </w:pPr>
      <w:r>
        <w:rPr>
          <w:rFonts w:ascii="Arial" w:cs="Arial" w:eastAsia="Arial" w:hAnsi="Arial"/>
          <w:sz w:val="21"/>
          <w:szCs w:val="21"/>
          <w:color w:val="auto"/>
        </w:rPr>
        <w:t>Remedies. If, at the time of enforcement of this agreement, a court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or area permitted by law. Because your services are unique and because you have access to Confidential Information and Work Product, the parties hereto agree that the Company would suffer irreparable harm from a breach of this agreement by you and that money damages would not be an adequate remedy for any such breach. Therefore, in the event of a breach or threatened breach of this agreement, the Company and its successors, affiliates, or assigns,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you of Section 4, 5 or 6, the Applicable Period shall be automatically extended by the amount of time between the initial occurrence of the breach or violation and when such breach or violation has been duly cured.</w:t>
      </w:r>
    </w:p>
    <w:p>
      <w:pPr>
        <w:spacing w:after="0" w:line="69" w:lineRule="exact"/>
        <w:rPr>
          <w:rFonts w:ascii="Arial" w:cs="Arial" w:eastAsia="Arial" w:hAnsi="Arial"/>
          <w:sz w:val="21"/>
          <w:szCs w:val="21"/>
          <w:color w:val="auto"/>
        </w:rPr>
      </w:pPr>
    </w:p>
    <w:p>
      <w:pPr>
        <w:ind w:left="328" w:right="180" w:hanging="328"/>
        <w:spacing w:after="0" w:line="250" w:lineRule="auto"/>
        <w:tabs>
          <w:tab w:leader="none" w:pos="383" w:val="left"/>
        </w:tabs>
        <w:numPr>
          <w:ilvl w:val="0"/>
          <w:numId w:val="48"/>
        </w:numPr>
        <w:rPr>
          <w:rFonts w:ascii="Arial" w:cs="Arial" w:eastAsia="Arial" w:hAnsi="Arial"/>
          <w:sz w:val="21"/>
          <w:szCs w:val="21"/>
          <w:color w:val="auto"/>
        </w:rPr>
      </w:pPr>
      <w:r>
        <w:rPr>
          <w:rFonts w:ascii="Arial" w:cs="Arial" w:eastAsia="Arial" w:hAnsi="Arial"/>
          <w:sz w:val="21"/>
          <w:szCs w:val="21"/>
          <w:color w:val="auto"/>
        </w:rPr>
        <w:t>Additional Acknowledgements. In addition, you acknowledge that the provisions of this agreement are in consideration of your new or continued employment with the Company and additional good and valuable consideration as set forth in this agreement. You also acknowledge that (i) the restrictions contained in this agreement do not preclude you from earning a livelihood, nor do they unreasonably impose limitations on your ability to earn a living, (ii) the business of the Company is international in scope, and (iii) notwithstanding the state of formation or principal office of the Company or residence of any of its executives or employees (including you), the Company has business activities and have valuable business relationships within its respective industry throughout the United States of America. You agree and acknowledge that the potential harm to the Company of the non-enforcement of</w:t>
      </w:r>
    </w:p>
    <w:p>
      <w:pPr>
        <w:sectPr>
          <w:pgSz w:w="11900" w:h="16838" w:orient="portrait"/>
          <w:cols w:equalWidth="0" w:num="1">
            <w:col w:w="10888"/>
          </w:cols>
          <w:pgMar w:left="652" w:top="1440" w:right="359" w:bottom="1440" w:gutter="0" w:footer="0" w:header="0"/>
        </w:sectPr>
      </w:pPr>
    </w:p>
    <w:bookmarkStart w:id="63" w:name="page64"/>
    <w:bookmarkEnd w:id="6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328"/>
        <w:spacing w:after="0" w:line="268" w:lineRule="auto"/>
        <w:rPr>
          <w:sz w:val="20"/>
          <w:szCs w:val="20"/>
          <w:color w:val="auto"/>
        </w:rPr>
      </w:pPr>
      <w:r>
        <w:rPr>
          <w:rFonts w:ascii="Arial" w:cs="Arial" w:eastAsia="Arial" w:hAnsi="Arial"/>
          <w:sz w:val="20"/>
          <w:szCs w:val="20"/>
          <w:color w:val="auto"/>
        </w:rPr>
        <w:t>this agreement outweighs any potential harm to you of its enforcement by injunction or otherwise. You acknowledge that you have carefully read this agreement and consulted with legal counsel of your choosing regarding its contents, have given careful consideration to the restraints imposed upon you by this agreement and are in full accord as to their necessity for the reasonable and proper protection of Confidential Information of the Company now existing or to be developed in the future. You expressly agree and acknowledge that each and every restraint imposed by this agreement is reasonable with respect to subject matter, time period and geographical area.</w:t>
      </w:r>
    </w:p>
    <w:p>
      <w:pPr>
        <w:spacing w:after="0" w:line="52" w:lineRule="exact"/>
        <w:rPr>
          <w:sz w:val="20"/>
          <w:szCs w:val="20"/>
          <w:color w:val="auto"/>
        </w:rPr>
      </w:pPr>
    </w:p>
    <w:p>
      <w:pPr>
        <w:ind w:left="328" w:right="420" w:hanging="328"/>
        <w:spacing w:after="0" w:line="286" w:lineRule="auto"/>
        <w:tabs>
          <w:tab w:leader="none" w:pos="325" w:val="left"/>
        </w:tabs>
        <w:numPr>
          <w:ilvl w:val="0"/>
          <w:numId w:val="49"/>
        </w:numPr>
        <w:rPr>
          <w:rFonts w:ascii="Arial" w:cs="Arial" w:eastAsia="Arial" w:hAnsi="Arial"/>
          <w:sz w:val="21"/>
          <w:szCs w:val="21"/>
          <w:color w:val="auto"/>
        </w:rPr>
      </w:pPr>
      <w:r>
        <w:rPr>
          <w:rFonts w:ascii="Arial" w:cs="Arial" w:eastAsia="Arial" w:hAnsi="Arial"/>
          <w:sz w:val="21"/>
          <w:szCs w:val="21"/>
          <w:color w:val="auto"/>
        </w:rPr>
        <w:t>Survival of Provisions. The obligations contained in this agreement shall survive the termination or expiration of your employment with the Company and shall be fully enforceable thereafter.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33" w:lineRule="exact"/>
        <w:rPr>
          <w:rFonts w:ascii="Arial" w:cs="Arial" w:eastAsia="Arial" w:hAnsi="Arial"/>
          <w:sz w:val="21"/>
          <w:szCs w:val="21"/>
          <w:color w:val="auto"/>
        </w:rPr>
      </w:pPr>
    </w:p>
    <w:p>
      <w:pPr>
        <w:ind w:left="328"/>
        <w:spacing w:after="0"/>
        <w:rPr>
          <w:rFonts w:ascii="Arial" w:cs="Arial" w:eastAsia="Arial" w:hAnsi="Arial"/>
          <w:sz w:val="21"/>
          <w:szCs w:val="21"/>
          <w:color w:val="auto"/>
        </w:rPr>
      </w:pPr>
      <w:r>
        <w:rPr>
          <w:rFonts w:ascii="Arial" w:cs="Arial" w:eastAsia="Arial" w:hAnsi="Arial"/>
          <w:sz w:val="21"/>
          <w:szCs w:val="21"/>
          <w:color w:val="auto"/>
        </w:rPr>
        <w:t xml:space="preserve">Employee Name: </w:t>
      </w:r>
      <w:r>
        <w:rPr>
          <w:rFonts w:ascii="Arial" w:cs="Arial" w:eastAsia="Arial" w:hAnsi="Arial"/>
          <w:sz w:val="21"/>
          <w:szCs w:val="21"/>
          <w:b w:val="1"/>
          <w:bCs w:val="1"/>
          <w:u w:val="single" w:color="auto"/>
          <w:color w:val="auto"/>
        </w:rPr>
        <w:t>Gina Gunning</w:t>
      </w:r>
    </w:p>
    <w:p>
      <w:pPr>
        <w:spacing w:after="0" w:line="123" w:lineRule="exact"/>
        <w:rPr>
          <w:rFonts w:ascii="Arial" w:cs="Arial" w:eastAsia="Arial" w:hAnsi="Arial"/>
          <w:sz w:val="21"/>
          <w:szCs w:val="21"/>
          <w:color w:val="auto"/>
        </w:rPr>
      </w:pPr>
    </w:p>
    <w:p>
      <w:pPr>
        <w:ind w:left="328"/>
        <w:spacing w:after="0"/>
        <w:rPr>
          <w:rFonts w:ascii="Arial" w:cs="Arial" w:eastAsia="Arial" w:hAnsi="Arial"/>
          <w:sz w:val="21"/>
          <w:szCs w:val="21"/>
          <w:color w:val="auto"/>
        </w:rPr>
      </w:pPr>
      <w:r>
        <w:rPr>
          <w:rFonts w:ascii="Arial" w:cs="Arial" w:eastAsia="Arial" w:hAnsi="Arial"/>
          <w:sz w:val="21"/>
          <w:szCs w:val="21"/>
          <w:color w:val="auto"/>
        </w:rPr>
        <w:t xml:space="preserve">Employee Signature: </w:t>
      </w:r>
      <w:r>
        <w:rPr>
          <w:rFonts w:ascii="Arial" w:cs="Arial" w:eastAsia="Arial" w:hAnsi="Arial"/>
          <w:sz w:val="21"/>
          <w:szCs w:val="21"/>
          <w:u w:val="single" w:color="auto"/>
          <w:color w:val="auto"/>
        </w:rPr>
        <w:t>/s/ Gina K. Gunning</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328"/>
        <w:spacing w:after="0"/>
        <w:rPr>
          <w:rFonts w:ascii="Arial" w:cs="Arial" w:eastAsia="Arial" w:hAnsi="Arial"/>
          <w:sz w:val="21"/>
          <w:szCs w:val="21"/>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12/30/24</w:t>
      </w:r>
    </w:p>
    <w:p>
      <w:pPr>
        <w:sectPr>
          <w:pgSz w:w="11900" w:h="16838" w:orient="portrait"/>
          <w:cols w:equalWidth="0" w:num="1">
            <w:col w:w="10888"/>
          </w:cols>
          <w:pgMar w:left="652" w:top="1440" w:right="359" w:bottom="1440" w:gutter="0" w:footer="0" w:header="0"/>
        </w:sectPr>
      </w:pPr>
    </w:p>
    <w:bookmarkStart w:id="64" w:name="page65"/>
    <w:bookmarkEnd w:id="6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Form of General Release</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color w:val="auto"/>
        </w:rPr>
        <w:t>Gina Gunning</w:t>
      </w:r>
      <w:r>
        <w:rPr>
          <w:rFonts w:ascii="Arial" w:cs="Arial" w:eastAsia="Arial" w:hAnsi="Arial"/>
          <w:sz w:val="20"/>
          <w:szCs w:val="20"/>
          <w:color w:val="auto"/>
        </w:rPr>
        <w:t xml:space="preserve"> , in consideration of and subject to the performance by Array Tech, Inc., a New Mexico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of its obligations under the Employment Letter Agreement, dated as of </w:t>
      </w:r>
      <w:r>
        <w:rPr>
          <w:rFonts w:ascii="Arial" w:cs="Arial" w:eastAsia="Arial" w:hAnsi="Arial"/>
          <w:sz w:val="20"/>
          <w:szCs w:val="20"/>
          <w:b w:val="1"/>
          <w:bCs w:val="1"/>
          <w:color w:val="auto"/>
        </w:rPr>
        <w:t>December 29, 2024</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Agreement</w:t>
      </w:r>
      <w:r>
        <w:rPr>
          <w:rFonts w:ascii="Arial" w:cs="Arial" w:eastAsia="Arial" w:hAnsi="Arial"/>
          <w:sz w:val="20"/>
          <w:szCs w:val="20"/>
          <w:color w:val="auto"/>
        </w:rPr>
        <w:t>”), do hereby release and forever discharge as of the date hereof the Company and its affiliates and all present and former directors, officers, agents, representatives, employees, successors and assigns of the Company and its affiliates and the Company’s direct or indirect owners (collectively, the “</w:t>
      </w:r>
      <w:r>
        <w:rPr>
          <w:rFonts w:ascii="Arial" w:cs="Arial" w:eastAsia="Arial" w:hAnsi="Arial"/>
          <w:sz w:val="20"/>
          <w:szCs w:val="20"/>
          <w:u w:val="single" w:color="auto"/>
          <w:color w:val="auto"/>
        </w:rPr>
        <w:t>Released Parties</w:t>
      </w:r>
      <w:r>
        <w:rPr>
          <w:rFonts w:ascii="Arial" w:cs="Arial" w:eastAsia="Arial" w:hAnsi="Arial"/>
          <w:sz w:val="20"/>
          <w:szCs w:val="20"/>
          <w:color w:val="auto"/>
        </w:rPr>
        <w:t>”) to the extent provided below. All capitalized terms used but not otherwise defined herein shall have the meaning assigned to such terms in the Agreement.</w:t>
      </w:r>
    </w:p>
    <w:p>
      <w:pPr>
        <w:spacing w:after="0" w:line="187" w:lineRule="exact"/>
        <w:rPr>
          <w:sz w:val="20"/>
          <w:szCs w:val="20"/>
          <w:color w:val="auto"/>
        </w:rPr>
      </w:pPr>
    </w:p>
    <w:p>
      <w:pPr>
        <w:ind w:left="660" w:right="40" w:hanging="328"/>
        <w:spacing w:after="0" w:line="251" w:lineRule="auto"/>
        <w:tabs>
          <w:tab w:leader="none" w:pos="657" w:val="left"/>
        </w:tabs>
        <w:numPr>
          <w:ilvl w:val="0"/>
          <w:numId w:val="50"/>
        </w:numPr>
        <w:rPr>
          <w:rFonts w:ascii="Arial" w:cs="Arial" w:eastAsia="Arial" w:hAnsi="Arial"/>
          <w:sz w:val="21"/>
          <w:szCs w:val="21"/>
          <w:color w:val="auto"/>
        </w:rPr>
      </w:pPr>
      <w:r>
        <w:rPr>
          <w:rFonts w:ascii="Arial" w:cs="Arial" w:eastAsia="Arial" w:hAnsi="Arial"/>
          <w:sz w:val="21"/>
          <w:szCs w:val="21"/>
          <w:color w:val="auto"/>
        </w:rPr>
        <w:t>I understand that any payments paid to me under the Termination section of the Agreement represent, in part, consideration for signing this General Release and are not salary, wages or benefits to which I was already entitled. I understand and agree that I will not receive the payments specified in the Termination section of the Agreement unless I execute this General Release and do not revoke this General Release within the time period permitted hereafter or breach this General Release. Such payments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w:t>
      </w:r>
    </w:p>
    <w:p>
      <w:pPr>
        <w:spacing w:after="0" w:line="18" w:lineRule="exact"/>
        <w:rPr>
          <w:rFonts w:ascii="Arial" w:cs="Arial" w:eastAsia="Arial" w:hAnsi="Arial"/>
          <w:sz w:val="21"/>
          <w:szCs w:val="21"/>
          <w:color w:val="auto"/>
        </w:rPr>
      </w:pPr>
    </w:p>
    <w:p>
      <w:pPr>
        <w:ind w:left="660" w:right="20" w:hanging="328"/>
        <w:spacing w:after="0" w:line="262" w:lineRule="auto"/>
        <w:tabs>
          <w:tab w:leader="none" w:pos="657" w:val="left"/>
        </w:tabs>
        <w:numPr>
          <w:ilvl w:val="0"/>
          <w:numId w:val="50"/>
        </w:numPr>
        <w:rPr>
          <w:rFonts w:ascii="Arial" w:cs="Arial" w:eastAsia="Arial" w:hAnsi="Arial"/>
          <w:sz w:val="20"/>
          <w:szCs w:val="20"/>
          <w:color w:val="auto"/>
        </w:rPr>
      </w:pPr>
      <w:r>
        <w:rPr>
          <w:rFonts w:ascii="Arial" w:cs="Arial" w:eastAsia="Arial" w:hAnsi="Arial"/>
          <w:sz w:val="20"/>
          <w:szCs w:val="20"/>
          <w:color w:val="auto"/>
        </w:rPr>
        <w:t>Except as provided in Section 4 below and except for the provisions of the Agreement which expressly survive the termination of my employment with the Company, I knowingly and voluntarily (for myself, my spouse and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any allegation, claim or violation arising under: Title VII of the Civil Rights Act of 1964, as amended; the Civil Rights Act of 1991; the Age Discrimination in Employment Act of 1967, as amended (including the Older Workers Benefit Protection Act) (the “</w:t>
      </w:r>
      <w:r>
        <w:rPr>
          <w:rFonts w:ascii="Arial" w:cs="Arial" w:eastAsia="Arial" w:hAnsi="Arial"/>
          <w:sz w:val="20"/>
          <w:szCs w:val="20"/>
          <w:u w:val="single" w:color="auto"/>
          <w:color w:val="auto"/>
        </w:rPr>
        <w:t>ADEA</w:t>
      </w:r>
      <w:r>
        <w:rPr>
          <w:rFonts w:ascii="Arial" w:cs="Arial" w:eastAsia="Arial" w:hAnsi="Arial"/>
          <w:sz w:val="20"/>
          <w:szCs w:val="20"/>
          <w:color w:val="auto"/>
        </w:rPr>
        <w:t>”); the Equal Pay Act of 1963, as amended; the Americans with Disabilities Act of 1990; the Family and Medical Leave Act of 1993; the Worker Adjustment and Retraining Notification Act; the Employee Retirement Income Security Act of 1974, as amended; any applicable Executive Order Programs; the Fair Labor Standards Act; or their state or local counterparts; or under any other federal, state or local civil or human rights law, or under any other local,</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328" w:right="140"/>
        <w:spacing w:after="0" w:line="273" w:lineRule="auto"/>
        <w:rPr>
          <w:sz w:val="20"/>
          <w:szCs w:val="20"/>
          <w:color w:val="auto"/>
        </w:rPr>
      </w:pPr>
      <w:r>
        <w:rPr>
          <w:rFonts w:ascii="Arial" w:cs="Arial" w:eastAsia="Arial" w:hAnsi="Arial"/>
          <w:sz w:val="20"/>
          <w:szCs w:val="20"/>
          <w:color w:val="auto"/>
        </w:rPr>
        <w:t>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Arial" w:cs="Arial" w:eastAsia="Arial" w:hAnsi="Arial"/>
          <w:sz w:val="20"/>
          <w:szCs w:val="20"/>
          <w:u w:val="single" w:color="auto"/>
          <w:color w:val="auto"/>
        </w:rPr>
        <w:t>Claims</w:t>
      </w:r>
      <w:r>
        <w:rPr>
          <w:rFonts w:ascii="Arial" w:cs="Arial" w:eastAsia="Arial" w:hAnsi="Arial"/>
          <w:sz w:val="20"/>
          <w:szCs w:val="20"/>
          <w:color w:val="auto"/>
        </w:rPr>
        <w:t>”).</w:t>
      </w:r>
    </w:p>
    <w:p>
      <w:pPr>
        <w:spacing w:after="0" w:line="7" w:lineRule="exact"/>
        <w:rPr>
          <w:sz w:val="20"/>
          <w:szCs w:val="20"/>
          <w:color w:val="auto"/>
        </w:rPr>
      </w:pPr>
    </w:p>
    <w:p>
      <w:pPr>
        <w:ind w:left="328" w:hanging="328"/>
        <w:spacing w:after="0" w:line="268" w:lineRule="auto"/>
        <w:tabs>
          <w:tab w:leader="none" w:pos="325" w:val="left"/>
        </w:tabs>
        <w:numPr>
          <w:ilvl w:val="0"/>
          <w:numId w:val="51"/>
        </w:numPr>
        <w:rPr>
          <w:rFonts w:ascii="Arial" w:cs="Arial" w:eastAsia="Arial" w:hAnsi="Arial"/>
          <w:sz w:val="21"/>
          <w:szCs w:val="21"/>
          <w:color w:val="auto"/>
        </w:rPr>
      </w:pPr>
      <w:r>
        <w:rPr>
          <w:rFonts w:ascii="Arial" w:cs="Arial" w:eastAsia="Arial" w:hAnsi="Arial"/>
          <w:sz w:val="21"/>
          <w:szCs w:val="21"/>
          <w:color w:val="auto"/>
        </w:rPr>
        <w:t>I represent that I have made no assignment or transfer of any Claim or other right, demand, cause of action or other matter covered by Section 2 above.</w:t>
      </w:r>
    </w:p>
    <w:p>
      <w:pPr>
        <w:ind w:left="328" w:right="140" w:hanging="328"/>
        <w:spacing w:after="0" w:line="260" w:lineRule="auto"/>
        <w:tabs>
          <w:tab w:leader="none" w:pos="325" w:val="left"/>
        </w:tabs>
        <w:numPr>
          <w:ilvl w:val="0"/>
          <w:numId w:val="51"/>
        </w:numPr>
        <w:rPr>
          <w:rFonts w:ascii="Arial" w:cs="Arial" w:eastAsia="Arial" w:hAnsi="Arial"/>
          <w:sz w:val="21"/>
          <w:szCs w:val="21"/>
          <w:color w:val="auto"/>
        </w:rPr>
      </w:pPr>
      <w:r>
        <w:rPr>
          <w:rFonts w:ascii="Arial" w:cs="Arial" w:eastAsia="Arial" w:hAnsi="Arial"/>
          <w:sz w:val="21"/>
          <w:szCs w:val="21"/>
          <w:color w:val="auto"/>
        </w:rPr>
        <w:t>I acknowledge and understand that this General Release does not waive or release any rights or claims that I may have under the ADEA which arise after the date I execute this General Release. I acknowledge and agree that my separation from employment with the Company in compliance with the terms of the Agreement shall not serve as the basis for any claim or action (including any claim under the ADEA).</w:t>
      </w:r>
    </w:p>
    <w:p>
      <w:pPr>
        <w:spacing w:after="0" w:line="6" w:lineRule="exact"/>
        <w:rPr>
          <w:rFonts w:ascii="Arial" w:cs="Arial" w:eastAsia="Arial" w:hAnsi="Arial"/>
          <w:sz w:val="21"/>
          <w:szCs w:val="21"/>
          <w:color w:val="auto"/>
        </w:rPr>
      </w:pPr>
    </w:p>
    <w:p>
      <w:pPr>
        <w:ind w:left="328" w:right="40" w:hanging="328"/>
        <w:spacing w:after="0" w:line="251" w:lineRule="auto"/>
        <w:tabs>
          <w:tab w:leader="none" w:pos="325" w:val="left"/>
        </w:tabs>
        <w:numPr>
          <w:ilvl w:val="0"/>
          <w:numId w:val="51"/>
        </w:numPr>
        <w:rPr>
          <w:rFonts w:ascii="Arial" w:cs="Arial" w:eastAsia="Arial" w:hAnsi="Arial"/>
          <w:sz w:val="21"/>
          <w:szCs w:val="21"/>
          <w:color w:val="auto"/>
        </w:rPr>
      </w:pPr>
      <w:r>
        <w:rPr>
          <w:rFonts w:ascii="Arial" w:cs="Arial" w:eastAsia="Arial" w:hAnsi="Arial"/>
          <w:sz w:val="21"/>
          <w:szCs w:val="21"/>
          <w:color w:val="auto"/>
        </w:rPr>
        <w:t>I agree that I am waiving all rights to sue or obtain equitable, remedial or punitive relief with respect to any Claim released herein from any or all Released Parties of any kind whatsoever, including reinstatement, back pay, front pay, attorneys’ fees and any form of injunctive relief. Notwithstanding the foregoing, I further acknowledge that I am not waiving and am not being required to waive any right that cannot be waived by law, including the right to file a charge or participate in an administrative investigation or proceeding of any government agency that does not acknowledge the validity of this General Release; provided, however, that I disclaim and waive any right to share or participate in any monetary or other award resulting from the prosecution of such charge or investigation or proceeding.</w:t>
      </w:r>
    </w:p>
    <w:p>
      <w:pPr>
        <w:spacing w:after="0" w:line="18" w:lineRule="exact"/>
        <w:rPr>
          <w:rFonts w:ascii="Arial" w:cs="Arial" w:eastAsia="Arial" w:hAnsi="Arial"/>
          <w:sz w:val="21"/>
          <w:szCs w:val="21"/>
          <w:color w:val="auto"/>
        </w:rPr>
      </w:pPr>
    </w:p>
    <w:p>
      <w:pPr>
        <w:ind w:left="328" w:hanging="328"/>
        <w:spacing w:after="0" w:line="249" w:lineRule="auto"/>
        <w:tabs>
          <w:tab w:leader="none" w:pos="325" w:val="left"/>
        </w:tabs>
        <w:numPr>
          <w:ilvl w:val="0"/>
          <w:numId w:val="51"/>
        </w:numPr>
        <w:rPr>
          <w:rFonts w:ascii="Arial" w:cs="Arial" w:eastAsia="Arial" w:hAnsi="Arial"/>
          <w:sz w:val="21"/>
          <w:szCs w:val="21"/>
          <w:color w:val="auto"/>
        </w:rPr>
      </w:pPr>
      <w:r>
        <w:rPr>
          <w:rFonts w:ascii="Arial" w:cs="Arial" w:eastAsia="Arial" w:hAnsi="Arial"/>
          <w:sz w:val="21"/>
          <w:szCs w:val="21"/>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Section 2 above as of the execution of this General Release. I also agree to hold each of the Released Parties harmless from, and to indemnify each of the Released Parties against, any and all damages, including attorney’s fees and expenses, that any of them may suffer on account of any breach of any representation or warranty I make hereunder.</w:t>
      </w:r>
    </w:p>
    <w:p>
      <w:pPr>
        <w:spacing w:after="0" w:line="29" w:lineRule="exact"/>
        <w:rPr>
          <w:rFonts w:ascii="Arial" w:cs="Arial" w:eastAsia="Arial" w:hAnsi="Arial"/>
          <w:sz w:val="21"/>
          <w:szCs w:val="21"/>
          <w:color w:val="auto"/>
        </w:rPr>
      </w:pPr>
    </w:p>
    <w:p>
      <w:pPr>
        <w:ind w:left="328"/>
        <w:spacing w:after="0" w:line="273" w:lineRule="auto"/>
        <w:rPr>
          <w:rFonts w:ascii="Arial" w:cs="Arial" w:eastAsia="Arial" w:hAnsi="Arial"/>
          <w:sz w:val="21"/>
          <w:szCs w:val="21"/>
          <w:color w:val="auto"/>
        </w:rPr>
      </w:pPr>
      <w:r>
        <w:rPr>
          <w:rFonts w:ascii="Arial" w:cs="Arial" w:eastAsia="Arial" w:hAnsi="Arial"/>
          <w:sz w:val="21"/>
          <w:szCs w:val="21"/>
          <w:color w:val="auto"/>
        </w:rPr>
        <w:t>I represent that I am not aware of any claim by me other than the Claims that are released by this General Release. I acknowledge that I may hereafter discover</w:t>
      </w:r>
    </w:p>
    <w:p>
      <w:pPr>
        <w:sectPr>
          <w:pgSz w:w="11900" w:h="16838" w:orient="portrait"/>
          <w:cols w:equalWidth="0" w:num="1">
            <w:col w:w="10888"/>
          </w:cols>
          <w:pgMar w:left="652" w:top="1440" w:right="359" w:bottom="1440" w:gutter="0" w:footer="0" w:header="0"/>
        </w:sectPr>
      </w:pPr>
    </w:p>
    <w:bookmarkStart w:id="66" w:name="page67"/>
    <w:bookmarkEnd w:id="6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328" w:right="160"/>
        <w:spacing w:after="0" w:line="273" w:lineRule="auto"/>
        <w:rPr>
          <w:sz w:val="20"/>
          <w:szCs w:val="20"/>
          <w:color w:val="auto"/>
        </w:rPr>
      </w:pPr>
      <w:r>
        <w:rPr>
          <w:rFonts w:ascii="Arial" w:cs="Arial" w:eastAsia="Arial" w:hAnsi="Arial"/>
          <w:sz w:val="20"/>
          <w:szCs w:val="20"/>
          <w:color w:val="auto"/>
        </w:rPr>
        <w:t>claims or facts in addition to or different than those which I now know or believe to exist with respect to the subject matter of this General Release and which, if known or suspected at the time of entering into this General Release, may have materially affected this General Release and my decision to enter into it. Nevertheless, I hereby waive any right, claim or cause of action that might arise as a result of such different or additional claims or facts.</w:t>
      </w:r>
    </w:p>
    <w:p>
      <w:pPr>
        <w:spacing w:after="0" w:line="7" w:lineRule="exact"/>
        <w:rPr>
          <w:sz w:val="20"/>
          <w:szCs w:val="20"/>
          <w:color w:val="auto"/>
        </w:rPr>
      </w:pPr>
    </w:p>
    <w:p>
      <w:pPr>
        <w:ind w:left="328" w:right="160" w:hanging="328"/>
        <w:spacing w:after="0" w:line="257" w:lineRule="auto"/>
        <w:tabs>
          <w:tab w:leader="none" w:pos="325" w:val="left"/>
        </w:tabs>
        <w:numPr>
          <w:ilvl w:val="0"/>
          <w:numId w:val="52"/>
        </w:numPr>
        <w:rPr>
          <w:rFonts w:ascii="Arial" w:cs="Arial" w:eastAsia="Arial" w:hAnsi="Arial"/>
          <w:sz w:val="21"/>
          <w:szCs w:val="21"/>
          <w:color w:val="auto"/>
        </w:rPr>
      </w:pPr>
      <w:r>
        <w:rPr>
          <w:rFonts w:ascii="Arial" w:cs="Arial" w:eastAsia="Arial" w:hAnsi="Arial"/>
          <w:sz w:val="21"/>
          <w:szCs w:val="21"/>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20" w:lineRule="exact"/>
        <w:rPr>
          <w:rFonts w:ascii="Arial" w:cs="Arial" w:eastAsia="Arial" w:hAnsi="Arial"/>
          <w:sz w:val="21"/>
          <w:szCs w:val="21"/>
          <w:color w:val="auto"/>
        </w:rPr>
      </w:pPr>
    </w:p>
    <w:p>
      <w:pPr>
        <w:ind w:left="328" w:hanging="328"/>
        <w:spacing w:after="0" w:line="252" w:lineRule="auto"/>
        <w:tabs>
          <w:tab w:leader="none" w:pos="325" w:val="left"/>
        </w:tabs>
        <w:numPr>
          <w:ilvl w:val="0"/>
          <w:numId w:val="52"/>
        </w:numPr>
        <w:rPr>
          <w:rFonts w:ascii="Arial" w:cs="Arial" w:eastAsia="Arial" w:hAnsi="Arial"/>
          <w:sz w:val="21"/>
          <w:szCs w:val="21"/>
          <w:color w:val="auto"/>
        </w:rPr>
      </w:pPr>
      <w:r>
        <w:rPr>
          <w:rFonts w:ascii="Arial" w:cs="Arial" w:eastAsia="Arial" w:hAnsi="Arial"/>
          <w:sz w:val="21"/>
          <w:szCs w:val="21"/>
          <w:color w:val="auto"/>
        </w:rPr>
        <w:t>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prevailing party's attorney's fees are paid by the other party, and return all payments received by me pursuant to the Agreement.</w:t>
      </w:r>
    </w:p>
    <w:p>
      <w:pPr>
        <w:spacing w:after="0" w:line="28" w:lineRule="exact"/>
        <w:rPr>
          <w:rFonts w:ascii="Arial" w:cs="Arial" w:eastAsia="Arial" w:hAnsi="Arial"/>
          <w:sz w:val="21"/>
          <w:szCs w:val="21"/>
          <w:color w:val="auto"/>
        </w:rPr>
      </w:pPr>
    </w:p>
    <w:p>
      <w:pPr>
        <w:ind w:left="328" w:right="80" w:hanging="328"/>
        <w:spacing w:after="0" w:line="256" w:lineRule="auto"/>
        <w:tabs>
          <w:tab w:leader="none" w:pos="325" w:val="left"/>
        </w:tabs>
        <w:numPr>
          <w:ilvl w:val="0"/>
          <w:numId w:val="52"/>
        </w:numPr>
        <w:rPr>
          <w:rFonts w:ascii="Arial" w:cs="Arial" w:eastAsia="Arial" w:hAnsi="Arial"/>
          <w:sz w:val="21"/>
          <w:szCs w:val="21"/>
          <w:color w:val="auto"/>
        </w:rPr>
      </w:pPr>
      <w:r>
        <w:rPr>
          <w:rFonts w:ascii="Arial" w:cs="Arial" w:eastAsia="Arial" w:hAnsi="Arial"/>
          <w:sz w:val="21"/>
          <w:szCs w:val="21"/>
          <w:color w:val="auto"/>
        </w:rPr>
        <w:t>I agree that this General Release and the Agreement are confidential and agree not to disclose any information regarding the terms of this General Release or the Agreement, except to my immediate family and any tax, legal or other counsel I have consulted regarding the meaning or effect hereof or as required by law, and I will instruct each of the foregoing not to disclose the same to anyone.</w:t>
      </w:r>
    </w:p>
    <w:p>
      <w:pPr>
        <w:spacing w:after="0" w:line="9" w:lineRule="exact"/>
        <w:rPr>
          <w:rFonts w:ascii="Arial" w:cs="Arial" w:eastAsia="Arial" w:hAnsi="Arial"/>
          <w:sz w:val="21"/>
          <w:szCs w:val="21"/>
          <w:color w:val="auto"/>
        </w:rPr>
      </w:pPr>
    </w:p>
    <w:p>
      <w:pPr>
        <w:ind w:left="328" w:right="320" w:hanging="328"/>
        <w:spacing w:after="0" w:line="256" w:lineRule="auto"/>
        <w:tabs>
          <w:tab w:leader="none" w:pos="319" w:val="left"/>
        </w:tabs>
        <w:numPr>
          <w:ilvl w:val="0"/>
          <w:numId w:val="52"/>
        </w:numPr>
        <w:rPr>
          <w:rFonts w:ascii="Arial" w:cs="Arial" w:eastAsia="Arial" w:hAnsi="Arial"/>
          <w:sz w:val="21"/>
          <w:szCs w:val="21"/>
          <w:color w:val="auto"/>
        </w:rPr>
      </w:pPr>
      <w:r>
        <w:rPr>
          <w:rFonts w:ascii="Arial" w:cs="Arial" w:eastAsia="Arial" w:hAnsi="Arial"/>
          <w:sz w:val="21"/>
          <w:szCs w:val="21"/>
          <w:color w:val="auto"/>
        </w:rPr>
        <w:t>Any non-disclosure provision in this General Release does not prohibit or restrict me (or my attorney) from responding to any inquiry about this General Release or its underlying facts and circumstances by the Securities and Exchange Bonus (SEC), the Financial Industry Regulatory Authority (FINRA) or any other self-regulatory organization or governmental entity.</w:t>
      </w:r>
    </w:p>
    <w:p>
      <w:pPr>
        <w:spacing w:after="0" w:line="22" w:lineRule="exact"/>
        <w:rPr>
          <w:rFonts w:ascii="Arial" w:cs="Arial" w:eastAsia="Arial" w:hAnsi="Arial"/>
          <w:sz w:val="21"/>
          <w:szCs w:val="21"/>
          <w:color w:val="auto"/>
        </w:rPr>
      </w:pPr>
    </w:p>
    <w:p>
      <w:pPr>
        <w:ind w:left="328" w:right="80" w:hanging="328"/>
        <w:spacing w:after="0" w:line="263" w:lineRule="auto"/>
        <w:tabs>
          <w:tab w:leader="none" w:pos="303" w:val="left"/>
        </w:tabs>
        <w:numPr>
          <w:ilvl w:val="0"/>
          <w:numId w:val="52"/>
        </w:numPr>
        <w:rPr>
          <w:rFonts w:ascii="Arial" w:cs="Arial" w:eastAsia="Arial" w:hAnsi="Arial"/>
          <w:sz w:val="21"/>
          <w:szCs w:val="21"/>
          <w:color w:val="auto"/>
        </w:rPr>
      </w:pPr>
      <w:r>
        <w:rPr>
          <w:rFonts w:ascii="Arial" w:cs="Arial" w:eastAsia="Arial" w:hAnsi="Arial"/>
          <w:sz w:val="21"/>
          <w:szCs w:val="21"/>
          <w:color w:val="auto"/>
        </w:rPr>
        <w:t>I agree to reasonably cooperate with the Company in any internal investigation, any administrative, regulatory or judicial proceeding or any dispute with a third party, in each case in accordance with the Cooperation section of the Agreement.</w:t>
      </w:r>
    </w:p>
    <w:p>
      <w:pPr>
        <w:spacing w:after="0" w:line="2" w:lineRule="exact"/>
        <w:rPr>
          <w:rFonts w:ascii="Arial" w:cs="Arial" w:eastAsia="Arial" w:hAnsi="Arial"/>
          <w:sz w:val="21"/>
          <w:szCs w:val="21"/>
          <w:color w:val="auto"/>
        </w:rPr>
      </w:pPr>
    </w:p>
    <w:p>
      <w:pPr>
        <w:ind w:left="328" w:right="20" w:hanging="328"/>
        <w:spacing w:after="0" w:line="265" w:lineRule="auto"/>
        <w:tabs>
          <w:tab w:leader="none" w:pos="319"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agree not to disparage the Company, its past and present investors, officers, directors or employees or its affiliates and to keep all confidential and proprietary information about the past or present business affairs of the Company and its affiliates confidential unless a prior written release from the Company is obtained. I further agree that, as of the date hereof, I have returned to the Company any and all property, tangible or intangible, relating to its business, which I possessed or had control over at any time (including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pacing w:after="0" w:line="7" w:lineRule="exact"/>
        <w:rPr>
          <w:rFonts w:ascii="Arial" w:cs="Arial" w:eastAsia="Arial" w:hAnsi="Arial"/>
          <w:sz w:val="20"/>
          <w:szCs w:val="20"/>
          <w:color w:val="auto"/>
        </w:rPr>
      </w:pPr>
    </w:p>
    <w:p>
      <w:pPr>
        <w:ind w:left="328" w:right="20" w:hanging="328"/>
        <w:spacing w:after="0" w:line="264" w:lineRule="auto"/>
        <w:tabs>
          <w:tab w:leader="none" w:pos="319"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Notwithstanding anything in this General Release to the contrary, this General Release shall not relinquish, diminish or in any way affect any rights or claims arising out of any breach by the Company or by any Released Party of the Agreement first occurring or arising after the date hereof.</w:t>
      </w:r>
    </w:p>
    <w:p>
      <w:pPr>
        <w:sectPr>
          <w:pgSz w:w="11900" w:h="16838" w:orient="portrait"/>
          <w:cols w:equalWidth="0" w:num="1">
            <w:col w:w="10908"/>
          </w:cols>
          <w:pgMar w:left="652" w:top="1440" w:right="339" w:bottom="1440" w:gutter="0" w:footer="0" w:header="0"/>
        </w:sectPr>
      </w:pPr>
    </w:p>
    <w:bookmarkStart w:id="67" w:name="page68"/>
    <w:bookmarkEnd w:id="6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660" w:right="20"/>
        <w:spacing w:after="0" w:line="253" w:lineRule="auto"/>
        <w:rPr>
          <w:sz w:val="20"/>
          <w:szCs w:val="20"/>
          <w:color w:val="auto"/>
        </w:rPr>
      </w:pPr>
      <w:r>
        <w:rPr>
          <w:rFonts w:ascii="Arial" w:cs="Arial" w:eastAsia="Arial" w:hAnsi="Arial"/>
          <w:sz w:val="21"/>
          <w:szCs w:val="21"/>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and this General Release shall be reformed, construed and enforced in such jurisdiction as if such invalid, illegal or unenforceable provision had never been contained herein.</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color w:val="auto"/>
        </w:rPr>
        <w:t>BY SIGNING THIS GENERAL RELEASE, I REPRESENT AND AGREE THAT:</w:t>
      </w:r>
    </w:p>
    <w:p>
      <w:pPr>
        <w:spacing w:after="0" w:line="25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HAVE READ IT CAREFULLY;</w:t>
      </w:r>
    </w:p>
    <w:p>
      <w:pPr>
        <w:spacing w:after="0" w:line="163" w:lineRule="exact"/>
        <w:rPr>
          <w:rFonts w:ascii="Arial" w:cs="Arial" w:eastAsia="Arial" w:hAnsi="Arial"/>
          <w:sz w:val="21"/>
          <w:szCs w:val="21"/>
          <w:color w:val="auto"/>
        </w:rPr>
      </w:pPr>
    </w:p>
    <w:p>
      <w:pPr>
        <w:jc w:val="both"/>
        <w:ind w:left="660" w:hanging="328"/>
        <w:spacing w:after="0" w:line="256" w:lineRule="auto"/>
        <w:tabs>
          <w:tab w:leader="none" w:pos="6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UNDERSTAND ALL OF ITS TERMS AND KNOW THAT I AM GIVING UP IMPORTANT RIGHTS, INCLUDING RIGHTS UNDER THE ADEA; TITLE VII OF THE CIVIL RIGHTS ACT OF 1964, AS AMENDED; THE EQUAL PAY ACT OF 1963; THE AMERICANS WITH DISABILITIES ACT OF 1990; AND THE EMPLOYEE RETIREMENT INCOME SECURITY ACT OF 1974, AS AMENDED;</w:t>
      </w:r>
    </w:p>
    <w:p>
      <w:pPr>
        <w:spacing w:after="0" w:line="130" w:lineRule="exact"/>
        <w:rPr>
          <w:rFonts w:ascii="Arial" w:cs="Arial" w:eastAsia="Arial" w:hAnsi="Arial"/>
          <w:sz w:val="21"/>
          <w:szCs w:val="21"/>
          <w:color w:val="auto"/>
        </w:rPr>
      </w:pPr>
    </w:p>
    <w:p>
      <w:pPr>
        <w:ind w:left="660" w:hanging="328"/>
        <w:spacing w:after="0"/>
        <w:tabs>
          <w:tab w:leader="none" w:pos="6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VOLUNTARILY CONSENT TO EVERYTHING IN IT;</w:t>
      </w:r>
    </w:p>
    <w:p>
      <w:pPr>
        <w:spacing w:after="0" w:line="163" w:lineRule="exact"/>
        <w:rPr>
          <w:rFonts w:ascii="Arial" w:cs="Arial" w:eastAsia="Arial" w:hAnsi="Arial"/>
          <w:sz w:val="21"/>
          <w:szCs w:val="21"/>
          <w:color w:val="auto"/>
        </w:rPr>
      </w:pPr>
    </w:p>
    <w:p>
      <w:pPr>
        <w:jc w:val="both"/>
        <w:ind w:left="660" w:hanging="328"/>
        <w:spacing w:after="0" w:line="264" w:lineRule="auto"/>
        <w:tabs>
          <w:tab w:leader="none" w:pos="6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HAVE BEEN ADVISED TO CONSULT WITH AN ATTORNEY BEFORE EXECUTING IT, AND I HAVE DONE SO, OR, AFTER CAREFUL READING AND CONSIDERATION I HAVE CHOSEN NOT TO DO SO OF MY OWN VOLITION;</w:t>
      </w:r>
    </w:p>
    <w:p>
      <w:pPr>
        <w:spacing w:after="0" w:line="107" w:lineRule="exact"/>
        <w:rPr>
          <w:rFonts w:ascii="Arial" w:cs="Arial" w:eastAsia="Arial" w:hAnsi="Arial"/>
          <w:sz w:val="21"/>
          <w:szCs w:val="21"/>
          <w:color w:val="auto"/>
        </w:rPr>
      </w:pPr>
    </w:p>
    <w:p>
      <w:pPr>
        <w:jc w:val="both"/>
        <w:ind w:left="660" w:hanging="328"/>
        <w:spacing w:after="0" w:line="273" w:lineRule="auto"/>
        <w:tabs>
          <w:tab w:leader="none" w:pos="657"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BEEN GIVEN ALL TIME PERIODS REQUIRED BY LAW TO CONSIDER THIS GENERAL RELEASE, INCLUDING THE 21-DAY PERIOD REQUIRED BY THE ADEA. I UNDERSTAND THAT I MAY EXECUTE THIS GENERAL RELEASE LESS THAN 21 DAYS FROM ITS RECEIPT FROM THE COMPANY, BUT AGREE THAT SUCH EXECUTION WILL REPRESENT MY KNOWING WAIVER OF SUCH 21-DAY CONSIDERATION PERIOD;</w:t>
      </w:r>
    </w:p>
    <w:p>
      <w:pPr>
        <w:spacing w:after="0" w:line="114" w:lineRule="exact"/>
        <w:rPr>
          <w:rFonts w:ascii="Arial" w:cs="Arial" w:eastAsia="Arial" w:hAnsi="Arial"/>
          <w:sz w:val="20"/>
          <w:szCs w:val="20"/>
          <w:color w:val="auto"/>
        </w:rPr>
      </w:pPr>
    </w:p>
    <w:p>
      <w:pPr>
        <w:jc w:val="both"/>
        <w:ind w:left="660" w:hanging="328"/>
        <w:spacing w:after="0" w:line="252" w:lineRule="auto"/>
        <w:tabs>
          <w:tab w:leader="none" w:pos="6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UNDERSTAND THAT I HAVE SEVEN DAYS AFTER THE EXECUTION OF THIS GENERAL RELEASE TO REVOKE IT AND THAT NONE OF THIS GENERAL RELEASE, THE COMPANY’S OBLIGATIONS HEREUNDER OR ANY OF THE COMPANY’S OBLIGATIONS UNDER THE AGREEMENT THAT ARE CONDITIONED ON THE EXECUTION, DELIVERY OR EFFECTIVENESS OF THIS GENERAL RELEASE SHALL BECOME EFFECTIVE OR ENFORCEABLE UNTIL THE REVOCATION PERIOD HAS EXPIRED;</w:t>
      </w:r>
    </w:p>
    <w:p>
      <w:pPr>
        <w:spacing w:after="0" w:line="136" w:lineRule="exact"/>
        <w:rPr>
          <w:rFonts w:ascii="Arial" w:cs="Arial" w:eastAsia="Arial" w:hAnsi="Arial"/>
          <w:sz w:val="21"/>
          <w:szCs w:val="21"/>
          <w:color w:val="auto"/>
        </w:rPr>
      </w:pPr>
    </w:p>
    <w:p>
      <w:pPr>
        <w:ind w:left="660" w:right="20" w:hanging="328"/>
        <w:spacing w:after="0" w:line="273" w:lineRule="auto"/>
        <w:tabs>
          <w:tab w:leader="none" w:pos="6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HAVE SIGNED THIS GENERAL RELEASE KNOWINGLY AND VOLUNTARILY AND WITH THE ADVICE OF ANY COUNSEL RETAINED TO ADVISE ME WITH RESPECT TO IT; AND</w:t>
      </w:r>
    </w:p>
    <w:p>
      <w:pPr>
        <w:spacing w:after="0" w:line="112" w:lineRule="exact"/>
        <w:rPr>
          <w:rFonts w:ascii="Arial" w:cs="Arial" w:eastAsia="Arial" w:hAnsi="Arial"/>
          <w:sz w:val="21"/>
          <w:szCs w:val="21"/>
          <w:color w:val="auto"/>
        </w:rPr>
      </w:pPr>
    </w:p>
    <w:p>
      <w:pPr>
        <w:jc w:val="both"/>
        <w:ind w:left="660" w:right="20" w:hanging="328"/>
        <w:spacing w:after="0" w:line="257" w:lineRule="auto"/>
        <w:tabs>
          <w:tab w:leader="none" w:pos="65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AGREE THAT THE PROVISIONS OF THIS GENERAL RELEASE MAY NOT BE AMENDED, WAIVED, CHANGED OR MODIFIED EXCEPT BY AN INSTRUMENT IN WRITING SIGNED BY AN AUTHORIZED REPRESENTATIVE OF THE COMPANY AND BY 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Follow]</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auto"/>
        </w:rPr>
        <w:t>Employee Name: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Employee Signature: </w:t>
      </w:r>
      <w:r>
        <w:rPr>
          <w:rFonts w:ascii="Arial" w:cs="Arial" w:eastAsia="Arial" w:hAnsi="Arial"/>
          <w:sz w:val="20"/>
          <w:szCs w:val="20"/>
          <w:b w:val="1"/>
          <w:bCs w:val="1"/>
          <w:u w:val="single" w:color="auto"/>
          <w:color w:val="auto"/>
          <w:highlight w:val="yellow"/>
        </w:rPr>
        <w:t>FOR REVIEW ONLY, DO NOT SIGN</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Acknowledged and Agreed:</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Array Tech, Inc.</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ectPr>
          <w:pgSz w:w="11900" w:h="16838" w:orient="portrait"/>
          <w:cols w:equalWidth="0" w:num="1">
            <w:col w:w="9479"/>
          </w:cols>
          <w:pgMar w:left="980" w:top="1440" w:right="1440" w:bottom="1440" w:gutter="0" w:footer="0" w:header="0"/>
        </w:sectPr>
      </w:pPr>
    </w:p>
    <w:bookmarkStart w:id="69" w:name="page70"/>
    <w:bookmarkEnd w:id="6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1"/>
          <w:szCs w:val="21"/>
          <w:b w:val="1"/>
          <w:bCs w:val="1"/>
          <w:u w:val="single" w:color="auto"/>
          <w:color w:val="auto"/>
        </w:rPr>
        <w:t>Exhibit 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Employee Inventions Assignment Agreement</w:t>
      </w:r>
    </w:p>
    <w:p>
      <w:pPr>
        <w:spacing w:after="0" w:line="238" w:lineRule="exact"/>
        <w:rPr>
          <w:sz w:val="20"/>
          <w:szCs w:val="20"/>
          <w:color w:val="auto"/>
        </w:rPr>
      </w:pPr>
    </w:p>
    <w:p>
      <w:pPr>
        <w:ind w:right="160"/>
        <w:spacing w:after="0" w:line="264" w:lineRule="auto"/>
        <w:rPr>
          <w:sz w:val="20"/>
          <w:szCs w:val="20"/>
          <w:color w:val="auto"/>
        </w:rPr>
      </w:pPr>
      <w:r>
        <w:rPr>
          <w:rFonts w:ascii="Arial" w:cs="Arial" w:eastAsia="Arial" w:hAnsi="Arial"/>
          <w:sz w:val="21"/>
          <w:szCs w:val="21"/>
          <w:color w:val="auto"/>
        </w:rPr>
        <w:t>In consideration for my new or continued employment by Array Tech, Inc. (together with its parent and subsidiary entities,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and the compensation paid to me now and during my employment with Company, I, </w:t>
      </w:r>
      <w:r>
        <w:rPr>
          <w:rFonts w:ascii="Arial" w:cs="Arial" w:eastAsia="Arial" w:hAnsi="Arial"/>
          <w:sz w:val="21"/>
          <w:szCs w:val="21"/>
          <w:b w:val="1"/>
          <w:bCs w:val="1"/>
          <w:color w:val="auto"/>
        </w:rPr>
        <w:t>Gina Gunning</w:t>
      </w:r>
      <w:r>
        <w:rPr>
          <w:rFonts w:ascii="Arial" w:cs="Arial" w:eastAsia="Arial" w:hAnsi="Arial"/>
          <w:sz w:val="21"/>
          <w:szCs w:val="21"/>
          <w:color w:val="auto"/>
        </w:rPr>
        <w:t>, acknowledge and agree to the following (the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89" w:lineRule="exact"/>
        <w:rPr>
          <w:sz w:val="20"/>
          <w:szCs w:val="20"/>
          <w:color w:val="auto"/>
        </w:rPr>
      </w:pPr>
    </w:p>
    <w:p>
      <w:pPr>
        <w:ind w:left="660" w:right="180" w:hanging="328"/>
        <w:spacing w:after="0" w:line="264" w:lineRule="auto"/>
        <w:tabs>
          <w:tab w:leader="none" w:pos="657" w:val="left"/>
        </w:tabs>
        <w:numPr>
          <w:ilvl w:val="0"/>
          <w:numId w:val="54"/>
        </w:numPr>
        <w:rPr>
          <w:rFonts w:ascii="Arial" w:cs="Arial" w:eastAsia="Arial" w:hAnsi="Arial"/>
          <w:sz w:val="21"/>
          <w:szCs w:val="21"/>
          <w:color w:val="auto"/>
        </w:rPr>
      </w:pPr>
      <w:r>
        <w:rPr>
          <w:rFonts w:ascii="Arial" w:cs="Arial" w:eastAsia="Arial" w:hAnsi="Arial"/>
          <w:sz w:val="21"/>
          <w:szCs w:val="21"/>
          <w:color w:val="auto"/>
        </w:rPr>
        <w:t>Definitions. Whenever used in this Agreement the following words and phrases shall have the following respective meanings. Other words and phrases are defined within the context of the Agreement below and will have the respective meanings as identified within the body of the Agreement.</w:t>
      </w:r>
    </w:p>
    <w:p>
      <w:pPr>
        <w:spacing w:after="0" w:line="53" w:lineRule="exact"/>
        <w:rPr>
          <w:rFonts w:ascii="Arial" w:cs="Arial" w:eastAsia="Arial" w:hAnsi="Arial"/>
          <w:sz w:val="21"/>
          <w:szCs w:val="21"/>
          <w:color w:val="auto"/>
        </w:rPr>
      </w:pPr>
    </w:p>
    <w:p>
      <w:pPr>
        <w:ind w:left="1300" w:right="40" w:hanging="320"/>
        <w:spacing w:after="0" w:line="256" w:lineRule="auto"/>
        <w:tabs>
          <w:tab w:leader="none" w:pos="1297" w:val="left"/>
        </w:tabs>
        <w:numPr>
          <w:ilvl w:val="1"/>
          <w:numId w:val="54"/>
        </w:numPr>
        <w:rPr>
          <w:rFonts w:ascii="Arial" w:cs="Arial" w:eastAsia="Arial" w:hAnsi="Arial"/>
          <w:sz w:val="21"/>
          <w:szCs w:val="21"/>
          <w:color w:val="auto"/>
        </w:rPr>
      </w:pPr>
      <w:r>
        <w:rPr>
          <w:rFonts w:ascii="Arial" w:cs="Arial" w:eastAsia="Arial" w:hAnsi="Arial"/>
          <w:sz w:val="21"/>
          <w:szCs w:val="21"/>
          <w:color w:val="auto"/>
        </w:rPr>
        <w:t>“Intellectual Property Rights” means all discoveries, concepts, ideas, Inventions, innovations, improvements, developments, methods, designs, analyses, drawings, reports, patent applications, copyrightable work and mask work, Confidential Information, Copyrights, trademarks, mask work rights, patents and other intellectual property rights recognized by the laws of any jurisdiction or country.</w:t>
      </w:r>
    </w:p>
    <w:p>
      <w:pPr>
        <w:spacing w:after="0" w:line="76" w:lineRule="exact"/>
        <w:rPr>
          <w:rFonts w:ascii="Arial" w:cs="Arial" w:eastAsia="Arial" w:hAnsi="Arial"/>
          <w:sz w:val="21"/>
          <w:szCs w:val="21"/>
          <w:color w:val="auto"/>
        </w:rPr>
      </w:pPr>
    </w:p>
    <w:p>
      <w:pPr>
        <w:jc w:val="both"/>
        <w:ind w:left="1300" w:right="300" w:hanging="320"/>
        <w:spacing w:after="0" w:line="257" w:lineRule="auto"/>
        <w:tabs>
          <w:tab w:leader="none" w:pos="1297" w:val="left"/>
        </w:tabs>
        <w:numPr>
          <w:ilvl w:val="1"/>
          <w:numId w:val="54"/>
        </w:numPr>
        <w:rPr>
          <w:rFonts w:ascii="Arial" w:cs="Arial" w:eastAsia="Arial" w:hAnsi="Arial"/>
          <w:sz w:val="21"/>
          <w:szCs w:val="21"/>
          <w:color w:val="auto"/>
        </w:rPr>
      </w:pPr>
      <w:r>
        <w:rPr>
          <w:rFonts w:ascii="Arial" w:cs="Arial" w:eastAsia="Arial" w:hAnsi="Arial"/>
          <w:sz w:val="21"/>
          <w:szCs w:val="21"/>
          <w:color w:val="auto"/>
        </w:rPr>
        <w:t>“Copyright” means the exclusive legal right to reproduce, perform, display, distribute and make derivative works of a work of authorship (including as a literary, software source code or artistic work) recognized by the laws of any jurisdiction or country.</w:t>
      </w:r>
    </w:p>
    <w:p>
      <w:pPr>
        <w:spacing w:after="0" w:line="74" w:lineRule="exact"/>
        <w:rPr>
          <w:rFonts w:ascii="Arial" w:cs="Arial" w:eastAsia="Arial" w:hAnsi="Arial"/>
          <w:sz w:val="21"/>
          <w:szCs w:val="21"/>
          <w:color w:val="auto"/>
        </w:rPr>
      </w:pPr>
    </w:p>
    <w:p>
      <w:pPr>
        <w:ind w:left="1300" w:right="600" w:hanging="320"/>
        <w:spacing w:after="0" w:line="273" w:lineRule="auto"/>
        <w:tabs>
          <w:tab w:leader="none" w:pos="1299" w:val="left"/>
        </w:tabs>
        <w:numPr>
          <w:ilvl w:val="1"/>
          <w:numId w:val="54"/>
        </w:numPr>
        <w:rPr>
          <w:rFonts w:ascii="Arial" w:cs="Arial" w:eastAsia="Arial" w:hAnsi="Arial"/>
          <w:sz w:val="21"/>
          <w:szCs w:val="21"/>
          <w:color w:val="auto"/>
        </w:rPr>
      </w:pPr>
      <w:r>
        <w:rPr>
          <w:rFonts w:ascii="Arial" w:cs="Arial" w:eastAsia="Arial" w:hAnsi="Arial"/>
          <w:sz w:val="21"/>
          <w:szCs w:val="21"/>
          <w:color w:val="auto"/>
        </w:rPr>
        <w:t>“Moral Rights” means all paternity, integrity, disclosure, withdrawal, special and any other similar rights recognized by the laws of any jurisdiction or country.</w:t>
      </w:r>
    </w:p>
    <w:p>
      <w:pPr>
        <w:spacing w:after="0" w:line="58" w:lineRule="exact"/>
        <w:rPr>
          <w:rFonts w:ascii="Arial" w:cs="Arial" w:eastAsia="Arial" w:hAnsi="Arial"/>
          <w:sz w:val="21"/>
          <w:szCs w:val="21"/>
          <w:color w:val="auto"/>
        </w:rPr>
      </w:pPr>
    </w:p>
    <w:p>
      <w:pPr>
        <w:ind w:left="1300" w:right="60" w:hanging="320"/>
        <w:spacing w:after="0" w:line="256" w:lineRule="auto"/>
        <w:tabs>
          <w:tab w:leader="none" w:pos="1297" w:val="left"/>
        </w:tabs>
        <w:numPr>
          <w:ilvl w:val="1"/>
          <w:numId w:val="54"/>
        </w:numPr>
        <w:rPr>
          <w:rFonts w:ascii="Arial" w:cs="Arial" w:eastAsia="Arial" w:hAnsi="Arial"/>
          <w:sz w:val="21"/>
          <w:szCs w:val="21"/>
          <w:color w:val="auto"/>
        </w:rPr>
      </w:pPr>
      <w:r>
        <w:rPr>
          <w:rFonts w:ascii="Arial" w:cs="Arial" w:eastAsia="Arial" w:hAnsi="Arial"/>
          <w:sz w:val="21"/>
          <w:szCs w:val="21"/>
          <w:color w:val="auto"/>
        </w:rPr>
        <w:t>“Inventions” means trade secrets, inventions, mask works, ideas, processes, formulas, software in source or object code, data, programs, other works of authorship, know-how, improvements, discoveries, developments, designs and techniques and any other proprietary technology and all Intellectual Property Rights therein.</w:t>
      </w:r>
    </w:p>
    <w:p>
      <w:pPr>
        <w:spacing w:after="0" w:line="63" w:lineRule="exact"/>
        <w:rPr>
          <w:rFonts w:ascii="Arial" w:cs="Arial" w:eastAsia="Arial" w:hAnsi="Arial"/>
          <w:sz w:val="21"/>
          <w:szCs w:val="21"/>
          <w:color w:val="auto"/>
        </w:rPr>
      </w:pPr>
    </w:p>
    <w:p>
      <w:pPr>
        <w:ind w:left="1300" w:right="460" w:hanging="320"/>
        <w:spacing w:after="0" w:line="286" w:lineRule="auto"/>
        <w:tabs>
          <w:tab w:leader="none" w:pos="1297" w:val="left"/>
        </w:tabs>
        <w:numPr>
          <w:ilvl w:val="1"/>
          <w:numId w:val="54"/>
        </w:numPr>
        <w:rPr>
          <w:rFonts w:ascii="Arial" w:cs="Arial" w:eastAsia="Arial" w:hAnsi="Arial"/>
          <w:sz w:val="21"/>
          <w:szCs w:val="21"/>
          <w:color w:val="auto"/>
        </w:rPr>
      </w:pPr>
      <w:r>
        <w:rPr>
          <w:rFonts w:ascii="Arial" w:cs="Arial" w:eastAsia="Arial" w:hAnsi="Arial"/>
          <w:sz w:val="21"/>
          <w:szCs w:val="21"/>
          <w:color w:val="auto"/>
        </w:rPr>
        <w:t>“Trade Secrets” means and includes any compilation of data or information that would constitute a trade secret under applicable law.</w:t>
      </w:r>
    </w:p>
    <w:p>
      <w:pPr>
        <w:spacing w:after="0" w:line="31" w:lineRule="exact"/>
        <w:rPr>
          <w:rFonts w:ascii="Arial" w:cs="Arial" w:eastAsia="Arial" w:hAnsi="Arial"/>
          <w:sz w:val="21"/>
          <w:szCs w:val="21"/>
          <w:color w:val="auto"/>
        </w:rPr>
      </w:pPr>
    </w:p>
    <w:p>
      <w:pPr>
        <w:ind w:left="1300" w:hanging="320"/>
        <w:spacing w:after="0" w:line="251" w:lineRule="auto"/>
        <w:tabs>
          <w:tab w:leader="none" w:pos="1293" w:val="left"/>
        </w:tabs>
        <w:numPr>
          <w:ilvl w:val="1"/>
          <w:numId w:val="54"/>
        </w:numPr>
        <w:rPr>
          <w:rFonts w:ascii="Arial" w:cs="Arial" w:eastAsia="Arial" w:hAnsi="Arial"/>
          <w:sz w:val="21"/>
          <w:szCs w:val="21"/>
          <w:color w:val="auto"/>
        </w:rPr>
      </w:pPr>
      <w:r>
        <w:rPr>
          <w:rFonts w:ascii="Arial" w:cs="Arial" w:eastAsia="Arial" w:hAnsi="Arial"/>
          <w:sz w:val="21"/>
          <w:szCs w:val="21"/>
          <w:color w:val="auto"/>
        </w:rPr>
        <w:t>“Confidential Information” means, unless otherwise specified in writing by the Company, all information about the Company’s business and affairs, regardless of the format of such information and whether such information has been separately identified as “confidential” or “proprietary,” and whether such information is patentable, copyrightable, or otherwise protected by law. Without limiting the scope of the foregoing, Confidential Information includes (i) business plans, financial reports, financial data, employee data, Customer lists, Customer preferences, Customer needs, Customer requirements, forecasts, strategies, contract terms, current and future proposals and quotations, profit margins or markups, costs, expenses, Supplier terms and conditions, strategies, plans, and agreements with regard to Supplier(s), and</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968"/>
        <w:spacing w:after="0" w:line="250" w:lineRule="auto"/>
        <w:rPr>
          <w:sz w:val="20"/>
          <w:szCs w:val="20"/>
          <w:color w:val="auto"/>
        </w:rPr>
      </w:pPr>
      <w:r>
        <w:rPr>
          <w:rFonts w:ascii="Arial" w:cs="Arial" w:eastAsia="Arial" w:hAnsi="Arial"/>
          <w:sz w:val="21"/>
          <w:szCs w:val="21"/>
          <w:color w:val="auto"/>
        </w:rPr>
        <w:t>all other business information; (ii) Trade Secrets; and (iii) product designs and/or specifications, algorithms, computer programs, mask works, inventions, unpublished patent applications, manufacturing or other technical or scientific know-how, specifications, technical drawings, diagrams, schematics, software or firmware code, semiconductor or printed circuit board layout diagrams, technology, processes, and any Secrets, discoveries, ideas, concepts, know-how, techniques, materials, formulae, compositions, information, data, results, plans, surveys, and/or reports of a technical nature or concerning research and development and/or engineering activity. “Confidential Information” excludes information which you can demonstrate (i) is in the public domain through no act or omission of yours in violation of any agreement to which you are a party with the Company or any policy of the Company or (ii) has become available to you on a non-confidential basis from a source other than the Company without breach of such source’s confidentiality or non-disclosure obligations to the Company.</w:t>
      </w:r>
    </w:p>
    <w:p>
      <w:pPr>
        <w:spacing w:after="0" w:line="68" w:lineRule="exact"/>
        <w:rPr>
          <w:sz w:val="20"/>
          <w:szCs w:val="20"/>
          <w:color w:val="auto"/>
        </w:rPr>
      </w:pPr>
    </w:p>
    <w:p>
      <w:pPr>
        <w:ind w:left="328" w:right="140" w:hanging="328"/>
        <w:spacing w:after="0" w:line="256" w:lineRule="auto"/>
        <w:tabs>
          <w:tab w:leader="none" w:pos="325"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Inventions Retained by Me. Attached hereto as Exhibit A, is a list describing all Inventions, original works of authorship, developments, and improvements, which were made or owned by me prior to my employment with the Company and which belong to me or in which I have an interest (collectively, “</w:t>
      </w:r>
      <w:r>
        <w:rPr>
          <w:rFonts w:ascii="Arial" w:cs="Arial" w:eastAsia="Arial" w:hAnsi="Arial"/>
          <w:sz w:val="21"/>
          <w:szCs w:val="21"/>
          <w:u w:val="single" w:color="auto"/>
          <w:color w:val="auto"/>
        </w:rPr>
        <w:t>Prior Inventions</w:t>
      </w:r>
      <w:r>
        <w:rPr>
          <w:rFonts w:ascii="Arial" w:cs="Arial" w:eastAsia="Arial" w:hAnsi="Arial"/>
          <w:sz w:val="21"/>
          <w:szCs w:val="21"/>
          <w:color w:val="auto"/>
        </w:rPr>
        <w:t>”). If no such list is attached, I represent that there are no such Prior Inventions.</w:t>
      </w:r>
    </w:p>
    <w:p>
      <w:pPr>
        <w:spacing w:after="0" w:line="76" w:lineRule="exact"/>
        <w:rPr>
          <w:rFonts w:ascii="Arial" w:cs="Arial" w:eastAsia="Arial" w:hAnsi="Arial"/>
          <w:sz w:val="21"/>
          <w:szCs w:val="21"/>
          <w:color w:val="auto"/>
        </w:rPr>
      </w:pPr>
    </w:p>
    <w:p>
      <w:pPr>
        <w:ind w:left="328" w:hanging="328"/>
        <w:spacing w:after="0" w:line="249" w:lineRule="auto"/>
        <w:tabs>
          <w:tab w:leader="none" w:pos="325" w:val="left"/>
        </w:tabs>
        <w:numPr>
          <w:ilvl w:val="0"/>
          <w:numId w:val="55"/>
        </w:numPr>
        <w:rPr>
          <w:rFonts w:ascii="Arial" w:cs="Arial" w:eastAsia="Arial" w:hAnsi="Arial"/>
          <w:sz w:val="21"/>
          <w:szCs w:val="21"/>
          <w:color w:val="auto"/>
        </w:rPr>
      </w:pPr>
      <w:r>
        <w:rPr>
          <w:rFonts w:ascii="Arial" w:cs="Arial" w:eastAsia="Arial" w:hAnsi="Arial"/>
          <w:sz w:val="21"/>
          <w:szCs w:val="21"/>
          <w:color w:val="auto"/>
        </w:rPr>
        <w:t>Use of Prior Inventions. I agree that I will not incorporate, or permit to be incorporated, any Prior Invention into a Company product, process, machine, or otherwise without the Company’s prior written consent. Notwithstanding the foregoing sentence, and unless Company and I agree otherwise, if, in the course of my employment with the Company, I incorporate a Prior Invention into a Company product, process, machine, or otherwise, the Company is hereby granted and shall have a non-exclusive, royalty-free, irrevocable, sublicensable, perpetual, transferrable, and fully-paid worldwide license to make, have made, modify, use, distribute, publicly perform, publicly display in any form or medium, offer to sell, and sell such Prior Invention as part of or in connection with such product, process, or machine. To the extent that any third parties have rights in any such Prior Inventions, I hereby represent and warrant that such third party or parties have validly and irrevocably granted to me the right to grant the license stated above.</w:t>
      </w:r>
    </w:p>
    <w:p>
      <w:pPr>
        <w:spacing w:after="0" w:line="86" w:lineRule="exact"/>
        <w:rPr>
          <w:rFonts w:ascii="Arial" w:cs="Arial" w:eastAsia="Arial" w:hAnsi="Arial"/>
          <w:sz w:val="21"/>
          <w:szCs w:val="21"/>
          <w:color w:val="auto"/>
        </w:rPr>
      </w:pPr>
    </w:p>
    <w:p>
      <w:pPr>
        <w:ind w:left="328" w:hanging="328"/>
        <w:spacing w:after="0"/>
        <w:tabs>
          <w:tab w:leader="none" w:pos="328" w:val="left"/>
        </w:tabs>
        <w:numPr>
          <w:ilvl w:val="0"/>
          <w:numId w:val="55"/>
        </w:numPr>
        <w:rPr>
          <w:rFonts w:ascii="Arial" w:cs="Arial" w:eastAsia="Arial" w:hAnsi="Arial"/>
          <w:sz w:val="21"/>
          <w:szCs w:val="21"/>
          <w:color w:val="auto"/>
        </w:rPr>
      </w:pPr>
      <w:r>
        <w:rPr>
          <w:rFonts w:ascii="Arial" w:cs="Arial" w:eastAsia="Arial" w:hAnsi="Arial"/>
          <w:sz w:val="21"/>
          <w:szCs w:val="21"/>
          <w:color w:val="auto"/>
        </w:rPr>
        <w:t>Assignment of Inventions and Intellectual Property Rights.</w:t>
      </w:r>
    </w:p>
    <w:p>
      <w:pPr>
        <w:spacing w:after="0" w:line="109" w:lineRule="exact"/>
        <w:rPr>
          <w:rFonts w:ascii="Arial" w:cs="Arial" w:eastAsia="Arial" w:hAnsi="Arial"/>
          <w:sz w:val="21"/>
          <w:szCs w:val="21"/>
          <w:color w:val="auto"/>
        </w:rPr>
      </w:pPr>
    </w:p>
    <w:p>
      <w:pPr>
        <w:ind w:left="968" w:right="20" w:hanging="320"/>
        <w:spacing w:after="0" w:line="268" w:lineRule="auto"/>
        <w:tabs>
          <w:tab w:leader="none" w:pos="965" w:val="left"/>
        </w:tabs>
        <w:numPr>
          <w:ilvl w:val="1"/>
          <w:numId w:val="55"/>
        </w:numPr>
        <w:rPr>
          <w:rFonts w:ascii="Arial" w:cs="Arial" w:eastAsia="Arial" w:hAnsi="Arial"/>
          <w:sz w:val="20"/>
          <w:szCs w:val="20"/>
          <w:color w:val="auto"/>
        </w:rPr>
      </w:pPr>
      <w:r>
        <w:rPr>
          <w:rFonts w:ascii="Arial" w:cs="Arial" w:eastAsia="Arial" w:hAnsi="Arial"/>
          <w:sz w:val="20"/>
          <w:szCs w:val="20"/>
          <w:color w:val="auto"/>
        </w:rPr>
        <w:t>Subject to Section 2, and except for Prior Inventions set forth in Exhibit A, I hereby assign to Company (or to a third party as directed by Company) all my right, title, and interest in and to any and all Inventions and Intellectual Property Rights made, conceived, reduced to practice, or learned by me, either alone or with others, during the period of my employment by Company and that relate to the Company’s or any Company affiliate’s actual or anticipated business, research and development, or existing or future products or services (“</w:t>
      </w:r>
      <w:r>
        <w:rPr>
          <w:rFonts w:ascii="Arial" w:cs="Arial" w:eastAsia="Arial" w:hAnsi="Arial"/>
          <w:sz w:val="20"/>
          <w:szCs w:val="20"/>
          <w:u w:val="single" w:color="auto"/>
          <w:color w:val="auto"/>
        </w:rPr>
        <w:t>Company Inventions</w:t>
      </w:r>
      <w:r>
        <w:rPr>
          <w:rFonts w:ascii="Arial" w:cs="Arial" w:eastAsia="Arial" w:hAnsi="Arial"/>
          <w:sz w:val="20"/>
          <w:szCs w:val="20"/>
          <w:color w:val="auto"/>
        </w:rPr>
        <w:t>”). To the extent required by applicable Copyright laws, I agree to assign in the future (when any copyrightable Inventions are first fixed in a tangible medium of expression) my</w:t>
      </w:r>
    </w:p>
    <w:p>
      <w:pPr>
        <w:sectPr>
          <w:pgSz w:w="11900" w:h="16838" w:orient="portrait"/>
          <w:cols w:equalWidth="0" w:num="1">
            <w:col w:w="10888"/>
          </w:cols>
          <w:pgMar w:left="652" w:top="1440" w:right="359" w:bottom="1440" w:gutter="0" w:footer="0" w:header="0"/>
        </w:sectPr>
      </w:pPr>
    </w:p>
    <w:bookmarkStart w:id="71" w:name="page72"/>
    <w:bookmarkEnd w:id="7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968" w:right="160"/>
        <w:spacing w:after="0" w:line="251" w:lineRule="auto"/>
        <w:rPr>
          <w:sz w:val="20"/>
          <w:szCs w:val="20"/>
          <w:color w:val="auto"/>
        </w:rPr>
      </w:pPr>
      <w:r>
        <w:rPr>
          <w:rFonts w:ascii="Arial" w:cs="Arial" w:eastAsia="Arial" w:hAnsi="Arial"/>
          <w:sz w:val="21"/>
          <w:szCs w:val="21"/>
          <w:color w:val="auto"/>
        </w:rPr>
        <w:t>Copyright rights in and to such Inventions. Any assignment of Company Inventions (and all Intellectual Property Rights with respect thereto) hereunder includes an assignment of all Moral Rights. To the extent such Moral Rights cannot be assigned to Company and to the extent the following is allowed by the laws in any country where Moral Rights exist, I hereby unconditionally and irrevocably waive the enforcement of such Moral Rights, and all claims and causes of action of any kind against Company or related to Company’s customers, with respect to such rights. I further acknowledge and agree that neither my successors-in-interest nor legal heirs retain any Moral Rights in any Company Inventions (and any Intellectual Property Rights with respect thereto) assigned hereunder.</w:t>
      </w:r>
    </w:p>
    <w:p>
      <w:pPr>
        <w:spacing w:after="0" w:line="72" w:lineRule="exact"/>
        <w:rPr>
          <w:sz w:val="20"/>
          <w:szCs w:val="20"/>
          <w:color w:val="auto"/>
        </w:rPr>
      </w:pPr>
    </w:p>
    <w:p>
      <w:pPr>
        <w:ind w:left="968" w:right="40" w:hanging="320"/>
        <w:spacing w:after="0" w:line="250" w:lineRule="auto"/>
        <w:tabs>
          <w:tab w:leader="none" w:pos="965" w:val="left"/>
        </w:tabs>
        <w:numPr>
          <w:ilvl w:val="1"/>
          <w:numId w:val="56"/>
        </w:numPr>
        <w:rPr>
          <w:rFonts w:ascii="Arial" w:cs="Arial" w:eastAsia="Arial" w:hAnsi="Arial"/>
          <w:sz w:val="21"/>
          <w:szCs w:val="21"/>
          <w:color w:val="auto"/>
        </w:rPr>
      </w:pPr>
      <w:r>
        <w:rPr>
          <w:rFonts w:ascii="Arial" w:cs="Arial" w:eastAsia="Arial" w:hAnsi="Arial"/>
          <w:sz w:val="21"/>
          <w:szCs w:val="21"/>
          <w:color w:val="auto"/>
        </w:rPr>
        <w:t>During and after my employment with the Company, I agree to provide such assistance as the other Trade Company may reasonably request to (i) apply for, obtain, perfect, and transfer to the Company (or to a third party as directed by Company) the Company Inventions in any jurisdiction in the world; and (ii) maintain, protect, and enforce the Company’s rights and interests to Company Inventions which were developed, at least in part, by me and assigned to Company (or third party as directed by Company). In the event that I do not promptly cooperate with the Company’s request to assist, as set forth above, I hereby irrevocably grant the Company a power of attorney to execute and deliver any such documents on my behalf and in my name and to do all other lawfully permitted acts to transfer, issue, prosecute, and maintain the Company Inventions to the full extent permitted by law.</w:t>
      </w:r>
    </w:p>
    <w:p>
      <w:pPr>
        <w:spacing w:after="0" w:line="85" w:lineRule="exact"/>
        <w:rPr>
          <w:rFonts w:ascii="Arial" w:cs="Arial" w:eastAsia="Arial" w:hAnsi="Arial"/>
          <w:sz w:val="21"/>
          <w:szCs w:val="21"/>
          <w:color w:val="auto"/>
        </w:rPr>
      </w:pPr>
    </w:p>
    <w:p>
      <w:pPr>
        <w:ind w:left="328" w:hanging="328"/>
        <w:spacing w:after="0" w:line="248" w:lineRule="auto"/>
        <w:tabs>
          <w:tab w:leader="none" w:pos="325" w:val="left"/>
        </w:tabs>
        <w:numPr>
          <w:ilvl w:val="0"/>
          <w:numId w:val="57"/>
        </w:numPr>
        <w:rPr>
          <w:rFonts w:ascii="Arial" w:cs="Arial" w:eastAsia="Arial" w:hAnsi="Arial"/>
          <w:sz w:val="21"/>
          <w:szCs w:val="21"/>
          <w:color w:val="auto"/>
        </w:rPr>
      </w:pPr>
      <w:r>
        <w:rPr>
          <w:rFonts w:ascii="Arial" w:cs="Arial" w:eastAsia="Arial" w:hAnsi="Arial"/>
          <w:sz w:val="21"/>
          <w:szCs w:val="21"/>
          <w:color w:val="auto"/>
        </w:rPr>
        <w:t>Records; Obligation to Keep Company Informed; Confidentiality. During the period of my employment: (i) I agree to keep and maintain adequate and current records (in the form of invention disclosure forms, notes, sketches, drawings and in any other form that is required by Company) of all Intellectual Property Rights developed by me and all Company Inventions made by me, which records will be available to and remain the sole property of Company at all times; and (ii) I will promptly and fully disclose to Company in writing all Inventions authored, conceived, or reduced to practice by me, either alone or jointly with others. If I am a resident of state with Specific Inventions Laws (such as California, Illinois, Delaware, Kansas, Minnesota, North Carolina, Utah or Washington, for example), at the time of each such disclosure I will advise Company in writing of any Inventions that I believe fully qualify for protection under the provisions of the Specific Inventions Law;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Inventions that qualify fully for protection under the Specific Inventions Law. I will preserve the confidentiality of any Invention that does not fully qualify for protection under the Specific Inventions Law. I further agree not to disclose at any time during or after the term of my employment, directly or indirectly, to any unauthorized person without the Company’s prior written permission, any knowledge not available to the public which I acquire regarding</w:t>
      </w:r>
    </w:p>
    <w:p>
      <w:pPr>
        <w:sectPr>
          <w:pgSz w:w="11900" w:h="16838" w:orient="portrait"/>
          <w:cols w:equalWidth="0" w:num="1">
            <w:col w:w="10888"/>
          </w:cols>
          <w:pgMar w:left="652" w:top="1440" w:right="359" w:bottom="1440" w:gutter="0" w:footer="0" w:header="0"/>
        </w:sectPr>
      </w:pPr>
    </w:p>
    <w:bookmarkStart w:id="72" w:name="page73"/>
    <w:bookmarkEnd w:id="7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328" w:right="600"/>
        <w:spacing w:after="0" w:line="273" w:lineRule="auto"/>
        <w:rPr>
          <w:sz w:val="20"/>
          <w:szCs w:val="20"/>
          <w:color w:val="auto"/>
        </w:rPr>
      </w:pPr>
      <w:r>
        <w:rPr>
          <w:rFonts w:ascii="Arial" w:cs="Arial" w:eastAsia="Arial" w:hAnsi="Arial"/>
          <w:sz w:val="21"/>
          <w:szCs w:val="21"/>
          <w:color w:val="auto"/>
        </w:rPr>
        <w:t>Company’s Intellectual Property Rights or other private or confidential matters acquired during the term of my employment.</w:t>
      </w:r>
    </w:p>
    <w:p>
      <w:pPr>
        <w:spacing w:after="0" w:line="58" w:lineRule="exact"/>
        <w:rPr>
          <w:sz w:val="20"/>
          <w:szCs w:val="20"/>
          <w:color w:val="auto"/>
        </w:rPr>
      </w:pPr>
    </w:p>
    <w:p>
      <w:pPr>
        <w:ind w:left="328" w:right="20" w:hanging="328"/>
        <w:spacing w:after="0" w:line="248" w:lineRule="auto"/>
        <w:tabs>
          <w:tab w:leader="none" w:pos="325" w:val="left"/>
        </w:tabs>
        <w:numPr>
          <w:ilvl w:val="0"/>
          <w:numId w:val="58"/>
        </w:numPr>
        <w:rPr>
          <w:rFonts w:ascii="Arial" w:cs="Arial" w:eastAsia="Arial" w:hAnsi="Arial"/>
          <w:sz w:val="21"/>
          <w:szCs w:val="21"/>
          <w:color w:val="auto"/>
        </w:rPr>
      </w:pPr>
      <w:r>
        <w:rPr>
          <w:rFonts w:ascii="Arial" w:cs="Arial" w:eastAsia="Arial" w:hAnsi="Arial"/>
          <w:sz w:val="21"/>
          <w:szCs w:val="21"/>
          <w:color w:val="auto"/>
        </w:rPr>
        <w:t>Ownership of Work Product. I acknowledge and agree that all Intellectual Property Rights and all discoveries, concepts, ideas, innovations, improvements, developments, methods,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the Company’s actual or anticipated business, research, and development or existing or future products or services and which are conceived, developed or made by you (whether alone or jointly with others, and whether before or after the date hereof) while employed by the Company (“</w:t>
      </w:r>
      <w:r>
        <w:rPr>
          <w:rFonts w:ascii="Arial" w:cs="Arial" w:eastAsia="Arial" w:hAnsi="Arial"/>
          <w:sz w:val="21"/>
          <w:szCs w:val="21"/>
          <w:u w:val="single" w:color="auto"/>
          <w:color w:val="auto"/>
        </w:rPr>
        <w:t>Work Product</w:t>
      </w:r>
      <w:r>
        <w:rPr>
          <w:rFonts w:ascii="Arial" w:cs="Arial" w:eastAsia="Arial" w:hAnsi="Arial"/>
          <w:sz w:val="21"/>
          <w:szCs w:val="21"/>
          <w:color w:val="auto"/>
        </w:rPr>
        <w:t>”), belong to the Company. I agree that I shall promptly disclose such Work Product to the Company and, at the Company’s expense, perform all actions reasonably requested by the Company (whether during or after the employment period) to establish and confirm the Company’s ownership (including assignments, consents, powers of attorney and other instruments). I acknowledge and agree that all Work Product shall be deemed to constitute “works made for hire” under applicable law. The foregoing provisions of this section 7 shall not apply to any Work Product that you developed entirely on your own time without using the Company’s equipment, supplies, facilities, or Trade Secret information, except for those inventions that (i) relate to the Company’s business or actual or demonstrably anticipated research or development, or (ii) result from any work performed by you for the Company.</w:t>
      </w:r>
    </w:p>
    <w:p>
      <w:pPr>
        <w:spacing w:after="0" w:line="84" w:lineRule="exact"/>
        <w:rPr>
          <w:rFonts w:ascii="Arial" w:cs="Arial" w:eastAsia="Arial" w:hAnsi="Arial"/>
          <w:sz w:val="21"/>
          <w:szCs w:val="21"/>
          <w:color w:val="auto"/>
        </w:rPr>
      </w:pPr>
    </w:p>
    <w:p>
      <w:pPr>
        <w:ind w:left="328" w:right="20" w:hanging="328"/>
        <w:spacing w:after="0" w:line="250" w:lineRule="auto"/>
        <w:tabs>
          <w:tab w:leader="none" w:pos="325" w:val="left"/>
        </w:tabs>
        <w:numPr>
          <w:ilvl w:val="0"/>
          <w:numId w:val="58"/>
        </w:numPr>
        <w:rPr>
          <w:rFonts w:ascii="Arial" w:cs="Arial" w:eastAsia="Arial" w:hAnsi="Arial"/>
          <w:sz w:val="21"/>
          <w:szCs w:val="21"/>
          <w:color w:val="auto"/>
        </w:rPr>
      </w:pPr>
      <w:r>
        <w:rPr>
          <w:rFonts w:ascii="Arial" w:cs="Arial" w:eastAsia="Arial" w:hAnsi="Arial"/>
          <w:sz w:val="21"/>
          <w:szCs w:val="21"/>
          <w:color w:val="auto"/>
        </w:rPr>
        <w:t>Publicity. I hereby consent to any and all uses and displays, by Company and its agents, of my name, voice, likeness, image, appearance and relevant background information in, on or in connection with any pictures, photographs, audio and video recordings, digital images, websites, advertising, sales and marketing brochures, books, magazines, other publications, CDs, DVDs, tapes and all other printed and electronic forms and media throughout the world, at any time during or after the period of my employment by Company, for all legitimate commercial or non-commercial purposes (“</w:t>
      </w:r>
      <w:r>
        <w:rPr>
          <w:rFonts w:ascii="Arial" w:cs="Arial" w:eastAsia="Arial" w:hAnsi="Arial"/>
          <w:sz w:val="21"/>
          <w:szCs w:val="21"/>
          <w:u w:val="single" w:color="auto"/>
          <w:color w:val="auto"/>
        </w:rPr>
        <w:t>Permitted Use</w:t>
      </w:r>
      <w:r>
        <w:rPr>
          <w:rFonts w:ascii="Arial" w:cs="Arial" w:eastAsia="Arial" w:hAnsi="Arial"/>
          <w:sz w:val="21"/>
          <w:szCs w:val="21"/>
          <w:color w:val="auto"/>
        </w:rPr>
        <w:t>”). I understand that I will not receive any additional compensation for such Permitted Use and I hereby forever release Company and anyone working on behalf of Company from any and all claims, actions, damages, losses, costs, expenses and liability of any kind, arising under any legal or equitable theory whatsoever at any time during or after the period of my employment by Company, in connection with any Permitted Use.</w:t>
      </w:r>
    </w:p>
    <w:p>
      <w:pPr>
        <w:spacing w:after="0" w:line="76" w:lineRule="exact"/>
        <w:rPr>
          <w:rFonts w:ascii="Arial" w:cs="Arial" w:eastAsia="Arial" w:hAnsi="Arial"/>
          <w:sz w:val="21"/>
          <w:szCs w:val="21"/>
          <w:color w:val="auto"/>
        </w:rPr>
      </w:pPr>
    </w:p>
    <w:p>
      <w:pPr>
        <w:ind w:left="328" w:hanging="328"/>
        <w:spacing w:after="0" w:line="256" w:lineRule="auto"/>
        <w:tabs>
          <w:tab w:leader="none" w:pos="325"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Incorporation of Software Code. I agree that I will not 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except in strict compliance with Company’s policies regarding the use of such software.</w:t>
      </w:r>
    </w:p>
    <w:p>
      <w:pPr>
        <w:sectPr>
          <w:pgSz w:w="11900" w:h="16838" w:orient="portrait"/>
          <w:cols w:equalWidth="0" w:num="1">
            <w:col w:w="10888"/>
          </w:cols>
          <w:pgMar w:left="652" w:top="1440" w:right="359" w:bottom="1440" w:gutter="0" w:footer="0" w:header="0"/>
        </w:sectPr>
      </w:pPr>
    </w:p>
    <w:bookmarkStart w:id="73" w:name="page74"/>
    <w:bookmarkEnd w:id="7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jc w:val="both"/>
        <w:ind w:left="328" w:right="40" w:hanging="328"/>
        <w:spacing w:after="0" w:line="264" w:lineRule="auto"/>
        <w:tabs>
          <w:tab w:leader="none" w:pos="325" w:val="left"/>
        </w:tabs>
        <w:numPr>
          <w:ilvl w:val="0"/>
          <w:numId w:val="59"/>
        </w:numPr>
        <w:rPr>
          <w:rFonts w:ascii="Arial" w:cs="Arial" w:eastAsia="Arial" w:hAnsi="Arial"/>
          <w:sz w:val="21"/>
          <w:szCs w:val="21"/>
          <w:color w:val="auto"/>
        </w:rPr>
      </w:pPr>
      <w:r>
        <w:rPr>
          <w:rFonts w:ascii="Arial" w:cs="Arial" w:eastAsia="Arial" w:hAnsi="Arial"/>
          <w:sz w:val="21"/>
          <w:szCs w:val="21"/>
          <w:color w:val="auto"/>
        </w:rPr>
        <w:t>No License. I understand that this Agreement does not, and shall not be construed to, grant me any license or right of any nature with respect to information made available to me by the Company, including any Company Inventions and Intellectual Property Rights.</w:t>
      </w:r>
    </w:p>
    <w:p>
      <w:pPr>
        <w:spacing w:after="0" w:line="53" w:lineRule="exact"/>
        <w:rPr>
          <w:rFonts w:ascii="Arial" w:cs="Arial" w:eastAsia="Arial" w:hAnsi="Arial"/>
          <w:sz w:val="21"/>
          <w:szCs w:val="21"/>
          <w:color w:val="auto"/>
        </w:rPr>
      </w:pPr>
    </w:p>
    <w:p>
      <w:pPr>
        <w:ind w:left="328" w:right="100" w:hanging="328"/>
        <w:spacing w:after="0" w:line="253" w:lineRule="auto"/>
        <w:tabs>
          <w:tab w:leader="none" w:pos="319" w:val="left"/>
        </w:tabs>
        <w:numPr>
          <w:ilvl w:val="0"/>
          <w:numId w:val="59"/>
        </w:numPr>
        <w:rPr>
          <w:rFonts w:ascii="Arial" w:cs="Arial" w:eastAsia="Arial" w:hAnsi="Arial"/>
          <w:sz w:val="21"/>
          <w:szCs w:val="21"/>
          <w:color w:val="auto"/>
        </w:rPr>
      </w:pPr>
      <w:r>
        <w:rPr>
          <w:rFonts w:ascii="Arial" w:cs="Arial" w:eastAsia="Arial" w:hAnsi="Arial"/>
          <w:sz w:val="21"/>
          <w:szCs w:val="21"/>
          <w:color w:val="auto"/>
        </w:rPr>
        <w:t>Return of Information. Prior to leaving employment with the Company or upon Company’s request at any time during the my employment, I agree to promptly (i) deliver, provide, or return to the Company the original and all copies of any and all Confidential Information that I may have obtained, as well as any and all documents, records, property, files, drawings, tapes, plans, tools, and equipment that are in the my possession or control and that are Company’s property; and (ii) delete or destroy all copies of any Confidential Information, documents, and materials not returned to the Company that remain in my possession or control, including those stored on any non-Company devices, networks, storage locations, and media in my possession or control.</w:t>
      </w:r>
    </w:p>
    <w:p>
      <w:pPr>
        <w:spacing w:after="0" w:line="67" w:lineRule="exact"/>
        <w:rPr>
          <w:rFonts w:ascii="Arial" w:cs="Arial" w:eastAsia="Arial" w:hAnsi="Arial"/>
          <w:sz w:val="21"/>
          <w:szCs w:val="21"/>
          <w:color w:val="auto"/>
        </w:rPr>
      </w:pPr>
    </w:p>
    <w:p>
      <w:pPr>
        <w:ind w:left="308" w:hanging="308"/>
        <w:spacing w:after="0"/>
        <w:tabs>
          <w:tab w:leader="none" w:pos="308" w:val="left"/>
        </w:tabs>
        <w:numPr>
          <w:ilvl w:val="0"/>
          <w:numId w:val="59"/>
        </w:numPr>
        <w:rPr>
          <w:rFonts w:ascii="Arial" w:cs="Arial" w:eastAsia="Arial" w:hAnsi="Arial"/>
          <w:sz w:val="21"/>
          <w:szCs w:val="21"/>
          <w:color w:val="auto"/>
        </w:rPr>
      </w:pPr>
      <w:r>
        <w:rPr>
          <w:rFonts w:ascii="Arial" w:cs="Arial" w:eastAsia="Arial" w:hAnsi="Arial"/>
          <w:sz w:val="21"/>
          <w:szCs w:val="21"/>
          <w:color w:val="auto"/>
        </w:rPr>
        <w:t>General Provisions.</w:t>
      </w:r>
    </w:p>
    <w:p>
      <w:pPr>
        <w:spacing w:after="0" w:line="109" w:lineRule="exact"/>
        <w:rPr>
          <w:rFonts w:ascii="Arial" w:cs="Arial" w:eastAsia="Arial" w:hAnsi="Arial"/>
          <w:sz w:val="21"/>
          <w:szCs w:val="21"/>
          <w:color w:val="auto"/>
        </w:rPr>
      </w:pPr>
    </w:p>
    <w:p>
      <w:pPr>
        <w:ind w:left="968" w:right="80" w:hanging="320"/>
        <w:spacing w:after="0" w:line="256" w:lineRule="auto"/>
        <w:tabs>
          <w:tab w:leader="none" w:pos="965" w:val="left"/>
        </w:tabs>
        <w:numPr>
          <w:ilvl w:val="1"/>
          <w:numId w:val="59"/>
        </w:numPr>
        <w:rPr>
          <w:rFonts w:ascii="Arial" w:cs="Arial" w:eastAsia="Arial" w:hAnsi="Arial"/>
          <w:sz w:val="21"/>
          <w:szCs w:val="21"/>
          <w:color w:val="auto"/>
        </w:rPr>
      </w:pPr>
      <w:r>
        <w:rPr>
          <w:rFonts w:ascii="Arial" w:cs="Arial" w:eastAsia="Arial" w:hAnsi="Arial"/>
          <w:sz w:val="21"/>
          <w:szCs w:val="21"/>
          <w:color w:val="auto"/>
        </w:rPr>
        <w:t>Representations and Acknowledgements. I represent that I have not entered into, and agree not to enter into, any oral or written agreement in conflict with this Agreement. I agree and acknowledge that all restrictions in this Agreement are reasonable under the circumstances of my employment and hereby waive any argument that this Agreement is invalid or unenforceable.</w:t>
      </w:r>
    </w:p>
    <w:p>
      <w:pPr>
        <w:spacing w:after="0" w:line="76" w:lineRule="exact"/>
        <w:rPr>
          <w:rFonts w:ascii="Arial" w:cs="Arial" w:eastAsia="Arial" w:hAnsi="Arial"/>
          <w:sz w:val="21"/>
          <w:szCs w:val="21"/>
          <w:color w:val="auto"/>
        </w:rPr>
      </w:pPr>
    </w:p>
    <w:p>
      <w:pPr>
        <w:ind w:left="968" w:right="60" w:hanging="320"/>
        <w:spacing w:after="0" w:line="251" w:lineRule="auto"/>
        <w:tabs>
          <w:tab w:leader="none" w:pos="965" w:val="left"/>
        </w:tabs>
        <w:numPr>
          <w:ilvl w:val="1"/>
          <w:numId w:val="59"/>
        </w:numPr>
        <w:rPr>
          <w:rFonts w:ascii="Arial" w:cs="Arial" w:eastAsia="Arial" w:hAnsi="Arial"/>
          <w:sz w:val="21"/>
          <w:szCs w:val="21"/>
          <w:color w:val="auto"/>
        </w:rPr>
      </w:pPr>
      <w:r>
        <w:rPr>
          <w:rFonts w:ascii="Arial" w:cs="Arial" w:eastAsia="Arial" w:hAnsi="Arial"/>
          <w:sz w:val="21"/>
          <w:szCs w:val="21"/>
          <w:color w:val="auto"/>
        </w:rPr>
        <w:t>Severability. In case any one or more of the provisions, subsections, or sentences contained in this Agreement are, for any reason,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any one or more of the provisions contained in this Agreement are for any reason held to be excessively broad as to duration, geographical scope, activity or subject, it will be construed by limiting and reducing it, so as to be enforceable to the extent compatible with the applicable law.</w:t>
      </w:r>
    </w:p>
    <w:p>
      <w:pPr>
        <w:spacing w:after="0" w:line="81" w:lineRule="exact"/>
        <w:rPr>
          <w:rFonts w:ascii="Arial" w:cs="Arial" w:eastAsia="Arial" w:hAnsi="Arial"/>
          <w:sz w:val="21"/>
          <w:szCs w:val="21"/>
          <w:color w:val="auto"/>
        </w:rPr>
      </w:pPr>
    </w:p>
    <w:p>
      <w:pPr>
        <w:ind w:left="968" w:hanging="320"/>
        <w:spacing w:after="0" w:line="257" w:lineRule="auto"/>
        <w:tabs>
          <w:tab w:leader="none" w:pos="967" w:val="left"/>
        </w:tabs>
        <w:numPr>
          <w:ilvl w:val="1"/>
          <w:numId w:val="59"/>
        </w:numPr>
        <w:rPr>
          <w:rFonts w:ascii="Arial" w:cs="Arial" w:eastAsia="Arial" w:hAnsi="Arial"/>
          <w:sz w:val="21"/>
          <w:szCs w:val="21"/>
          <w:color w:val="auto"/>
        </w:rPr>
      </w:pPr>
      <w:r>
        <w:rPr>
          <w:rFonts w:ascii="Arial" w:cs="Arial" w:eastAsia="Arial" w:hAnsi="Arial"/>
          <w:sz w:val="21"/>
          <w:szCs w:val="21"/>
          <w:color w:val="auto"/>
        </w:rPr>
        <w:t>Governing Law; Consent to Personal Jurisdiction. This Agreement shall be governed by the laws of the state of Arizona. I hereby expressly consent to the personal jurisdiction and venue of the state and federal courts located in Maricopa County, Arizona for any lawsuit filed arising from or related to this Agreement.</w:t>
      </w:r>
    </w:p>
    <w:p>
      <w:pPr>
        <w:spacing w:after="0" w:line="74" w:lineRule="exact"/>
        <w:rPr>
          <w:rFonts w:ascii="Arial" w:cs="Arial" w:eastAsia="Arial" w:hAnsi="Arial"/>
          <w:sz w:val="21"/>
          <w:szCs w:val="21"/>
          <w:color w:val="auto"/>
        </w:rPr>
      </w:pPr>
    </w:p>
    <w:p>
      <w:pPr>
        <w:ind w:left="968" w:right="220" w:hanging="320"/>
        <w:spacing w:after="0" w:line="264" w:lineRule="auto"/>
        <w:tabs>
          <w:tab w:leader="none" w:pos="965" w:val="left"/>
        </w:tabs>
        <w:numPr>
          <w:ilvl w:val="1"/>
          <w:numId w:val="59"/>
        </w:numPr>
        <w:rPr>
          <w:rFonts w:ascii="Arial" w:cs="Arial" w:eastAsia="Arial" w:hAnsi="Arial"/>
          <w:sz w:val="21"/>
          <w:szCs w:val="21"/>
          <w:color w:val="auto"/>
        </w:rPr>
      </w:pPr>
      <w:r>
        <w:rPr>
          <w:rFonts w:ascii="Arial" w:cs="Arial" w:eastAsia="Arial" w:hAnsi="Arial"/>
          <w:sz w:val="21"/>
          <w:szCs w:val="21"/>
          <w:color w:val="auto"/>
        </w:rPr>
        <w:t>Waiver. The waiver by Company of a breach of any provision of this Agreement by me shall not operate or be construed as a waiver of any other or subsequent breach by me. Company will not be required to give notice to enforce strict adherence to all terms of this Agreement.</w:t>
      </w:r>
    </w:p>
    <w:p>
      <w:pPr>
        <w:spacing w:after="0" w:line="53" w:lineRule="exact"/>
        <w:rPr>
          <w:rFonts w:ascii="Arial" w:cs="Arial" w:eastAsia="Arial" w:hAnsi="Arial"/>
          <w:sz w:val="21"/>
          <w:szCs w:val="21"/>
          <w:color w:val="auto"/>
        </w:rPr>
      </w:pPr>
    </w:p>
    <w:p>
      <w:pPr>
        <w:ind w:left="968" w:right="80" w:hanging="320"/>
        <w:spacing w:after="0" w:line="264" w:lineRule="auto"/>
        <w:tabs>
          <w:tab w:leader="none" w:pos="965" w:val="left"/>
        </w:tabs>
        <w:numPr>
          <w:ilvl w:val="1"/>
          <w:numId w:val="59"/>
        </w:numPr>
        <w:rPr>
          <w:rFonts w:ascii="Arial" w:cs="Arial" w:eastAsia="Arial" w:hAnsi="Arial"/>
          <w:sz w:val="21"/>
          <w:szCs w:val="21"/>
          <w:color w:val="auto"/>
        </w:rPr>
      </w:pPr>
      <w:r>
        <w:rPr>
          <w:rFonts w:ascii="Arial" w:cs="Arial" w:eastAsia="Arial" w:hAnsi="Arial"/>
          <w:sz w:val="21"/>
          <w:szCs w:val="21"/>
          <w:color w:val="auto"/>
        </w:rPr>
        <w:t>Legal and Equitable Remedies. I agree that it may be impossible to assess the damages caused by my breach of this Agreement or any of its terms. I agree that any threatened or actual breach of this Agreement or any of its</w:t>
      </w:r>
    </w:p>
    <w:p>
      <w:pPr>
        <w:sectPr>
          <w:pgSz w:w="11900" w:h="16838" w:orient="portrait"/>
          <w:cols w:equalWidth="0" w:num="1">
            <w:col w:w="10888"/>
          </w:cols>
          <w:pgMar w:left="652" w:top="1440" w:right="359" w:bottom="1440" w:gutter="0" w:footer="0" w:header="0"/>
        </w:sectPr>
      </w:pPr>
    </w:p>
    <w:bookmarkStart w:id="74" w:name="page75"/>
    <w:bookmarkEnd w:id="7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ind w:left="320" w:right="20"/>
        <w:spacing w:after="0" w:line="256" w:lineRule="auto"/>
        <w:rPr>
          <w:sz w:val="20"/>
          <w:szCs w:val="20"/>
          <w:color w:val="auto"/>
        </w:rPr>
      </w:pPr>
      <w:r>
        <w:rPr>
          <w:rFonts w:ascii="Arial" w:cs="Arial" w:eastAsia="Arial" w:hAnsi="Arial"/>
          <w:sz w:val="21"/>
          <w:szCs w:val="21"/>
          <w:color w:val="auto"/>
        </w:rPr>
        <w:t>terms will cause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w:t>
      </w:r>
    </w:p>
    <w:p>
      <w:pPr>
        <w:spacing w:after="0" w:line="77" w:lineRule="exact"/>
        <w:rPr>
          <w:sz w:val="20"/>
          <w:szCs w:val="20"/>
          <w:color w:val="auto"/>
        </w:rPr>
      </w:pPr>
    </w:p>
    <w:p>
      <w:pPr>
        <w:ind w:left="320" w:right="20" w:hanging="320"/>
        <w:spacing w:after="0" w:line="251" w:lineRule="auto"/>
        <w:tabs>
          <w:tab w:leader="none" w:pos="313" w:val="left"/>
        </w:tabs>
        <w:numPr>
          <w:ilvl w:val="0"/>
          <w:numId w:val="60"/>
        </w:numPr>
        <w:rPr>
          <w:rFonts w:ascii="Arial" w:cs="Arial" w:eastAsia="Arial" w:hAnsi="Arial"/>
          <w:sz w:val="21"/>
          <w:szCs w:val="21"/>
          <w:color w:val="auto"/>
        </w:rPr>
      </w:pPr>
      <w:r>
        <w:rPr>
          <w:rFonts w:ascii="Arial" w:cs="Arial" w:eastAsia="Arial" w:hAnsi="Arial"/>
          <w:sz w:val="21"/>
          <w:szCs w:val="21"/>
          <w:color w:val="auto"/>
        </w:rPr>
        <w:t>Attorney Fees and Costs. In the event of a legal action or other proceeding arising under this Agreement, or a dispute regarding any alleged breach, default, claim, or misrepresentation arising out of or in connection with this Agreement, whether or not a lawsuit or other proceeding is commenced, the prevailing party shall be entitled to recover its reasonable attorney fees and costs, whether incurred before suit, during suit, or at the appellate level. The prevailing party shall also be entitled to recover any attorney fees and costs incurred in litigating the entitlement to attorney fees and costs, as well as determining or quantifying the amount of attorney fees and costs due to it.</w:t>
      </w:r>
    </w:p>
    <w:p>
      <w:pPr>
        <w:spacing w:after="0" w:line="68" w:lineRule="exact"/>
        <w:rPr>
          <w:rFonts w:ascii="Arial" w:cs="Arial" w:eastAsia="Arial" w:hAnsi="Arial"/>
          <w:sz w:val="21"/>
          <w:szCs w:val="21"/>
          <w:color w:val="auto"/>
        </w:rPr>
      </w:pPr>
    </w:p>
    <w:p>
      <w:pPr>
        <w:jc w:val="both"/>
        <w:ind w:left="320" w:right="60" w:hanging="320"/>
        <w:spacing w:after="0" w:line="264" w:lineRule="auto"/>
        <w:tabs>
          <w:tab w:leader="none" w:pos="317" w:val="left"/>
        </w:tabs>
        <w:numPr>
          <w:ilvl w:val="0"/>
          <w:numId w:val="60"/>
        </w:numPr>
        <w:rPr>
          <w:rFonts w:ascii="Arial" w:cs="Arial" w:eastAsia="Arial" w:hAnsi="Arial"/>
          <w:sz w:val="21"/>
          <w:szCs w:val="21"/>
          <w:color w:val="auto"/>
        </w:rPr>
      </w:pPr>
      <w:r>
        <w:rPr>
          <w:rFonts w:ascii="Arial" w:cs="Arial" w:eastAsia="Arial" w:hAnsi="Arial"/>
          <w:sz w:val="21"/>
          <w:szCs w:val="21"/>
          <w:color w:val="auto"/>
        </w:rPr>
        <w:t>Assignment. The Company may assign this Agreement to any subsidiary, affiliate, or successor. I agree that I may not assign this Agreement or any part hereof. Any purported assignment by me shall be null and void from the initial date of purported assignment.</w:t>
      </w:r>
    </w:p>
    <w:p>
      <w:pPr>
        <w:spacing w:after="0" w:line="53" w:lineRule="exact"/>
        <w:rPr>
          <w:rFonts w:ascii="Arial" w:cs="Arial" w:eastAsia="Arial" w:hAnsi="Arial"/>
          <w:sz w:val="21"/>
          <w:szCs w:val="21"/>
          <w:color w:val="auto"/>
        </w:rPr>
      </w:pPr>
    </w:p>
    <w:p>
      <w:pPr>
        <w:ind w:left="320" w:hanging="320"/>
        <w:spacing w:after="0" w:line="253" w:lineRule="auto"/>
        <w:tabs>
          <w:tab w:leader="none" w:pos="317" w:val="left"/>
        </w:tabs>
        <w:numPr>
          <w:ilvl w:val="0"/>
          <w:numId w:val="60"/>
        </w:numPr>
        <w:rPr>
          <w:rFonts w:ascii="Arial" w:cs="Arial" w:eastAsia="Arial" w:hAnsi="Arial"/>
          <w:sz w:val="21"/>
          <w:szCs w:val="21"/>
          <w:color w:val="auto"/>
        </w:rPr>
      </w:pPr>
      <w:r>
        <w:rPr>
          <w:rFonts w:ascii="Arial" w:cs="Arial" w:eastAsia="Arial" w:hAnsi="Arial"/>
          <w:sz w:val="21"/>
          <w:szCs w:val="21"/>
          <w:color w:val="auto"/>
        </w:rPr>
        <w:t>Entire Agreement. This Agreement represents my entire understanding with the Company with respect to the subject matter of this Agreement and supersedes all previous understandings, written or oral, regarding the subject matter of this Agreement; provided, however, that I acknowledge that I have also entered into a Confidential Information, Non-Disclosure, and Non-Solicitation Agreement with Company, which shall remain in full force and effect. This Agreement may be amended or modified only with the written consent of both me and Company. No oral waiver, amendment, or modification shall be effective under any circumstances whatsoever.</w:t>
      </w:r>
    </w:p>
    <w:p>
      <w:pPr>
        <w:spacing w:after="0" w:line="313" w:lineRule="exact"/>
        <w:rPr>
          <w:sz w:val="20"/>
          <w:szCs w:val="20"/>
          <w:color w:val="auto"/>
        </w:rPr>
      </w:pPr>
    </w:p>
    <w:p>
      <w:pPr>
        <w:ind w:left="3600"/>
        <w:spacing w:after="0"/>
        <w:rPr>
          <w:sz w:val="20"/>
          <w:szCs w:val="20"/>
          <w:color w:val="auto"/>
        </w:rPr>
      </w:pPr>
      <w:r>
        <w:rPr>
          <w:rFonts w:ascii="Arial" w:cs="Arial" w:eastAsia="Arial" w:hAnsi="Arial"/>
          <w:sz w:val="21"/>
          <w:szCs w:val="21"/>
          <w:i w:val="1"/>
          <w:iCs w:val="1"/>
          <w:color w:val="auto"/>
        </w:rPr>
        <w:t>[Signature Page to Follow]</w:t>
      </w:r>
    </w:p>
    <w:p>
      <w:pPr>
        <w:sectPr>
          <w:pgSz w:w="11900" w:h="16838" w:orient="portrait"/>
          <w:cols w:equalWidth="0" w:num="1">
            <w:col w:w="10240"/>
          </w:cols>
          <w:pgMar w:left="1300" w:top="1440" w:right="35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11555" cy="368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011555" cy="36830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w:t>
      </w:r>
    </w:p>
    <w:p>
      <w:pPr>
        <w:spacing w:after="0" w:line="245" w:lineRule="exact"/>
        <w:rPr>
          <w:sz w:val="20"/>
          <w:szCs w:val="20"/>
          <w:color w:val="auto"/>
        </w:rPr>
      </w:pPr>
    </w:p>
    <w:p>
      <w:pPr>
        <w:spacing w:after="0" w:line="296" w:lineRule="auto"/>
        <w:rPr>
          <w:sz w:val="20"/>
          <w:szCs w:val="20"/>
          <w:color w:val="auto"/>
        </w:rPr>
      </w:pPr>
      <w:r>
        <w:rPr>
          <w:rFonts w:ascii="Arial" w:cs="Arial" w:eastAsia="Arial" w:hAnsi="Arial"/>
          <w:sz w:val="21"/>
          <w:szCs w:val="21"/>
          <w:b w:val="1"/>
          <w:bCs w:val="1"/>
          <w:color w:val="auto"/>
        </w:rPr>
        <w:t>I have read, understand, and accept this agreement and have been given the opportunity to review it with independent legal counsel.</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Employee Name: </w:t>
      </w:r>
      <w:r>
        <w:rPr>
          <w:rFonts w:ascii="Arial" w:cs="Arial" w:eastAsia="Arial" w:hAnsi="Arial"/>
          <w:sz w:val="21"/>
          <w:szCs w:val="21"/>
          <w:b w:val="1"/>
          <w:bCs w:val="1"/>
          <w:u w:val="single" w:color="auto"/>
          <w:color w:val="auto"/>
        </w:rPr>
        <w:t>Gina Gunning</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Employee Signature: </w:t>
      </w:r>
      <w:r>
        <w:rPr>
          <w:rFonts w:ascii="Arial" w:cs="Arial" w:eastAsia="Arial" w:hAnsi="Arial"/>
          <w:sz w:val="21"/>
          <w:szCs w:val="21"/>
          <w:u w:val="single" w:color="auto"/>
          <w:color w:val="auto"/>
        </w:rPr>
        <w:t>/s/ Gina K. Gunning</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12/30/2024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Array Tech, Inc.</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_/s/ Terrance L. Collins</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Terrance L. Collins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Chief Human Resources Officer</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December 30. 2024</w:t>
      </w:r>
    </w:p>
    <w:p>
      <w:pPr>
        <w:sectPr>
          <w:pgSz w:w="11900" w:h="16838" w:orient="portrait"/>
          <w:cols w:equalWidth="0" w:num="1">
            <w:col w:w="10340"/>
          </w:cols>
          <w:pgMar w:left="320" w:top="1440" w:right="1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4 TO CREDIT AGREEMENT</w:t>
      </w:r>
    </w:p>
    <w:p>
      <w:pPr>
        <w:spacing w:after="0" w:line="228"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AMENDMENT NO. 4</w:t>
      </w:r>
      <w:r>
        <w:rPr>
          <w:rFonts w:ascii="Times New Roman" w:cs="Times New Roman" w:eastAsia="Times New Roman" w:hAnsi="Times New Roman"/>
          <w:sz w:val="20"/>
          <w:szCs w:val="20"/>
          <w:color w:val="auto"/>
        </w:rPr>
        <w:t>, dated as of May 1, 2025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0"/>
          <w:szCs w:val="20"/>
          <w:color w:val="auto"/>
        </w:rPr>
        <w:t>”), to the Credit Agreement dated as of October 14,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2020, by and among ARRAY TECH, INC., a New Mexico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0"/>
          <w:szCs w:val="20"/>
          <w:color w:val="auto"/>
        </w:rPr>
        <w:t>”), ATI INVESTMENT SUB, INC., a Delaware corporation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0"/>
          <w:szCs w:val="20"/>
          <w:color w:val="auto"/>
        </w:rPr>
        <w:t>”), GOLDMAN SACHS BANK USA, as Administrative Agent, Collateral Agent and each L/C Issuer and lender from time to time party thereto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0"/>
          <w:szCs w:val="20"/>
          <w:color w:val="auto"/>
        </w:rPr>
        <w:t>”) (as amended by that certain Amendment No. 1 to the Credit Agreement, dated as of February 23, 2021, as amended by that certain Amendment No. 2 to the Credit Agreement, dated as of February 26, 2021 and as amended by that certain Amendment No. 3 to Credit Agreement, dated as of March 2, 2023, and as further amended, restated, amended and restated, supplemented or otherwise modified prior to the date hereof,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1"/>
          <w:szCs w:val="21"/>
          <w:u w:val="single" w:color="auto"/>
          <w:color w:val="auto"/>
        </w:rPr>
        <w:t>Amended Credit Agreement</w:t>
      </w:r>
      <w:r>
        <w:rPr>
          <w:rFonts w:ascii="Times New Roman" w:cs="Times New Roman" w:eastAsia="Times New Roman" w:hAnsi="Times New Roman"/>
          <w:sz w:val="20"/>
          <w:szCs w:val="20"/>
          <w:color w:val="auto"/>
        </w:rPr>
        <w:t>”); capitalized terms used and not otherwise defined herein shall have the meanings assigned to such terms in the Credit Agreement.</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WHEREAS, (a) pursuant to Section 2.18 of the Credit Agreement, the Borrower desires to obtain Refinancing Revolving Credit Commitments and Refinancing Revolving Credit Loans pursuant to a Refinancing Amendment, the proceeds of which shall be used to prepay and satisfy in full Revolving Credit Commitments and Revolving Credit Loans outstanding under the Credit Agreement immediately prior to the Amendment No. 4 Effective Date (as defined below) (the “</w:t>
      </w:r>
      <w:r>
        <w:rPr>
          <w:rFonts w:ascii="Times New Roman" w:cs="Times New Roman" w:eastAsia="Times New Roman" w:hAnsi="Times New Roman"/>
          <w:sz w:val="21"/>
          <w:szCs w:val="21"/>
          <w:u w:val="single" w:color="auto"/>
          <w:color w:val="auto"/>
        </w:rPr>
        <w:t>Existing Revolving Credit Facility</w:t>
      </w:r>
      <w:r>
        <w:rPr>
          <w:rFonts w:ascii="Times New Roman" w:cs="Times New Roman" w:eastAsia="Times New Roman" w:hAnsi="Times New Roman"/>
          <w:sz w:val="20"/>
          <w:szCs w:val="20"/>
          <w:color w:val="auto"/>
        </w:rPr>
        <w:t>”; and the Lenders providing such Existing Revolving Credit Facility, the “</w:t>
      </w:r>
      <w:r>
        <w:rPr>
          <w:rFonts w:ascii="Times New Roman" w:cs="Times New Roman" w:eastAsia="Times New Roman" w:hAnsi="Times New Roman"/>
          <w:sz w:val="21"/>
          <w:szCs w:val="21"/>
          <w:u w:val="single" w:color="auto"/>
          <w:color w:val="auto"/>
        </w:rPr>
        <w:t>Existing Revolving Lenders</w:t>
      </w:r>
      <w:r>
        <w:rPr>
          <w:rFonts w:ascii="Times New Roman" w:cs="Times New Roman" w:eastAsia="Times New Roman" w:hAnsi="Times New Roman"/>
          <w:sz w:val="20"/>
          <w:szCs w:val="20"/>
          <w:color w:val="auto"/>
        </w:rPr>
        <w:t>”); and (b) Section 2.18 of the Credit Agreement further provides that any Refinancing Amendment may, without the consent of any other Lenders, effect such amendments to the Credit Agreement and the other Loan Documents as may be necessary or appropriate, to effect the incurrence of the Refinancing Revolving Credit Commitments and the Refinancing Revolving Credit Loans;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WHEREAS, each Lender party hereto as a “2025 Refinancing Revolving Lender” (each, a “</w:t>
      </w:r>
      <w:r>
        <w:rPr>
          <w:rFonts w:ascii="Times New Roman" w:cs="Times New Roman" w:eastAsia="Times New Roman" w:hAnsi="Times New Roman"/>
          <w:sz w:val="21"/>
          <w:szCs w:val="21"/>
          <w:u w:val="single" w:color="auto"/>
          <w:color w:val="auto"/>
        </w:rPr>
        <w:t>2025 Refinancing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19"/>
          <w:szCs w:val="19"/>
          <w:color w:val="auto"/>
        </w:rPr>
        <w:t>”) has agreed to provide Refinancing Revolving Credit Commitments (the “</w:t>
      </w:r>
      <w:r>
        <w:rPr>
          <w:rFonts w:ascii="Times New Roman" w:cs="Times New Roman" w:eastAsia="Times New Roman" w:hAnsi="Times New Roman"/>
          <w:sz w:val="21"/>
          <w:szCs w:val="21"/>
          <w:u w:val="single" w:color="auto"/>
          <w:color w:val="auto"/>
        </w:rPr>
        <w:t>2025 Refinancing Revolving Commitments</w:t>
      </w:r>
      <w:r>
        <w:rPr>
          <w:rFonts w:ascii="Times New Roman" w:cs="Times New Roman" w:eastAsia="Times New Roman" w:hAnsi="Times New Roman"/>
          <w:sz w:val="19"/>
          <w:szCs w:val="19"/>
          <w:color w:val="auto"/>
        </w:rPr>
        <w:t>”, and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loans thereunder, the “</w:t>
      </w:r>
      <w:r>
        <w:rPr>
          <w:rFonts w:ascii="Times New Roman" w:cs="Times New Roman" w:eastAsia="Times New Roman" w:hAnsi="Times New Roman"/>
          <w:sz w:val="21"/>
          <w:szCs w:val="21"/>
          <w:u w:val="single" w:color="auto"/>
          <w:color w:val="auto"/>
        </w:rPr>
        <w:t>2025 Refinancing Revolving Loans</w:t>
      </w:r>
      <w:r>
        <w:rPr>
          <w:rFonts w:ascii="Times New Roman" w:cs="Times New Roman" w:eastAsia="Times New Roman" w:hAnsi="Times New Roman"/>
          <w:sz w:val="19"/>
          <w:szCs w:val="19"/>
          <w:color w:val="auto"/>
        </w:rPr>
        <w:t>”, and together with the 2025 Refinancing Revolving Commitments, the “</w:t>
      </w:r>
      <w:r>
        <w:rPr>
          <w:rFonts w:ascii="Times New Roman" w:cs="Times New Roman" w:eastAsia="Times New Roman" w:hAnsi="Times New Roman"/>
          <w:sz w:val="21"/>
          <w:szCs w:val="21"/>
          <w:u w:val="single" w:color="auto"/>
          <w:color w:val="auto"/>
        </w:rPr>
        <w:t>2025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Refinancing Revolving Credit Facility</w:t>
      </w:r>
      <w:r>
        <w:rPr>
          <w:rFonts w:ascii="Times New Roman" w:cs="Times New Roman" w:eastAsia="Times New Roman" w:hAnsi="Times New Roman"/>
          <w:sz w:val="19"/>
          <w:szCs w:val="19"/>
          <w:color w:val="auto"/>
        </w:rPr>
        <w:t>”) in an aggregate principal amount at any one time outstanding not to exceed the amount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2025 Refinancing Revolving Commitment of such 2025 Refinancing Revolving Lender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19"/>
          <w:szCs w:val="19"/>
          <w:color w:val="auto"/>
        </w:rPr>
        <w:t xml:space="preserve"> hereto, effective as of the Amendment No. 4 Effective Date, in accordance with the terms and conditions set forth herein and in the Credit Agreement; and</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WHEREAS, in furtherance of the foregoing, the Borrower, the 2025 Refinancing Revolving Lenders, the undersigned L/C Issuers and the Administrative Agent have agreed to amend the Credit Agreement as hereinafter set forth.</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86" w:lineRule="exact"/>
        <w:rPr>
          <w:sz w:val="20"/>
          <w:szCs w:val="20"/>
          <w:color w:val="auto"/>
        </w:rPr>
      </w:pPr>
    </w:p>
    <w:p>
      <w:pPr>
        <w:ind w:left="1220" w:hanging="321"/>
        <w:spacing w:after="0"/>
        <w:tabs>
          <w:tab w:leader="none" w:pos="12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2025 Refinancing Revolving Credit Facility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899"/>
        <w:spacing w:after="0"/>
        <w:tabs>
          <w:tab w:leader="none" w:pos="116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and including the Amendment No. 4 Effective Date, each 2025 Refinancing Revolving Lender shall become party to the Amended Credit Agreement as a “Lender” and a “Revolving Credit Lender”, shall, severally and not jointly, provide 2025 Refinancing Revolving Commitments to make 2025 Refinancing Revolving Loans </w:t>
      </w:r>
      <w:r>
        <w:rPr>
          <w:rFonts w:ascii="Times New Roman" w:cs="Times New Roman" w:eastAsia="Times New Roman" w:hAnsi="Times New Roman"/>
          <w:sz w:val="21"/>
          <w:szCs w:val="21"/>
          <w:color w:val="auto"/>
        </w:rPr>
        <w:t>in accordance with the terms hereof, and shall have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all of the rights and o</w:t>
      </w:r>
      <w:r>
        <w:rPr>
          <w:rFonts w:ascii="Times New Roman" w:cs="Times New Roman" w:eastAsia="Times New Roman" w:hAnsi="Times New Roman"/>
          <w:sz w:val="19"/>
          <w:szCs w:val="19"/>
          <w:color w:val="auto"/>
        </w:rPr>
        <w:t>bligations of a “Lender” and a “Revolving Credit Lender” under the Amended Credit Agreement and the other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Documents. On the Amendment No. 4 Effective Date, each Existing Revolving Lender (in its capacity as such, but not in any other capacity) shall cease to be a Lender party to the Credit Agreement (except to the extent such Existing Revolving Lender is a party hereto as a 2025 Refinancing Revolving Lender or subsequently becomes a party to the Credit Agreement (i) pursuant to an Assignment and Assumption entered into with 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4" w:right="339" w:bottom="1440" w:gutter="0" w:footer="0" w:header="0"/>
        </w:sectPr>
      </w:pPr>
    </w:p>
    <w:bookmarkStart w:id="77" w:name="page78"/>
    <w:bookmarkEnd w:id="77"/>
    <w:p>
      <w:pPr>
        <w:jc w:val="both"/>
        <w:spacing w:after="0" w:line="239" w:lineRule="auto"/>
        <w:rPr>
          <w:sz w:val="20"/>
          <w:szCs w:val="20"/>
          <w:color w:val="auto"/>
        </w:rPr>
      </w:pPr>
      <w:r>
        <w:rPr>
          <w:rFonts w:ascii="Times New Roman" w:cs="Times New Roman" w:eastAsia="Times New Roman" w:hAnsi="Times New Roman"/>
          <w:sz w:val="20"/>
          <w:szCs w:val="20"/>
          <w:color w:val="auto"/>
        </w:rPr>
        <w:t>Lender in accordance with the terms of the Amended Credit Agreement or (ii) through other means in accordance with the terms and provisions of the Amended Credit Agreement) and shall have its Revolving Credit Commitments under the Existing Revolving Credit Facility automatically and permanently reduced to $0 and its outstanding Revolving Credit Loans (if any) under the Existing Revolving Credit Facility repaid in full in cash, and all other accrued and unpaid fees and other amounts payable under the Credit Agreement for the account of each Existing Revolving Lender shall be due and payable on such date.</w:t>
      </w:r>
    </w:p>
    <w:p>
      <w:pPr>
        <w:spacing w:after="0" w:line="205" w:lineRule="exact"/>
        <w:rPr>
          <w:sz w:val="20"/>
          <w:szCs w:val="20"/>
          <w:color w:val="auto"/>
        </w:rPr>
      </w:pPr>
    </w:p>
    <w:p>
      <w:pPr>
        <w:jc w:val="both"/>
        <w:ind w:firstLine="899"/>
        <w:spacing w:after="0" w:line="236" w:lineRule="auto"/>
        <w:tabs>
          <w:tab w:leader="none" w:pos="117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Amendment shall constitute a “Refinancing Amendment” for all purposes of the Credit Agreement. With effect from the effectiveness of this Amendment, each 2025 Refinancing Revolving Commitment made on the Amendment No. 4 Effective Date in accordance with Section 1(a) shall constitute, for all purposes of the Amended Credit Agreement, a Revolving Credit Commitment made pursuant to the Amended Credit Agreement and this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2025 Refinancing Revolving Commitment shall constitute a “Revolving Credit Commitment” and each 2025 Refinancing Revolving Loan shall constitute a “Revolving Credit Loan”, in each case, for all purposes of the Amended Credit Agreement, and all provisions of the Amended Credit Agreement applicable to Revolving Credit Commitments and Revolving Credit Loans shall continue to be applicable to such 2025 Refinancing Revolving Commitments and such 2025 Refinancing Revolving Loans.</w:t>
      </w:r>
    </w:p>
    <w:p>
      <w:pPr>
        <w:spacing w:after="0" w:line="216" w:lineRule="exact"/>
        <w:rPr>
          <w:sz w:val="20"/>
          <w:szCs w:val="20"/>
          <w:color w:val="auto"/>
        </w:rPr>
      </w:pPr>
    </w:p>
    <w:p>
      <w:pPr>
        <w:ind w:left="1300" w:hanging="401"/>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899"/>
        <w:spacing w:after="0" w:line="242" w:lineRule="auto"/>
        <w:tabs>
          <w:tab w:leader="none" w:pos="11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satisfaction (or waiver) of the conditions precedent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Amendme</w:t>
      </w:r>
      <w:r>
        <w:rPr>
          <w:rFonts w:ascii="Times New Roman" w:cs="Times New Roman" w:eastAsia="Times New Roman" w:hAnsi="Times New Roman"/>
          <w:sz w:val="19"/>
          <w:szCs w:val="19"/>
          <w:color w:val="auto"/>
        </w:rPr>
        <w:t>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as of the Amendment No. 4 Effective Date, the Credit Agreement shall be amended to delete the stricken text (indicated textually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and to add the double-underlined text (indicated textually in the same manner as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following example: </w:t>
      </w:r>
      <w:r>
        <w:rPr>
          <w:rFonts w:ascii="Times New Roman" w:cs="Times New Roman" w:eastAsia="Times New Roman" w:hAnsi="Times New Roman"/>
          <w:sz w:val="21"/>
          <w:szCs w:val="21"/>
          <w:u w:val="single" w:color="auto"/>
          <w:color w:val="0000FF"/>
        </w:rPr>
        <w:t>double-underlined text</w:t>
      </w:r>
      <w:r>
        <w:rPr>
          <w:rFonts w:ascii="Times New Roman" w:cs="Times New Roman" w:eastAsia="Times New Roman" w:hAnsi="Times New Roman"/>
          <w:sz w:val="21"/>
          <w:szCs w:val="21"/>
          <w:color w:val="auto"/>
        </w:rPr>
        <w:t xml:space="preserve">) as set forth in the document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208" w:lineRule="exact"/>
        <w:rPr>
          <w:rFonts w:ascii="Times New Roman" w:cs="Times New Roman" w:eastAsia="Times New Roman" w:hAnsi="Times New Roman"/>
          <w:sz w:val="22"/>
          <w:szCs w:val="22"/>
          <w:color w:val="auto"/>
        </w:rPr>
      </w:pPr>
    </w:p>
    <w:p>
      <w:pPr>
        <w:ind w:firstLine="899"/>
        <w:spacing w:after="0" w:line="262" w:lineRule="auto"/>
        <w:tabs>
          <w:tab w:leader="none" w:pos="120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schedule of Revolving Credit Commitments (as modified in connection with this Amendment) set forth in Schedule 2.01(B) of the Credit Agreement shall be amended and restated in its entirety as set forth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0"/>
          <w:szCs w:val="20"/>
          <w:color w:val="auto"/>
        </w:rPr>
        <w:t xml:space="preserve"> hereto.</w:t>
      </w:r>
    </w:p>
    <w:p>
      <w:pPr>
        <w:spacing w:after="0" w:line="201" w:lineRule="exact"/>
        <w:rPr>
          <w:sz w:val="20"/>
          <w:szCs w:val="20"/>
          <w:color w:val="auto"/>
        </w:rPr>
      </w:pPr>
    </w:p>
    <w:p>
      <w:pPr>
        <w:jc w:val="both"/>
        <w:ind w:firstLine="899"/>
        <w:spacing w:after="0" w:line="236" w:lineRule="auto"/>
        <w:tabs>
          <w:tab w:leader="none" w:pos="1296" w:val="left"/>
        </w:tabs>
        <w:numPr>
          <w:ilvl w:val="1"/>
          <w:numId w:val="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Borrower hereby represents and warrants that as of the Amendment No. 4 Effective Date, after giving effect to this Amendment, (i) no Default or Event of Default has occurred and is continuing, or would result from this Amendment and the refinancing of the Revolving Credit Loans or the Revolving Credit Commitments hereunder and (ii) the representations and warranties of the Borrower and each other Loan Party contained in the Credit Agreement or in the other Loan Documents are true and correct in all material respects with the same effect as though such representations and warranties had been made on and as of the date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such representations and warranties were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216" w:lineRule="exact"/>
        <w:rPr>
          <w:rFonts w:ascii="Times New Roman" w:cs="Times New Roman" w:eastAsia="Times New Roman" w:hAnsi="Times New Roman"/>
          <w:sz w:val="20"/>
          <w:szCs w:val="20"/>
          <w:u w:val="single" w:color="auto"/>
          <w:color w:val="auto"/>
        </w:rPr>
      </w:pPr>
    </w:p>
    <w:p>
      <w:pPr>
        <w:ind w:right="20" w:firstLine="899"/>
        <w:spacing w:after="0" w:line="276" w:lineRule="auto"/>
        <w:tabs>
          <w:tab w:leader="none" w:pos="1296" w:val="left"/>
        </w:tabs>
        <w:numPr>
          <w:ilvl w:val="1"/>
          <w:numId w:val="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Amendment shall become effective on the date (such date, the “</w:t>
      </w:r>
      <w:r>
        <w:rPr>
          <w:rFonts w:ascii="Times New Roman" w:cs="Times New Roman" w:eastAsia="Times New Roman" w:hAnsi="Times New Roman"/>
          <w:sz w:val="21"/>
          <w:szCs w:val="21"/>
          <w:u w:val="single" w:color="auto"/>
          <w:color w:val="auto"/>
        </w:rPr>
        <w:t>Amendment No. 4 Effective Date</w:t>
      </w:r>
      <w:r>
        <w:rPr>
          <w:rFonts w:ascii="Times New Roman" w:cs="Times New Roman" w:eastAsia="Times New Roman" w:hAnsi="Times New Roman"/>
          <w:sz w:val="20"/>
          <w:szCs w:val="20"/>
          <w:color w:val="auto"/>
        </w:rPr>
        <w:t>”) that the following conditions have been satisfied:</w:t>
      </w:r>
    </w:p>
    <w:p>
      <w:pPr>
        <w:spacing w:after="0" w:line="159" w:lineRule="exact"/>
        <w:rPr>
          <w:rFonts w:ascii="Times New Roman" w:cs="Times New Roman" w:eastAsia="Times New Roman" w:hAnsi="Times New Roman"/>
          <w:sz w:val="20"/>
          <w:szCs w:val="20"/>
          <w:u w:val="single" w:color="auto"/>
          <w:color w:val="auto"/>
        </w:rPr>
      </w:pPr>
    </w:p>
    <w:p>
      <w:pPr>
        <w:ind w:right="20" w:firstLine="656"/>
        <w:spacing w:after="0" w:line="258" w:lineRule="auto"/>
        <w:tabs>
          <w:tab w:leader="none" w:pos="12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19"/>
          <w:szCs w:val="19"/>
          <w:color w:val="auto"/>
        </w:rPr>
        <w:t>. The Administrative Agent shall have received executed signature pages hereto from each</w:t>
      </w:r>
      <w:r>
        <w:rPr>
          <w:rFonts w:ascii="Times New Roman" w:cs="Times New Roman" w:eastAsia="Times New Roman" w:hAnsi="Times New Roman"/>
          <w:sz w:val="22"/>
          <w:szCs w:val="22"/>
          <w:color w:val="auto"/>
        </w:rPr>
        <w:t xml:space="preserve"> 2025 Refinancing Revolving </w:t>
      </w:r>
      <w:r>
        <w:rPr>
          <w:rFonts w:ascii="Times New Roman" w:cs="Times New Roman" w:eastAsia="Times New Roman" w:hAnsi="Times New Roman"/>
          <w:sz w:val="19"/>
          <w:szCs w:val="19"/>
          <w:color w:val="auto"/>
        </w:rPr>
        <w:t>Lender, each L/C Issuer party hereto and each Loan Party;</w:t>
      </w:r>
    </w:p>
    <w:p>
      <w:pPr>
        <w:spacing w:after="0" w:line="185" w:lineRule="exact"/>
        <w:rPr>
          <w:rFonts w:ascii="Times New Roman" w:cs="Times New Roman" w:eastAsia="Times New Roman" w:hAnsi="Times New Roman"/>
          <w:sz w:val="20"/>
          <w:szCs w:val="20"/>
          <w:color w:val="auto"/>
        </w:rPr>
      </w:pPr>
    </w:p>
    <w:p>
      <w:pPr>
        <w:jc w:val="both"/>
        <w:ind w:firstLine="656"/>
        <w:spacing w:after="0" w:line="256" w:lineRule="auto"/>
        <w:tabs>
          <w:tab w:leader="none" w:pos="110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19"/>
          <w:szCs w:val="19"/>
          <w:color w:val="auto"/>
        </w:rPr>
        <w:t>. The Borrower shall have paid to the Administrative Agent all fees and expenses due to be paid on the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 4 Effective Date, including all reasonable and documented out-of-pocket expenses required to be paid or reimbursed under Section 10.04 of the Credit Agreement for which invoices have been presented at least one Business Day prior to the Amendment No. 4 Effective Date;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78" w:name="page79"/>
    <w:bookmarkEnd w:id="78"/>
    <w:p>
      <w:pPr>
        <w:jc w:val="both"/>
        <w:ind w:firstLine="656"/>
        <w:spacing w:after="0" w:line="245" w:lineRule="auto"/>
        <w:tabs>
          <w:tab w:leader="none" w:pos="1097"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19"/>
          <w:szCs w:val="19"/>
          <w:color w:val="auto"/>
        </w:rPr>
        <w:t>. The Administrative Agent shall have a legal opinion from each of (x) Ropes &amp; Gray LLP, New York counsel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the Loan Parties and (y) Modrall Sperling, New Mexico counsel to the Loan Parties, each addressed to the Administrative Agent and the</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2025 Refinancing Revolving </w:t>
      </w:r>
      <w:r>
        <w:rPr>
          <w:rFonts w:ascii="Times New Roman" w:cs="Times New Roman" w:eastAsia="Times New Roman" w:hAnsi="Times New Roman"/>
          <w:sz w:val="19"/>
          <w:szCs w:val="19"/>
          <w:color w:val="auto"/>
        </w:rPr>
        <w:t>Lenders;</w:t>
      </w:r>
    </w:p>
    <w:p>
      <w:pPr>
        <w:spacing w:after="0" w:line="209" w:lineRule="exact"/>
        <w:rPr>
          <w:rFonts w:ascii="Times New Roman" w:cs="Times New Roman" w:eastAsia="Times New Roman" w:hAnsi="Times New Roman"/>
          <w:sz w:val="20"/>
          <w:szCs w:val="20"/>
          <w:color w:val="auto"/>
        </w:rPr>
      </w:pPr>
    </w:p>
    <w:p>
      <w:pPr>
        <w:jc w:val="both"/>
        <w:ind w:firstLine="656"/>
        <w:spacing w:after="0" w:line="246" w:lineRule="auto"/>
        <w:tabs>
          <w:tab w:leader="none" w:pos="123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19"/>
          <w:szCs w:val="19"/>
          <w:color w:val="auto"/>
        </w:rPr>
        <w:t>. The Administrative Agent shall have received (i) a certificate dated as of the Amendment No.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Effective Date and executed by a Responsible Officer of each of the Loan Parties, certifying (A)(x) that attached thereto is a true and complete copy of the articles or certificate of incorporation or other comparable organizational documents of such Loan Party, certified by the relevant authority of the jurisdiction of organization of such Loan Party and a true and complete copy of the bylaws, operating or comparable governing document of such Loan Party, if applicable, or (y) that such documents or agreements have not been amended since those delivered as of the Amendment No. 1 Effective Date (except as otherwise attached to such certificate and certified therein as being the only amendments thereto as of such date) and (B)(x) that attached thereto is a true and complete copy of resolutions or written consents of its shareholders or board of directors or other relevant governing body, as the case may be, authorizing the execution, delivery and performance of this Amendment and the other Loan Documents (if any) to which it is a party, and that such resolutions or written consents have not been modified, rescinded or amended and are in full force and effect without amendment, modification or rescission, and (y) as to the incumbency and genuineness of the signature of the officers, directors, managers or other authorized signatories of each Loan Party executing this Amendment and the other Loan Documents (if any) to which it is a party and (ii) certificates as to the good standing (where relevant) of each Loan Party as of a recent date, from the relevant authority of the jurisdiction of organization of such Loan Party;</w:t>
      </w:r>
    </w:p>
    <w:p>
      <w:pPr>
        <w:spacing w:after="0" w:line="198" w:lineRule="exact"/>
        <w:rPr>
          <w:rFonts w:ascii="Times New Roman" w:cs="Times New Roman" w:eastAsia="Times New Roman" w:hAnsi="Times New Roman"/>
          <w:sz w:val="20"/>
          <w:szCs w:val="20"/>
          <w:color w:val="auto"/>
        </w:rPr>
      </w:pPr>
    </w:p>
    <w:p>
      <w:pPr>
        <w:jc w:val="both"/>
        <w:ind w:firstLine="656"/>
        <w:spacing w:after="0" w:line="254" w:lineRule="auto"/>
        <w:tabs>
          <w:tab w:leader="none" w:pos="11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Closing Certificates</w:t>
      </w:r>
      <w:r>
        <w:rPr>
          <w:rFonts w:ascii="Times New Roman" w:cs="Times New Roman" w:eastAsia="Times New Roman" w:hAnsi="Times New Roman"/>
          <w:sz w:val="19"/>
          <w:szCs w:val="19"/>
          <w:color w:val="auto"/>
        </w:rPr>
        <w:t>. The Administrative Agent shall have received a certificate dated as of the Amendment No. 4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Date and executed by a Responsible Officer of the Borrower certifying, after giving effect to this Amendment, that, as of the Amendment No. 4 Effective Date, the representations and warranties of each Loan Party contained in Section 3 hereof shall be true and correct in all material respects (or, to the extent qualified by materiality, in all respects) on and as of the Amendment No. 4 Effective Date;</w:t>
      </w:r>
    </w:p>
    <w:p>
      <w:pPr>
        <w:spacing w:after="0" w:line="186" w:lineRule="exact"/>
        <w:rPr>
          <w:rFonts w:ascii="Times New Roman" w:cs="Times New Roman" w:eastAsia="Times New Roman" w:hAnsi="Times New Roman"/>
          <w:sz w:val="20"/>
          <w:szCs w:val="20"/>
          <w:color w:val="auto"/>
        </w:rPr>
      </w:pPr>
    </w:p>
    <w:p>
      <w:pPr>
        <w:jc w:val="both"/>
        <w:ind w:firstLine="656"/>
        <w:spacing w:after="0" w:line="250" w:lineRule="auto"/>
        <w:tabs>
          <w:tab w:leader="none" w:pos="1129"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KYC; Beneficial Ownership Certification</w:t>
      </w:r>
      <w:r>
        <w:rPr>
          <w:rFonts w:ascii="Times New Roman" w:cs="Times New Roman" w:eastAsia="Times New Roman" w:hAnsi="Times New Roman"/>
          <w:sz w:val="19"/>
          <w:szCs w:val="19"/>
          <w:color w:val="auto"/>
        </w:rPr>
        <w:t>. The Administrative Agent shall have received at least three (3) business days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prior to the Amendment No. 4 Effective Date all documentation and other information about the Loan Parties reasonably requested by the Administrative Agent (on behalf of any Lender) or the Administrative Agent in writing at least ten (10) Business Days in advance of the Amendment No. 4 Effective Date, which documentation or other information is required by regulatory authorities under applicable “know your customer” and anti-money laundering rules and regulations, including without limitation the USA PATRIOT Act and if the Borrower qualifies as a “legal entity” customer under 31 C.F.R. §1010.230, a Beneficial Ownership Certificate in relation to the Borrower; and</w:t>
      </w:r>
    </w:p>
    <w:p>
      <w:pPr>
        <w:spacing w:after="0" w:line="191" w:lineRule="exact"/>
        <w:rPr>
          <w:rFonts w:ascii="Times New Roman" w:cs="Times New Roman" w:eastAsia="Times New Roman" w:hAnsi="Times New Roman"/>
          <w:sz w:val="20"/>
          <w:szCs w:val="20"/>
          <w:color w:val="auto"/>
        </w:rPr>
      </w:pPr>
    </w:p>
    <w:p>
      <w:pPr>
        <w:jc w:val="both"/>
        <w:ind w:firstLine="8"/>
        <w:spacing w:after="0" w:line="235" w:lineRule="auto"/>
        <w:tabs>
          <w:tab w:leader="none" w:pos="44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19"/>
          <w:szCs w:val="19"/>
          <w:color w:val="auto"/>
        </w:rPr>
        <w:t>. The Borrower shall have paid to the Administrative Agent, (i)</w:t>
      </w:r>
      <w:r>
        <w:rPr>
          <w:rFonts w:ascii="Times New Roman" w:cs="Times New Roman" w:eastAsia="Times New Roman" w:hAnsi="Times New Roman"/>
          <w:sz w:val="22"/>
          <w:szCs w:val="22"/>
          <w:color w:val="auto"/>
        </w:rPr>
        <w:t xml:space="preserve"> (x) for the account of each Existing Revolving Lender that is also a 2025 Refinancing Revolving Lender, a fee of 0.25% of such 2025 Refinancing Revolving Lender’s 2025 Refinancing Revolving Commitment in effect on the Amendment No. 4 Effective Date and (y) for the account of each 2025 Refinancing Revolving Lender that is not an Existing Revolving Lender, a fee of 0.35% of such 2025 Refinancing Revolving Lender’s 2025 Refinancing Revolving Commitment in effect on the Amendment No. 4 Effective Date and (ii) for the account of each Revolving Credit Lender and L/C Issuer under the Credit Agreement, all outstanding accrued and unpaid fees in respect of the Existing Revolving Credit Facility under the Credit Agreement immediately prior to the Amendment No. 4 Effective Date.</w:t>
      </w:r>
    </w:p>
    <w:p>
      <w:pPr>
        <w:spacing w:after="0" w:line="228" w:lineRule="exact"/>
        <w:rPr>
          <w:rFonts w:ascii="Times New Roman" w:cs="Times New Roman" w:eastAsia="Times New Roman" w:hAnsi="Times New Roman"/>
          <w:sz w:val="20"/>
          <w:szCs w:val="20"/>
          <w:color w:val="auto"/>
        </w:rPr>
      </w:pPr>
    </w:p>
    <w:p>
      <w:pPr>
        <w:jc w:val="both"/>
        <w:ind w:firstLine="899"/>
        <w:spacing w:after="0" w:line="246" w:lineRule="auto"/>
        <w:tabs>
          <w:tab w:leader="none" w:pos="1296"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Amendment may be executed in one or more counterparts, each of which shall be deemed an original, but all of which together shall constitute one and the same instrument. Delivery by telecopier or other electronic transmission of an executed counterpart of a signature page to this Amendment shall be effective as delivery of an original executed counterpart of this Amendment. The Administrative Agent may also require that any such documents and signatures delivered by telecopier or other electronic transmission be confirmed by a manually signed original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the failure to request or deliver the same shall not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8" w:right="339" w:bottom="1440" w:gutter="0" w:footer="0" w:header="0"/>
        </w:sectPr>
      </w:pPr>
    </w:p>
    <w:bookmarkStart w:id="79" w:name="page80"/>
    <w:bookmarkEnd w:id="79"/>
    <w:p>
      <w:pPr>
        <w:jc w:val="both"/>
        <w:spacing w:after="0" w:line="237" w:lineRule="auto"/>
        <w:rPr>
          <w:sz w:val="20"/>
          <w:szCs w:val="20"/>
          <w:color w:val="auto"/>
        </w:rPr>
      </w:pPr>
      <w:r>
        <w:rPr>
          <w:rFonts w:ascii="Times New Roman" w:cs="Times New Roman" w:eastAsia="Times New Roman" w:hAnsi="Times New Roman"/>
          <w:sz w:val="20"/>
          <w:szCs w:val="20"/>
          <w:color w:val="auto"/>
        </w:rPr>
        <w:t>limit the effectiveness of any document or signature delivered by telecopier or other electronic transmission.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30" w:lineRule="exact"/>
        <w:rPr>
          <w:sz w:val="20"/>
          <w:szCs w:val="20"/>
          <w:color w:val="auto"/>
        </w:rPr>
      </w:pPr>
    </w:p>
    <w:p>
      <w:pPr>
        <w:ind w:left="1300" w:hanging="401"/>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this Amendment are for purposes of reference only and shall not limit or otherwise affect the</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meaning hereof.</w:t>
      </w:r>
    </w:p>
    <w:p>
      <w:pPr>
        <w:spacing w:after="0" w:line="234" w:lineRule="exact"/>
        <w:rPr>
          <w:rFonts w:ascii="Times New Roman" w:cs="Times New Roman" w:eastAsia="Times New Roman" w:hAnsi="Times New Roman"/>
          <w:sz w:val="20"/>
          <w:szCs w:val="20"/>
          <w:color w:val="auto"/>
        </w:rPr>
      </w:pPr>
    </w:p>
    <w:p>
      <w:pPr>
        <w:jc w:val="both"/>
        <w:ind w:firstLine="899"/>
        <w:spacing w:after="0" w:line="249" w:lineRule="auto"/>
        <w:tabs>
          <w:tab w:leader="none" w:pos="129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Amendment; Reaffirmation</w:t>
      </w:r>
      <w:r>
        <w:rPr>
          <w:rFonts w:ascii="Times New Roman" w:cs="Times New Roman" w:eastAsia="Times New Roman" w:hAnsi="Times New Roman"/>
          <w:sz w:val="19"/>
          <w:szCs w:val="19"/>
          <w:color w:val="auto"/>
        </w:rPr>
        <w:t xml:space="preserve">. (a) Except as expressly set forth herein, (i) this Amendment shall not by implication or otherwise limit, impair, constitute a waiver of or otherwise affect the rights and remedies of the Lenders, the Administrative Agent or the Collateral Agent, in each case under the Credit Agreement or any other Loan Document, and (ii) shall not alter, modify, amend or in any way affect any of the terms, conditions, obligations, covenants or agreements contained in the Credit Agreement or any other Loan Document. Except as expressly set forth herein, each and every term, condition, obligation, covenant and agreement contained in the Credit Agreement or any other Loan Document is hereby ratified and re-affirmed in all respects and shall continue in full force and effect and each Loan Party party hereto reaffirms its obligations under the Loan Documents to which it is party and the grant of its Liens on the Collateral made by it pursuant to the Collateral Documents. This Amendment shall constitute a Loan Document for purposes of the Credit Agreement and the provisions of Sections 10.01, 10.13, 10.14 and 10.15 shall be deemed incorporated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19"/>
          <w:szCs w:val="19"/>
          <w:color w:val="auto"/>
        </w:rPr>
        <w:t>. From and after the Amendment No. 4 Effective Date, all references to the Credit Agreement in any Loan Document and all references in the Credit Agreement to “this Agreement,” “hereunder,” “hereof” or words of like import referring to the Credit Agreement, shall, unless expressly provided otherwise, refer to the Amended Credit Agreement. Each of the Loan Parties hereby consents to this Amendment and confirms that all obligations of such Loan Party under the Loan Documents to which such Loan Party is a party shall continue to apply to the Amended Credit Agreement.</w:t>
      </w:r>
    </w:p>
    <w:p>
      <w:pPr>
        <w:spacing w:after="0" w:line="227" w:lineRule="exact"/>
        <w:rPr>
          <w:sz w:val="20"/>
          <w:szCs w:val="20"/>
          <w:color w:val="auto"/>
        </w:rPr>
      </w:pPr>
    </w:p>
    <w:p>
      <w:pPr>
        <w:jc w:val="both"/>
        <w:ind w:firstLine="899"/>
        <w:spacing w:after="0" w:line="255" w:lineRule="auto"/>
        <w:tabs>
          <w:tab w:leader="none" w:pos="1392"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hereby (i) affirms and confirms its guarantee of (or, in the case of the Borrower, its principal obligation with respect to) the Secured Obligations pursuant to the Guarantee, (ii) affirms and confirms its prior pledges and grants of Liens on the Collateral to secure the Secured Obligations and other commitments under the Collateral Documents to which it is a party and (iii) agrees that</w:t>
      </w:r>
    </w:p>
    <w:p>
      <w:pPr>
        <w:jc w:val="both"/>
        <w:ind w:firstLine="8"/>
        <w:spacing w:after="0" w:line="237" w:lineRule="auto"/>
        <w:tabs>
          <w:tab w:leader="none" w:pos="29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and each Collateral Document to which it is a party shall continue to be in full force and effect in accordance with and subject to the terms and conditions and such Guarantee and Collateral Documents, after giving effect to this Amendment and (y) all guarantees, Liens, pledges, grants and other commitments thereunder shall continue to be in full force and effect and shall secure the Secured Obligations (after giving effect to this Amendment) including, without limitation, the </w:t>
      </w:r>
      <w:r>
        <w:rPr>
          <w:rFonts w:ascii="Times New Roman" w:cs="Times New Roman" w:eastAsia="Times New Roman" w:hAnsi="Times New Roman"/>
          <w:sz w:val="21"/>
          <w:szCs w:val="21"/>
          <w:color w:val="auto"/>
        </w:rPr>
        <w:t>2025 Refinancing Revolving 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2025 Refinancing Revolving </w:t>
      </w:r>
      <w:r>
        <w:rPr>
          <w:rFonts w:ascii="Times New Roman" w:cs="Times New Roman" w:eastAsia="Times New Roman" w:hAnsi="Times New Roman"/>
          <w:sz w:val="19"/>
          <w:szCs w:val="19"/>
          <w:color w:val="auto"/>
        </w:rPr>
        <w:t>Loans, and shall accrue to the benefit of the Agents and the other Secured Parties.</w:t>
      </w:r>
    </w:p>
    <w:p>
      <w:pPr>
        <w:spacing w:after="0" w:line="224" w:lineRule="exact"/>
        <w:rPr>
          <w:sz w:val="20"/>
          <w:szCs w:val="20"/>
          <w:color w:val="auto"/>
        </w:rPr>
      </w:pPr>
    </w:p>
    <w:p>
      <w:pPr>
        <w:jc w:val="both"/>
        <w:ind w:firstLine="899"/>
        <w:spacing w:after="0" w:line="239" w:lineRule="auto"/>
        <w:tabs>
          <w:tab w:leader="none" w:pos="129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discharge or release the Lien or priority of any Collateral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 and except to the extent repaid as provided herein.</w:t>
      </w:r>
    </w:p>
    <w:p>
      <w:pPr>
        <w:spacing w:after="0" w:line="219" w:lineRule="exact"/>
        <w:rPr>
          <w:rFonts w:ascii="Times New Roman" w:cs="Times New Roman" w:eastAsia="Times New Roman" w:hAnsi="Times New Roman"/>
          <w:sz w:val="20"/>
          <w:szCs w:val="20"/>
          <w:color w:val="auto"/>
        </w:rPr>
      </w:pPr>
    </w:p>
    <w:p>
      <w:pPr>
        <w:ind w:firstLine="899"/>
        <w:spacing w:after="0" w:line="255" w:lineRule="auto"/>
        <w:tabs>
          <w:tab w:leader="none" w:pos="129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The execution and delivery of this Amendment by the Borrower and the satisfaction of all conditions precedent to effectiveness of this Amendment pursuant to Section 4 hereof shall be deemed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color w:val="auto"/>
        </w:rPr>
        <w:t>satisfy any requirement for, and constitute any notice required to be delivered to the Administrative Agent under the Credit Agreement.</w:t>
      </w:r>
    </w:p>
    <w:p>
      <w:pPr>
        <w:sectPr>
          <w:pgSz w:w="11900" w:h="16838" w:orient="portrait"/>
          <w:cols w:equalWidth="0" w:num="1">
            <w:col w:w="10720"/>
          </w:cols>
          <w:pgMar w:left="320" w:top="1413" w:right="859" w:bottom="1440" w:gutter="0" w:footer="0" w:header="0"/>
        </w:sectPr>
      </w:pP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720"/>
          </w:cols>
          <w:pgMar w:left="320" w:top="1413" w:right="859" w:bottom="1440" w:gutter="0" w:footer="0" w:header="0"/>
          <w:type w:val="continuous"/>
        </w:sectPr>
      </w:pPr>
    </w:p>
    <w:bookmarkStart w:id="81" w:name="page82"/>
    <w:bookmarkEnd w:id="81"/>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7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ARRAY TECH, Inc.</w:t>
      </w:r>
      <w:r>
        <w:rPr>
          <w:rFonts w:ascii="Times New Roman" w:cs="Times New Roman" w:eastAsia="Times New Roman" w:hAnsi="Times New Roman"/>
          <w:sz w:val="20"/>
          <w:szCs w:val="20"/>
          <w:color w:val="auto"/>
        </w:rPr>
        <w:t>, as the Borrower</w:t>
      </w:r>
    </w:p>
    <w:p>
      <w:pPr>
        <w:spacing w:after="0" w:line="301" w:lineRule="exact"/>
        <w:rPr>
          <w:sz w:val="20"/>
          <w:szCs w:val="20"/>
          <w:color w:val="auto"/>
        </w:rPr>
      </w:pPr>
    </w:p>
    <w:p>
      <w:pPr>
        <w:ind w:left="4860"/>
        <w:spacing w:after="0"/>
        <w:tabs>
          <w:tab w:leader="none" w:pos="5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22860</wp:posOffset>
            </wp:positionV>
            <wp:extent cx="2922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Name: H. Keith Jennings</w:t>
      </w:r>
    </w:p>
    <w:p>
      <w:pPr>
        <w:spacing w:after="0" w:line="2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ATI INVESTMENT SUB, INC. as Holdings</w:t>
      </w:r>
    </w:p>
    <w:p>
      <w:pPr>
        <w:spacing w:after="0" w:line="301" w:lineRule="exact"/>
        <w:rPr>
          <w:sz w:val="20"/>
          <w:szCs w:val="20"/>
          <w:color w:val="auto"/>
        </w:rPr>
      </w:pPr>
    </w:p>
    <w:p>
      <w:pPr>
        <w:ind w:left="4860"/>
        <w:spacing w:after="0"/>
        <w:tabs>
          <w:tab w:leader="none" w:pos="5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22860</wp:posOffset>
            </wp:positionV>
            <wp:extent cx="29229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Name: H. Keith Jennings</w:t>
      </w:r>
    </w:p>
    <w:p>
      <w:pPr>
        <w:spacing w:after="0" w:line="2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[Signature Page to Amendment No. 4 to Credit Agreement]</w:t>
      </w:r>
    </w:p>
    <w:p>
      <w:pPr>
        <w:sectPr>
          <w:pgSz w:w="11900" w:h="16838" w:orient="portrait"/>
          <w:cols w:equalWidth="0" w:num="1">
            <w:col w:w="11020"/>
          </w:cols>
          <w:pgMar w:left="320" w:top="1440" w:right="559" w:bottom="1440" w:gutter="0" w:footer="0" w:header="0"/>
        </w:sectPr>
      </w:pPr>
    </w:p>
    <w:bookmarkStart w:id="82" w:name="page83"/>
    <w:bookmarkEnd w:id="82"/>
    <w:p>
      <w:pPr>
        <w:spacing w:after="0" w:line="25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740" w:right="379"/>
        <w:spacing w:after="0" w:line="239" w:lineRule="auto"/>
        <w:rPr>
          <w:sz w:val="20"/>
          <w:szCs w:val="20"/>
          <w:color w:val="auto"/>
        </w:rPr>
      </w:pPr>
      <w:r>
        <w:rPr>
          <w:rFonts w:ascii="Times New Roman" w:cs="Times New Roman" w:eastAsia="Times New Roman" w:hAnsi="Times New Roman"/>
          <w:sz w:val="20"/>
          <w:szCs w:val="20"/>
          <w:color w:val="auto"/>
        </w:rPr>
        <w:t>as Administrative Agent, an L/C Issuer and 2025 Refinancing Revolving Lender</w:t>
      </w:r>
    </w:p>
    <w:p>
      <w:pPr>
        <w:spacing w:after="0" w:line="256" w:lineRule="exact"/>
        <w:rPr>
          <w:sz w:val="20"/>
          <w:szCs w:val="20"/>
          <w:color w:val="auto"/>
        </w:rPr>
      </w:pPr>
    </w:p>
    <w:p>
      <w:pPr>
        <w:ind w:left="3740"/>
        <w:spacing w:after="0"/>
        <w:tabs>
          <w:tab w:leader="none" w:pos="46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22860</wp:posOffset>
            </wp:positionV>
            <wp:extent cx="2922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Name: Thomas Manning</w:t>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Amendment No. 4 to Credit Agreement]</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25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as a 2025 Refinancing Revolving Lender and an L/C Issuer</w:t>
      </w:r>
    </w:p>
    <w:p>
      <w:pPr>
        <w:spacing w:after="0" w:line="295" w:lineRule="exact"/>
        <w:rPr>
          <w:sz w:val="20"/>
          <w:szCs w:val="20"/>
          <w:color w:val="auto"/>
        </w:rPr>
      </w:pPr>
    </w:p>
    <w:tbl>
      <w:tblPr>
        <w:tblLayout w:type="fixed"/>
        <w:tblInd w:w="3740" w:type="dxa"/>
        <w:tblCellMar>
          <w:top w:w="0" w:type="dxa"/>
          <w:left w:w="0" w:type="dxa"/>
          <w:bottom w:w="0" w:type="dxa"/>
          <w:right w:w="0" w:type="dxa"/>
        </w:tblCellMar>
      </w:tblPr>
      <w:tr>
        <w:trPr>
          <w:trHeight w:val="26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Richard Barritt</w:t>
            </w:r>
          </w:p>
        </w:tc>
      </w:tr>
      <w:tr>
        <w:trPr>
          <w:trHeight w:val="244"/>
        </w:trPr>
        <w:tc>
          <w:tcPr>
            <w:tcW w:w="9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Richard Barritt</w:t>
            </w:r>
          </w:p>
        </w:tc>
      </w:tr>
      <w:tr>
        <w:trPr>
          <w:trHeight w:val="258"/>
        </w:trPr>
        <w:tc>
          <w:tcPr>
            <w:tcW w:w="9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[Signature Page to Amendment No. 4 to Credit Agreement]</w:t>
      </w:r>
    </w:p>
    <w:p>
      <w:pPr>
        <w:sectPr>
          <w:pgSz w:w="11900" w:h="16838" w:orient="portrait"/>
          <w:cols w:equalWidth="0" w:num="1">
            <w:col w:w="9280"/>
          </w:cols>
          <w:pgMar w:left="1440" w:top="1440" w:right="1179" w:bottom="1440" w:gutter="0" w:footer="0" w:header="0"/>
        </w:sectPr>
      </w:pPr>
    </w:p>
    <w:bookmarkStart w:id="84" w:name="page85"/>
    <w:bookmarkEnd w:id="84"/>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Morgan Stanley Senior Funding, Inc.</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as a 2025 Refinancing Revolving Lender and an L/C Issuer</w:t>
      </w:r>
    </w:p>
    <w:p>
      <w:pPr>
        <w:spacing w:after="0" w:line="295" w:lineRule="exact"/>
        <w:rPr>
          <w:sz w:val="20"/>
          <w:szCs w:val="20"/>
          <w:color w:val="auto"/>
        </w:rPr>
      </w:pPr>
    </w:p>
    <w:tbl>
      <w:tblPr>
        <w:tblLayout w:type="fixed"/>
        <w:tblInd w:w="3740" w:type="dxa"/>
        <w:tblCellMar>
          <w:top w:w="0" w:type="dxa"/>
          <w:left w:w="0" w:type="dxa"/>
          <w:bottom w:w="0" w:type="dxa"/>
          <w:right w:w="0" w:type="dxa"/>
        </w:tblCellMar>
      </w:tblPr>
      <w:tr>
        <w:trPr>
          <w:trHeight w:val="26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Michael King</w:t>
            </w:r>
          </w:p>
        </w:tc>
      </w:tr>
      <w:tr>
        <w:trPr>
          <w:trHeight w:val="244"/>
        </w:trPr>
        <w:tc>
          <w:tcPr>
            <w:tcW w:w="9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Michael King</w:t>
            </w:r>
          </w:p>
        </w:tc>
      </w:tr>
      <w:tr>
        <w:trPr>
          <w:trHeight w:val="258"/>
        </w:trPr>
        <w:tc>
          <w:tcPr>
            <w:tcW w:w="9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[Signature Page to Amendment No. 4 to Credit Agreement]</w:t>
      </w:r>
    </w:p>
    <w:p>
      <w:pPr>
        <w:sectPr>
          <w:pgSz w:w="11900" w:h="16838" w:orient="portrait"/>
          <w:cols w:equalWidth="0" w:num="1">
            <w:col w:w="9280"/>
          </w:cols>
          <w:pgMar w:left="1440" w:top="1440" w:right="1179" w:bottom="1440" w:gutter="0" w:footer="0" w:header="0"/>
        </w:sectPr>
      </w:pPr>
    </w:p>
    <w:bookmarkStart w:id="85" w:name="page86"/>
    <w:bookmarkEnd w:id="85"/>
    <w:p>
      <w:pPr>
        <w:spacing w:after="0" w:line="253" w:lineRule="exact"/>
        <w:rPr>
          <w:sz w:val="20"/>
          <w:szCs w:val="20"/>
          <w:color w:val="auto"/>
        </w:rPr>
      </w:pPr>
    </w:p>
    <w:p>
      <w:pPr>
        <w:ind w:left="3740" w:right="840"/>
        <w:spacing w:after="0" w:line="329" w:lineRule="auto"/>
        <w:rPr>
          <w:sz w:val="20"/>
          <w:szCs w:val="20"/>
          <w:color w:val="auto"/>
        </w:rPr>
      </w:pPr>
      <w:r>
        <w:rPr>
          <w:rFonts w:ascii="Times New Roman" w:cs="Times New Roman" w:eastAsia="Times New Roman" w:hAnsi="Times New Roman"/>
          <w:sz w:val="19"/>
          <w:szCs w:val="19"/>
          <w:b w:val="1"/>
          <w:bCs w:val="1"/>
          <w:color w:val="auto"/>
        </w:rPr>
        <w:t xml:space="preserve">WELLS FARGO BANK, NATIONAL ASSOCIATION, </w:t>
      </w:r>
      <w:r>
        <w:rPr>
          <w:rFonts w:ascii="Times New Roman" w:cs="Times New Roman" w:eastAsia="Times New Roman" w:hAnsi="Times New Roman"/>
          <w:sz w:val="19"/>
          <w:szCs w:val="19"/>
          <w:color w:val="auto"/>
        </w:rPr>
        <w:t>as a 2025 Refinancing Revolving Lender and an L/C Issuer</w:t>
      </w:r>
    </w:p>
    <w:p>
      <w:pPr>
        <w:spacing w:after="0" w:line="188" w:lineRule="exact"/>
        <w:rPr>
          <w:sz w:val="20"/>
          <w:szCs w:val="20"/>
          <w:color w:val="auto"/>
        </w:rPr>
      </w:pPr>
    </w:p>
    <w:tbl>
      <w:tblPr>
        <w:tblLayout w:type="fixed"/>
        <w:tblInd w:w="3740" w:type="dxa"/>
        <w:tblCellMar>
          <w:top w:w="0" w:type="dxa"/>
          <w:left w:w="0" w:type="dxa"/>
          <w:bottom w:w="0" w:type="dxa"/>
          <w:right w:w="0" w:type="dxa"/>
        </w:tblCellMar>
      </w:tblPr>
      <w:tr>
        <w:trPr>
          <w:trHeight w:val="26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Stolpe</w:t>
            </w:r>
          </w:p>
        </w:tc>
      </w:tr>
      <w:tr>
        <w:trPr>
          <w:trHeight w:val="244"/>
        </w:trPr>
        <w:tc>
          <w:tcPr>
            <w:tcW w:w="9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David Stolpe</w:t>
            </w:r>
          </w:p>
        </w:tc>
      </w:tr>
      <w:tr>
        <w:trPr>
          <w:trHeight w:val="258"/>
        </w:trPr>
        <w:tc>
          <w:tcPr>
            <w:tcW w:w="9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[Signature Page to Amendment No. 4 to Credit Agreement]</w:t>
      </w:r>
    </w:p>
    <w:p>
      <w:pPr>
        <w:sectPr>
          <w:pgSz w:w="11900" w:h="16838" w:orient="portrait"/>
          <w:cols w:equalWidth="0" w:num="1">
            <w:col w:w="9280"/>
          </w:cols>
          <w:pgMar w:left="1440" w:top="1440" w:right="1179" w:bottom="1440" w:gutter="0" w:footer="0" w:header="0"/>
        </w:sectPr>
      </w:pPr>
    </w:p>
    <w:bookmarkStart w:id="86" w:name="page87"/>
    <w:bookmarkEnd w:id="86"/>
    <w:p>
      <w:pPr>
        <w:spacing w:after="0" w:line="25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as a 2025 Refinancing Revolving Lender and an L/C Issuer</w:t>
      </w:r>
    </w:p>
    <w:p>
      <w:pPr>
        <w:spacing w:after="0" w:line="295" w:lineRule="exact"/>
        <w:rPr>
          <w:sz w:val="20"/>
          <w:szCs w:val="20"/>
          <w:color w:val="auto"/>
        </w:rPr>
      </w:pPr>
    </w:p>
    <w:tbl>
      <w:tblPr>
        <w:tblLayout w:type="fixed"/>
        <w:tblInd w:w="3740" w:type="dxa"/>
        <w:tblCellMar>
          <w:top w:w="0" w:type="dxa"/>
          <w:left w:w="0" w:type="dxa"/>
          <w:bottom w:w="0" w:type="dxa"/>
          <w:right w:w="0" w:type="dxa"/>
        </w:tblCellMar>
      </w:tblPr>
      <w:tr>
        <w:trPr>
          <w:trHeight w:val="26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Ben Snodgrass</w:t>
            </w:r>
          </w:p>
        </w:tc>
      </w:tr>
      <w:tr>
        <w:trPr>
          <w:trHeight w:val="244"/>
        </w:trPr>
        <w:tc>
          <w:tcPr>
            <w:tcW w:w="9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Ben Snodgrass</w:t>
            </w:r>
          </w:p>
        </w:tc>
      </w:tr>
      <w:tr>
        <w:trPr>
          <w:trHeight w:val="258"/>
        </w:trPr>
        <w:tc>
          <w:tcPr>
            <w:tcW w:w="9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[Signature Page to Amendment No. 4 to Credit Agreement]</w:t>
      </w:r>
    </w:p>
    <w:p>
      <w:pPr>
        <w:sectPr>
          <w:pgSz w:w="11900" w:h="16838" w:orient="portrait"/>
          <w:cols w:equalWidth="0" w:num="1">
            <w:col w:w="9280"/>
          </w:cols>
          <w:pgMar w:left="1440" w:top="1440" w:right="1179" w:bottom="1440" w:gutter="0" w:footer="0" w:header="0"/>
        </w:sectPr>
      </w:pPr>
    </w:p>
    <w:bookmarkStart w:id="87" w:name="page88"/>
    <w:bookmarkEnd w:id="87"/>
    <w:p>
      <w:pPr>
        <w:spacing w:after="0" w:line="25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JEFFERIES FINANCE LLC,</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as a 2025 Refinancing Revolving Lender and an L/C Issuer</w:t>
      </w:r>
    </w:p>
    <w:p>
      <w:pPr>
        <w:spacing w:after="0" w:line="295" w:lineRule="exact"/>
        <w:rPr>
          <w:sz w:val="20"/>
          <w:szCs w:val="20"/>
          <w:color w:val="auto"/>
        </w:rPr>
      </w:pPr>
    </w:p>
    <w:tbl>
      <w:tblPr>
        <w:tblLayout w:type="fixed"/>
        <w:tblInd w:w="3740" w:type="dxa"/>
        <w:tblCellMar>
          <w:top w:w="0" w:type="dxa"/>
          <w:left w:w="0" w:type="dxa"/>
          <w:bottom w:w="0" w:type="dxa"/>
          <w:right w:w="0" w:type="dxa"/>
        </w:tblCellMar>
      </w:tblPr>
      <w:tr>
        <w:trPr>
          <w:trHeight w:val="262"/>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Koehler</w:t>
            </w:r>
          </w:p>
        </w:tc>
      </w:tr>
      <w:tr>
        <w:trPr>
          <w:trHeight w:val="244"/>
        </w:trPr>
        <w:tc>
          <w:tcPr>
            <w:tcW w:w="94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John Koehler</w:t>
            </w:r>
          </w:p>
        </w:tc>
      </w:tr>
      <w:tr>
        <w:trPr>
          <w:trHeight w:val="258"/>
        </w:trPr>
        <w:tc>
          <w:tcPr>
            <w:tcW w:w="94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[Signature Page to Amendment No. 4 to Credit Agreement]</w:t>
      </w:r>
    </w:p>
    <w:p>
      <w:pPr>
        <w:sectPr>
          <w:pgSz w:w="11900" w:h="16838" w:orient="portrait"/>
          <w:cols w:equalWidth="0" w:num="1">
            <w:col w:w="9280"/>
          </w:cols>
          <w:pgMar w:left="1440" w:top="1440" w:right="1179" w:bottom="1440" w:gutter="0" w:footer="0" w:header="0"/>
        </w:sectPr>
      </w:pPr>
    </w:p>
    <w:bookmarkStart w:id="88" w:name="page89"/>
    <w:bookmarkEnd w:id="88"/>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Amendments to Existing Credit Agreement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40"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A</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As amended by Amendment No. 1 dated as of February 23, 2021</w:t>
      </w:r>
    </w:p>
    <w:p>
      <w:pPr>
        <w:jc w:val="right"/>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Amendment No. 2 dated as of February 26, 2021 Amendment No. 3 dated as of March 2, 2023</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u w:val="single" w:color="auto"/>
          <w:color w:val="0000FF"/>
        </w:rPr>
        <w:t>Amendment No. 4 dated as of May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by and among</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0000FF"/>
        </w:rPr>
        <w:t>ARRAY TECH, INC. (f/k/a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000000"/>
        </w:rPr>
        <w:t>ARRAY TECHNOLOGIES, INC.</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color w:val="000000"/>
        </w:rPr>
        <w:t>,</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Borrower,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ATI INVESTMENT SUB,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Holdings,</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GOLDMAN SACHS BANK USA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LENDERS PARTY HERETO FROM TIME TO TIME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GOLDMAN SACHS BANK USA</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BARCLAYS BANK PLC,</w:t>
      </w:r>
    </w:p>
    <w:p>
      <w:pPr>
        <w:ind w:left="2540"/>
        <w:spacing w:after="0" w:line="230" w:lineRule="auto"/>
        <w:rPr>
          <w:sz w:val="20"/>
          <w:szCs w:val="20"/>
          <w:color w:val="auto"/>
        </w:rPr>
      </w:pPr>
      <w:r>
        <w:rPr>
          <w:rFonts w:ascii="Times New Roman" w:cs="Times New Roman" w:eastAsia="Times New Roman" w:hAnsi="Times New Roman"/>
          <w:sz w:val="22"/>
          <w:szCs w:val="22"/>
          <w:b w:val="1"/>
          <w:bCs w:val="1"/>
          <w:color w:val="auto"/>
        </w:rPr>
        <w:t>CREDIT SUISSE LOAN FUNDING LLC,</w:t>
      </w:r>
    </w:p>
    <w:p>
      <w:pPr>
        <w:ind w:left="2760"/>
        <w:spacing w:after="0" w:line="231" w:lineRule="auto"/>
        <w:rPr>
          <w:sz w:val="20"/>
          <w:szCs w:val="20"/>
          <w:color w:val="auto"/>
        </w:rPr>
      </w:pPr>
      <w:r>
        <w:rPr>
          <w:rFonts w:ascii="Times New Roman" w:cs="Times New Roman" w:eastAsia="Times New Roman" w:hAnsi="Times New Roman"/>
          <w:sz w:val="22"/>
          <w:szCs w:val="22"/>
          <w:b w:val="1"/>
          <w:bCs w:val="1"/>
          <w:color w:val="auto"/>
        </w:rPr>
        <w:t>GUGGENHEIM SECURITIES, LLC</w:t>
      </w:r>
    </w:p>
    <w:p>
      <w:pPr>
        <w:ind w:left="3180"/>
        <w:spacing w:after="0" w:line="230" w:lineRule="auto"/>
        <w:rPr>
          <w:sz w:val="20"/>
          <w:szCs w:val="20"/>
          <w:color w:val="auto"/>
        </w:rPr>
      </w:pPr>
      <w:r>
        <w:rPr>
          <w:rFonts w:ascii="Times New Roman" w:cs="Times New Roman" w:eastAsia="Times New Roman" w:hAnsi="Times New Roman"/>
          <w:sz w:val="22"/>
          <w:szCs w:val="22"/>
          <w:b w:val="1"/>
          <w:bCs w:val="1"/>
          <w:color w:val="auto"/>
        </w:rPr>
        <w:t>MUFG UNION BANK, N.A.</w:t>
      </w:r>
    </w:p>
    <w:p>
      <w:pPr>
        <w:ind w:left="2100"/>
        <w:spacing w:after="0" w:line="231" w:lineRule="auto"/>
        <w:rPr>
          <w:sz w:val="20"/>
          <w:szCs w:val="20"/>
          <w:color w:val="auto"/>
        </w:rPr>
      </w:pPr>
      <w:r>
        <w:rPr>
          <w:rFonts w:ascii="Times New Roman" w:cs="Times New Roman" w:eastAsia="Times New Roman" w:hAnsi="Times New Roman"/>
          <w:sz w:val="22"/>
          <w:szCs w:val="22"/>
          <w:b w:val="1"/>
          <w:bCs w:val="1"/>
          <w:color w:val="auto"/>
        </w:rPr>
        <w:t>NOMURA SECURITIES INTERNATIONAL, INC.</w:t>
      </w:r>
    </w:p>
    <w:p>
      <w:pPr>
        <w:ind w:left="4340"/>
        <w:spacing w:after="0" w:line="217" w:lineRule="auto"/>
        <w:rPr>
          <w:sz w:val="20"/>
          <w:szCs w:val="20"/>
          <w:color w:val="auto"/>
        </w:rPr>
      </w:pPr>
      <w:r>
        <w:rPr>
          <w:rFonts w:ascii="Times New Roman" w:cs="Times New Roman" w:eastAsia="Times New Roman" w:hAnsi="Times New Roman"/>
          <w:sz w:val="22"/>
          <w:szCs w:val="22"/>
          <w:color w:val="auto"/>
        </w:rPr>
        <w:t>and</w:t>
      </w:r>
    </w:p>
    <w:p>
      <w:pPr>
        <w:jc w:val="center"/>
        <w:ind w:right="1120"/>
        <w:spacing w:after="0" w:line="231" w:lineRule="auto"/>
        <w:rPr>
          <w:sz w:val="20"/>
          <w:szCs w:val="20"/>
          <w:color w:val="auto"/>
        </w:rPr>
      </w:pPr>
      <w:r>
        <w:rPr>
          <w:rFonts w:ascii="Times New Roman" w:cs="Times New Roman" w:eastAsia="Times New Roman" w:hAnsi="Times New Roman"/>
          <w:sz w:val="22"/>
          <w:szCs w:val="22"/>
          <w:b w:val="1"/>
          <w:bCs w:val="1"/>
          <w:color w:val="auto"/>
        </w:rPr>
        <w:t>UBS SECURITIES LLC</w:t>
      </w:r>
    </w:p>
    <w:p>
      <w:pPr>
        <w:jc w:val="center"/>
        <w:ind w:right="1120"/>
        <w:spacing w:after="0"/>
        <w:rPr>
          <w:sz w:val="20"/>
          <w:szCs w:val="20"/>
          <w:color w:val="auto"/>
        </w:rPr>
      </w:pPr>
      <w:r>
        <w:rPr>
          <w:rFonts w:ascii="Times New Roman" w:cs="Times New Roman" w:eastAsia="Times New Roman" w:hAnsi="Times New Roman"/>
          <w:sz w:val="22"/>
          <w:szCs w:val="22"/>
          <w:color w:val="auto"/>
        </w:rPr>
        <w:t>as Lead Arranger and Bookrunner</w:t>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Dated as of October 14, 2020</w:t>
      </w:r>
    </w:p>
    <w:p>
      <w:pPr>
        <w:sectPr>
          <w:pgSz w:w="11900" w:h="16838" w:orient="portrait"/>
          <w:cols w:equalWidth="0" w:num="1">
            <w:col w:w="10120"/>
          </w:cols>
          <w:pgMar w:left="1440" w:top="108"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600" w:type="dxa"/>
            <w:vAlign w:val="bottom"/>
            <w:gridSpan w:val="2"/>
          </w:tcPr>
          <w:p>
            <w:pPr>
              <w:jc w:val="center"/>
              <w:ind w:right="220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16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36"/>
        </w:trPr>
        <w:tc>
          <w:tcPr>
            <w:tcW w:w="18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0" w:type="dxa"/>
            <w:vAlign w:val="bottom"/>
            <w:gridSpan w:val="2"/>
          </w:tcPr>
          <w:p>
            <w:pPr>
              <w:jc w:val="center"/>
              <w:ind w:right="2180"/>
              <w:spacing w:after="0"/>
              <w:rPr>
                <w:sz w:val="20"/>
                <w:szCs w:val="20"/>
                <w:color w:val="auto"/>
              </w:rPr>
            </w:pPr>
            <w:r>
              <w:rPr>
                <w:rFonts w:ascii="Times New Roman" w:cs="Times New Roman" w:eastAsia="Times New Roman" w:hAnsi="Times New Roman"/>
                <w:sz w:val="20"/>
                <w:szCs w:val="20"/>
                <w:color w:val="auto"/>
                <w:w w:val="97"/>
              </w:rPr>
              <w:t>ARTICLE I</w:t>
            </w:r>
          </w:p>
        </w:tc>
        <w:tc>
          <w:tcPr>
            <w:tcW w:w="1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820" w:type="dxa"/>
            <w:vAlign w:val="bottom"/>
          </w:tcPr>
          <w:p>
            <w:pPr>
              <w:spacing w:after="0"/>
              <w:rPr>
                <w:sz w:val="24"/>
                <w:szCs w:val="24"/>
                <w:color w:val="auto"/>
              </w:rPr>
            </w:pPr>
          </w:p>
        </w:tc>
        <w:tc>
          <w:tcPr>
            <w:tcW w:w="7500" w:type="dxa"/>
            <w:vAlign w:val="bottom"/>
            <w:gridSpan w:val="3"/>
          </w:tcPr>
          <w:p>
            <w:pPr>
              <w:jc w:val="center"/>
              <w:ind w:left="1621"/>
              <w:spacing w:after="0"/>
              <w:rPr>
                <w:sz w:val="20"/>
                <w:szCs w:val="20"/>
                <w:color w:val="auto"/>
              </w:rPr>
            </w:pPr>
            <w:r>
              <w:rPr>
                <w:rFonts w:ascii="Times New Roman" w:cs="Times New Roman" w:eastAsia="Times New Roman" w:hAnsi="Times New Roman"/>
                <w:sz w:val="20"/>
                <w:szCs w:val="20"/>
                <w:color w:val="auto"/>
                <w:w w:val="98"/>
              </w:rPr>
              <w:t>Definitions and Accounting Terms</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Defined Terms</w:t>
            </w:r>
          </w:p>
        </w:tc>
        <w:tc>
          <w:tcPr>
            <w:tcW w:w="1640" w:type="dxa"/>
            <w:vAlign w:val="bottom"/>
            <w:gridSpan w:val="2"/>
          </w:tcPr>
          <w:p>
            <w:pPr>
              <w:jc w:val="center"/>
              <w:ind w:left="116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88</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Accounting Terms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88</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Rounding</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89</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1.05</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References to Agreements, Laws, Etc.</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89</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Times of Day</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89</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1.07</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Timing of Payment or Performance</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89</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Currency Equivalents Generally</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89</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Certain Calculations and Tests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90</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1.10</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Interest Rates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92</w:t>
            </w:r>
          </w:p>
        </w:tc>
        <w:tc>
          <w:tcPr>
            <w:tcW w:w="0" w:type="dxa"/>
            <w:vAlign w:val="bottom"/>
          </w:tcPr>
          <w:p>
            <w:pPr>
              <w:spacing w:after="0"/>
              <w:rPr>
                <w:sz w:val="1"/>
                <w:szCs w:val="1"/>
                <w:color w:val="auto"/>
              </w:rPr>
            </w:pP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1.11</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Divisions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93</w:t>
            </w:r>
          </w:p>
        </w:tc>
        <w:tc>
          <w:tcPr>
            <w:tcW w:w="0" w:type="dxa"/>
            <w:vAlign w:val="bottom"/>
          </w:tcPr>
          <w:p>
            <w:pPr>
              <w:spacing w:after="0"/>
              <w:rPr>
                <w:sz w:val="1"/>
                <w:szCs w:val="1"/>
                <w:color w:val="auto"/>
              </w:rPr>
            </w:pPr>
          </w:p>
        </w:tc>
      </w:tr>
      <w:tr>
        <w:trPr>
          <w:trHeight w:val="567"/>
        </w:trPr>
        <w:tc>
          <w:tcPr>
            <w:tcW w:w="1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0" w:type="dxa"/>
            <w:vAlign w:val="bottom"/>
            <w:gridSpan w:val="2"/>
          </w:tcPr>
          <w:p>
            <w:pPr>
              <w:jc w:val="center"/>
              <w:ind w:right="2200"/>
              <w:spacing w:after="0"/>
              <w:rPr>
                <w:sz w:val="20"/>
                <w:szCs w:val="20"/>
                <w:color w:val="auto"/>
              </w:rPr>
            </w:pPr>
            <w:r>
              <w:rPr>
                <w:rFonts w:ascii="Times New Roman" w:cs="Times New Roman" w:eastAsia="Times New Roman" w:hAnsi="Times New Roman"/>
                <w:sz w:val="20"/>
                <w:szCs w:val="20"/>
                <w:color w:val="auto"/>
                <w:w w:val="97"/>
              </w:rPr>
              <w:t>ARTICLE II</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820" w:type="dxa"/>
            <w:vAlign w:val="bottom"/>
          </w:tcPr>
          <w:p>
            <w:pPr>
              <w:spacing w:after="0"/>
              <w:rPr>
                <w:sz w:val="24"/>
                <w:szCs w:val="24"/>
                <w:color w:val="auto"/>
              </w:rPr>
            </w:pPr>
          </w:p>
        </w:tc>
        <w:tc>
          <w:tcPr>
            <w:tcW w:w="7500" w:type="dxa"/>
            <w:vAlign w:val="bottom"/>
            <w:gridSpan w:val="3"/>
          </w:tcPr>
          <w:p>
            <w:pPr>
              <w:jc w:val="center"/>
              <w:ind w:left="1601"/>
              <w:spacing w:after="0"/>
              <w:rPr>
                <w:sz w:val="20"/>
                <w:szCs w:val="20"/>
                <w:color w:val="auto"/>
              </w:rPr>
            </w:pPr>
            <w:r>
              <w:rPr>
                <w:rFonts w:ascii="Times New Roman" w:cs="Times New Roman" w:eastAsia="Times New Roman" w:hAnsi="Times New Roman"/>
                <w:sz w:val="20"/>
                <w:szCs w:val="20"/>
                <w:color w:val="auto"/>
                <w:w w:val="99"/>
              </w:rPr>
              <w:t>The Commitments and Credit Extensions</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The Loans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93</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93</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Letters of Credit</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9"/>
              </w:rPr>
              <w:t>95</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2.04</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[Reserved].</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102</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Prepayments.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102</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2.06</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108</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Repayment of Loans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109</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Interest</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109</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Fees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109</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110</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Evidence of Indebtedness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110</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Payments Generally</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111</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Sharing of Payments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112</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Incremental Credit Extensions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113</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Extensions of Term Loans and Revolving Credit Commitments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117</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Defaulting Lenders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119</w:t>
            </w:r>
          </w:p>
        </w:tc>
        <w:tc>
          <w:tcPr>
            <w:tcW w:w="0" w:type="dxa"/>
            <w:vAlign w:val="bottom"/>
          </w:tcPr>
          <w:p>
            <w:pPr>
              <w:spacing w:after="0"/>
              <w:rPr>
                <w:sz w:val="1"/>
                <w:szCs w:val="1"/>
                <w:color w:val="auto"/>
              </w:rPr>
            </w:pP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750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Permitted Debt Exchanges</w:t>
            </w:r>
          </w:p>
        </w:tc>
        <w:tc>
          <w:tcPr>
            <w:tcW w:w="1640" w:type="dxa"/>
            <w:vAlign w:val="bottom"/>
            <w:gridSpan w:val="2"/>
          </w:tcPr>
          <w:p>
            <w:pPr>
              <w:jc w:val="center"/>
              <w:ind w:left="1141"/>
              <w:spacing w:after="0"/>
              <w:rPr>
                <w:sz w:val="20"/>
                <w:szCs w:val="20"/>
                <w:color w:val="auto"/>
              </w:rPr>
            </w:pPr>
            <w:r>
              <w:rPr>
                <w:rFonts w:ascii="Times New Roman" w:cs="Times New Roman" w:eastAsia="Times New Roman" w:hAnsi="Times New Roman"/>
                <w:sz w:val="20"/>
                <w:szCs w:val="20"/>
                <w:color w:val="auto"/>
                <w:w w:val="93"/>
              </w:rPr>
              <w:t>120</w:t>
            </w:r>
          </w:p>
        </w:tc>
        <w:tc>
          <w:tcPr>
            <w:tcW w:w="0" w:type="dxa"/>
            <w:vAlign w:val="bottom"/>
          </w:tcPr>
          <w:p>
            <w:pPr>
              <w:spacing w:after="0"/>
              <w:rPr>
                <w:sz w:val="1"/>
                <w:szCs w:val="1"/>
                <w:color w:val="auto"/>
              </w:rPr>
            </w:pPr>
          </w:p>
        </w:tc>
      </w:tr>
    </w:tbl>
    <w:p>
      <w:pPr>
        <w:sectPr>
          <w:pgSz w:w="11900" w:h="16838" w:orient="portrait"/>
          <w:cols w:equalWidth="0" w:num="1">
            <w:col w:w="10960"/>
          </w:cols>
          <w:pgMar w:left="360" w:top="1111" w:right="57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2.18</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Refinancing Facilities.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567"/>
        </w:trPr>
        <w:tc>
          <w:tcPr>
            <w:tcW w:w="1820" w:type="dxa"/>
            <w:vAlign w:val="bottom"/>
          </w:tcPr>
          <w:p>
            <w:pPr>
              <w:spacing w:after="0"/>
              <w:rPr>
                <w:sz w:val="24"/>
                <w:szCs w:val="24"/>
                <w:color w:val="auto"/>
              </w:rPr>
            </w:pPr>
          </w:p>
        </w:tc>
        <w:tc>
          <w:tcPr>
            <w:tcW w:w="8060" w:type="dxa"/>
            <w:vAlign w:val="bottom"/>
          </w:tcPr>
          <w:p>
            <w:pPr>
              <w:jc w:val="center"/>
              <w:ind w:left="1041"/>
              <w:spacing w:after="0"/>
              <w:rPr>
                <w:sz w:val="20"/>
                <w:szCs w:val="20"/>
                <w:color w:val="auto"/>
              </w:rPr>
            </w:pPr>
            <w:r>
              <w:rPr>
                <w:rFonts w:ascii="Times New Roman" w:cs="Times New Roman" w:eastAsia="Times New Roman" w:hAnsi="Times New Roman"/>
                <w:sz w:val="20"/>
                <w:szCs w:val="20"/>
                <w:color w:val="auto"/>
                <w:w w:val="98"/>
              </w:rPr>
              <w:t>ARTICLE III</w:t>
            </w:r>
          </w:p>
        </w:tc>
        <w:tc>
          <w:tcPr>
            <w:tcW w:w="1020" w:type="dxa"/>
            <w:vAlign w:val="bottom"/>
          </w:tcPr>
          <w:p>
            <w:pPr>
              <w:spacing w:after="0"/>
              <w:rPr>
                <w:sz w:val="24"/>
                <w:szCs w:val="24"/>
                <w:color w:val="auto"/>
              </w:rPr>
            </w:pPr>
          </w:p>
        </w:tc>
      </w:tr>
      <w:tr>
        <w:trPr>
          <w:trHeight w:val="567"/>
        </w:trPr>
        <w:tc>
          <w:tcPr>
            <w:tcW w:w="1820" w:type="dxa"/>
            <w:vAlign w:val="bottom"/>
          </w:tcPr>
          <w:p>
            <w:pPr>
              <w:spacing w:after="0"/>
              <w:rPr>
                <w:sz w:val="24"/>
                <w:szCs w:val="24"/>
                <w:color w:val="auto"/>
              </w:rPr>
            </w:pPr>
          </w:p>
        </w:tc>
        <w:tc>
          <w:tcPr>
            <w:tcW w:w="8060" w:type="dxa"/>
            <w:vAlign w:val="bottom"/>
          </w:tcPr>
          <w:p>
            <w:pPr>
              <w:jc w:val="center"/>
              <w:ind w:left="1041"/>
              <w:spacing w:after="0"/>
              <w:rPr>
                <w:sz w:val="20"/>
                <w:szCs w:val="20"/>
                <w:color w:val="auto"/>
              </w:rPr>
            </w:pPr>
            <w:r>
              <w:rPr>
                <w:rFonts w:ascii="Times New Roman" w:cs="Times New Roman" w:eastAsia="Times New Roman" w:hAnsi="Times New Roman"/>
                <w:sz w:val="20"/>
                <w:szCs w:val="20"/>
                <w:color w:val="auto"/>
                <w:w w:val="98"/>
              </w:rPr>
              <w:t>Taxes, Increased Costs Protection and Illegality</w:t>
            </w:r>
          </w:p>
        </w:tc>
        <w:tc>
          <w:tcPr>
            <w:tcW w:w="1020" w:type="dxa"/>
            <w:vAlign w:val="bottom"/>
          </w:tcPr>
          <w:p>
            <w:pPr>
              <w:spacing w:after="0"/>
              <w:rPr>
                <w:sz w:val="24"/>
                <w:szCs w:val="24"/>
                <w:color w:val="auto"/>
              </w:rPr>
            </w:pPr>
          </w:p>
        </w:tc>
      </w:tr>
      <w:tr>
        <w:trPr>
          <w:trHeight w:val="56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3.02</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Increased Cost and Reduced Return; Capital Adequacy; Reserves on SOFR Loans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3.04</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Funding Losses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Matters Applicable to All Requests for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Replacement of Lenders under Certain Circumstances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3.07</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Survival</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567"/>
        </w:trPr>
        <w:tc>
          <w:tcPr>
            <w:tcW w:w="1820" w:type="dxa"/>
            <w:vAlign w:val="bottom"/>
          </w:tcPr>
          <w:p>
            <w:pPr>
              <w:spacing w:after="0"/>
              <w:rPr>
                <w:sz w:val="24"/>
                <w:szCs w:val="24"/>
                <w:color w:val="auto"/>
              </w:rPr>
            </w:pPr>
          </w:p>
        </w:tc>
        <w:tc>
          <w:tcPr>
            <w:tcW w:w="8060" w:type="dxa"/>
            <w:vAlign w:val="bottom"/>
          </w:tcPr>
          <w:p>
            <w:pPr>
              <w:jc w:val="center"/>
              <w:ind w:left="1041"/>
              <w:spacing w:after="0"/>
              <w:rPr>
                <w:sz w:val="20"/>
                <w:szCs w:val="20"/>
                <w:color w:val="auto"/>
              </w:rPr>
            </w:pPr>
            <w:r>
              <w:rPr>
                <w:rFonts w:ascii="Times New Roman" w:cs="Times New Roman" w:eastAsia="Times New Roman" w:hAnsi="Times New Roman"/>
                <w:sz w:val="20"/>
                <w:szCs w:val="20"/>
                <w:color w:val="auto"/>
                <w:w w:val="97"/>
              </w:rPr>
              <w:t>ARTICLE IV</w:t>
            </w:r>
          </w:p>
        </w:tc>
        <w:tc>
          <w:tcPr>
            <w:tcW w:w="1020" w:type="dxa"/>
            <w:vAlign w:val="bottom"/>
          </w:tcPr>
          <w:p>
            <w:pPr>
              <w:spacing w:after="0"/>
              <w:rPr>
                <w:sz w:val="24"/>
                <w:szCs w:val="24"/>
                <w:color w:val="auto"/>
              </w:rPr>
            </w:pPr>
          </w:p>
        </w:tc>
      </w:tr>
      <w:tr>
        <w:trPr>
          <w:trHeight w:val="567"/>
        </w:trPr>
        <w:tc>
          <w:tcPr>
            <w:tcW w:w="1820" w:type="dxa"/>
            <w:vAlign w:val="bottom"/>
          </w:tcPr>
          <w:p>
            <w:pPr>
              <w:spacing w:after="0"/>
              <w:rPr>
                <w:sz w:val="24"/>
                <w:szCs w:val="24"/>
                <w:color w:val="auto"/>
              </w:rPr>
            </w:pPr>
          </w:p>
        </w:tc>
        <w:tc>
          <w:tcPr>
            <w:tcW w:w="8060" w:type="dxa"/>
            <w:vAlign w:val="bottom"/>
          </w:tcPr>
          <w:p>
            <w:pPr>
              <w:jc w:val="center"/>
              <w:ind w:left="1041"/>
              <w:spacing w:after="0"/>
              <w:rPr>
                <w:sz w:val="20"/>
                <w:szCs w:val="20"/>
                <w:color w:val="auto"/>
              </w:rPr>
            </w:pPr>
            <w:r>
              <w:rPr>
                <w:rFonts w:ascii="Times New Roman" w:cs="Times New Roman" w:eastAsia="Times New Roman" w:hAnsi="Times New Roman"/>
                <w:sz w:val="20"/>
                <w:szCs w:val="20"/>
                <w:color w:val="auto"/>
                <w:w w:val="98"/>
              </w:rPr>
              <w:t>Conditions Precedent to Credit Extensions</w:t>
            </w:r>
          </w:p>
        </w:tc>
        <w:tc>
          <w:tcPr>
            <w:tcW w:w="1020" w:type="dxa"/>
            <w:vAlign w:val="bottom"/>
          </w:tcPr>
          <w:p>
            <w:pPr>
              <w:spacing w:after="0"/>
              <w:rPr>
                <w:sz w:val="24"/>
                <w:szCs w:val="24"/>
                <w:color w:val="auto"/>
              </w:rPr>
            </w:pPr>
          </w:p>
        </w:tc>
      </w:tr>
      <w:tr>
        <w:trPr>
          <w:trHeight w:val="56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Closing Date Conditions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Conditions to Subsequent Credit Extensions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567"/>
        </w:trPr>
        <w:tc>
          <w:tcPr>
            <w:tcW w:w="1820" w:type="dxa"/>
            <w:vAlign w:val="bottom"/>
          </w:tcPr>
          <w:p>
            <w:pPr>
              <w:spacing w:after="0"/>
              <w:rPr>
                <w:sz w:val="24"/>
                <w:szCs w:val="24"/>
                <w:color w:val="auto"/>
              </w:rPr>
            </w:pPr>
          </w:p>
        </w:tc>
        <w:tc>
          <w:tcPr>
            <w:tcW w:w="8060" w:type="dxa"/>
            <w:vAlign w:val="bottom"/>
          </w:tcPr>
          <w:p>
            <w:pPr>
              <w:jc w:val="center"/>
              <w:ind w:left="1041"/>
              <w:spacing w:after="0"/>
              <w:rPr>
                <w:sz w:val="20"/>
                <w:szCs w:val="20"/>
                <w:color w:val="auto"/>
              </w:rPr>
            </w:pPr>
            <w:r>
              <w:rPr>
                <w:rFonts w:ascii="Times New Roman" w:cs="Times New Roman" w:eastAsia="Times New Roman" w:hAnsi="Times New Roman"/>
                <w:sz w:val="20"/>
                <w:szCs w:val="20"/>
                <w:color w:val="auto"/>
                <w:w w:val="96"/>
              </w:rPr>
              <w:t>ARTICLE V</w:t>
            </w:r>
          </w:p>
        </w:tc>
        <w:tc>
          <w:tcPr>
            <w:tcW w:w="1020" w:type="dxa"/>
            <w:vAlign w:val="bottom"/>
          </w:tcPr>
          <w:p>
            <w:pPr>
              <w:spacing w:after="0"/>
              <w:rPr>
                <w:sz w:val="24"/>
                <w:szCs w:val="24"/>
                <w:color w:val="auto"/>
              </w:rPr>
            </w:pPr>
          </w:p>
        </w:tc>
      </w:tr>
      <w:tr>
        <w:trPr>
          <w:trHeight w:val="567"/>
        </w:trPr>
        <w:tc>
          <w:tcPr>
            <w:tcW w:w="1820" w:type="dxa"/>
            <w:vAlign w:val="bottom"/>
          </w:tcPr>
          <w:p>
            <w:pPr>
              <w:spacing w:after="0"/>
              <w:rPr>
                <w:sz w:val="24"/>
                <w:szCs w:val="24"/>
                <w:color w:val="auto"/>
              </w:rPr>
            </w:pPr>
          </w:p>
        </w:tc>
        <w:tc>
          <w:tcPr>
            <w:tcW w:w="8060" w:type="dxa"/>
            <w:vAlign w:val="bottom"/>
          </w:tcPr>
          <w:p>
            <w:pPr>
              <w:jc w:val="center"/>
              <w:ind w:left="1061"/>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1020" w:type="dxa"/>
            <w:vAlign w:val="bottom"/>
          </w:tcPr>
          <w:p>
            <w:pPr>
              <w:spacing w:after="0"/>
              <w:rPr>
                <w:sz w:val="24"/>
                <w:szCs w:val="24"/>
                <w:color w:val="auto"/>
              </w:rPr>
            </w:pPr>
          </w:p>
        </w:tc>
      </w:tr>
      <w:tr>
        <w:trPr>
          <w:trHeight w:val="56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Existence, Qualification and Power; Compliance with Laws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5.04</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Binding Effect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5.06</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Litigation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Environmental Compliance</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Compliance with ERISA</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5.11</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Subsidiaries; Capital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5.13</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Disclosure</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5.14</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5.15</w:t>
            </w:r>
          </w:p>
        </w:tc>
        <w:tc>
          <w:tcPr>
            <w:tcW w:w="806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Solvency</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0900"/>
          </w:cols>
          <w:pgMar w:left="360" w:top="1129" w:right="6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5.16</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Collateral Documents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5.17</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5.18</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Sanctions and Anti-Corruption Laws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5.19</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Labor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5.20</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Compliance with Law</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567"/>
        </w:trPr>
        <w:tc>
          <w:tcPr>
            <w:tcW w:w="1820" w:type="dxa"/>
            <w:vAlign w:val="bottom"/>
          </w:tcPr>
          <w:p>
            <w:pPr>
              <w:spacing w:after="0"/>
              <w:rPr>
                <w:sz w:val="24"/>
                <w:szCs w:val="24"/>
                <w:color w:val="auto"/>
              </w:rPr>
            </w:pPr>
          </w:p>
        </w:tc>
        <w:tc>
          <w:tcPr>
            <w:tcW w:w="854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7"/>
              </w:rPr>
              <w:t>ARTICLE VI</w:t>
            </w:r>
          </w:p>
        </w:tc>
        <w:tc>
          <w:tcPr>
            <w:tcW w:w="540" w:type="dxa"/>
            <w:vAlign w:val="bottom"/>
          </w:tcPr>
          <w:p>
            <w:pPr>
              <w:spacing w:after="0"/>
              <w:rPr>
                <w:sz w:val="24"/>
                <w:szCs w:val="24"/>
                <w:color w:val="auto"/>
              </w:rPr>
            </w:pPr>
          </w:p>
        </w:tc>
      </w:tr>
      <w:tr>
        <w:trPr>
          <w:trHeight w:val="567"/>
        </w:trPr>
        <w:tc>
          <w:tcPr>
            <w:tcW w:w="1820" w:type="dxa"/>
            <w:vAlign w:val="bottom"/>
          </w:tcPr>
          <w:p>
            <w:pPr>
              <w:spacing w:after="0"/>
              <w:rPr>
                <w:sz w:val="24"/>
                <w:szCs w:val="24"/>
                <w:color w:val="auto"/>
              </w:rPr>
            </w:pPr>
          </w:p>
        </w:tc>
        <w:tc>
          <w:tcPr>
            <w:tcW w:w="854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7"/>
              </w:rPr>
              <w:t>Affirmative Covenants</w:t>
            </w:r>
          </w:p>
        </w:tc>
        <w:tc>
          <w:tcPr>
            <w:tcW w:w="540" w:type="dxa"/>
            <w:vAlign w:val="bottom"/>
          </w:tcPr>
          <w:p>
            <w:pPr>
              <w:spacing w:after="0"/>
              <w:rPr>
                <w:sz w:val="24"/>
                <w:szCs w:val="24"/>
                <w:color w:val="auto"/>
              </w:rPr>
            </w:pPr>
          </w:p>
        </w:tc>
      </w:tr>
      <w:tr>
        <w:trPr>
          <w:trHeight w:val="56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Notices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Maintenance of Existence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Maintenance of Insurance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Compliance with Laws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6.08</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Books and Records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Inspection Rights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Covenant to Guarantee Secured Obligations and Give Security</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Further Assurances and Post-Closing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6.13</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Designation of Restricted and Unrestricted Subsidiaries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6.14</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Payment of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6.15</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Lender Calls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6.16</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Maintenance of Ratings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6.17</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Anti-Terrorism; Sanctions; Anti-Corruption.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527"/>
        </w:trPr>
        <w:tc>
          <w:tcPr>
            <w:tcW w:w="1820" w:type="dxa"/>
            <w:vAlign w:val="bottom"/>
          </w:tcPr>
          <w:p>
            <w:pPr>
              <w:spacing w:after="0"/>
              <w:rPr>
                <w:sz w:val="24"/>
                <w:szCs w:val="24"/>
                <w:color w:val="auto"/>
              </w:rPr>
            </w:pPr>
          </w:p>
        </w:tc>
        <w:tc>
          <w:tcPr>
            <w:tcW w:w="854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8"/>
              </w:rPr>
              <w:t>ARTICLE VII</w:t>
            </w:r>
          </w:p>
        </w:tc>
        <w:tc>
          <w:tcPr>
            <w:tcW w:w="540" w:type="dxa"/>
            <w:vAlign w:val="bottom"/>
          </w:tcPr>
          <w:p>
            <w:pPr>
              <w:spacing w:after="0"/>
              <w:rPr>
                <w:sz w:val="24"/>
                <w:szCs w:val="24"/>
                <w:color w:val="auto"/>
              </w:rPr>
            </w:pPr>
          </w:p>
        </w:tc>
      </w:tr>
      <w:tr>
        <w:trPr>
          <w:trHeight w:val="526"/>
        </w:trPr>
        <w:tc>
          <w:tcPr>
            <w:tcW w:w="1820" w:type="dxa"/>
            <w:vAlign w:val="bottom"/>
          </w:tcPr>
          <w:p>
            <w:pPr>
              <w:spacing w:after="0"/>
              <w:rPr>
                <w:sz w:val="24"/>
                <w:szCs w:val="24"/>
                <w:color w:val="auto"/>
              </w:rPr>
            </w:pPr>
          </w:p>
        </w:tc>
        <w:tc>
          <w:tcPr>
            <w:tcW w:w="8540" w:type="dxa"/>
            <w:vAlign w:val="bottom"/>
          </w:tcPr>
          <w:p>
            <w:pPr>
              <w:jc w:val="center"/>
              <w:ind w:left="561"/>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540" w:type="dxa"/>
            <w:vAlign w:val="bottom"/>
          </w:tcPr>
          <w:p>
            <w:pPr>
              <w:spacing w:after="0"/>
              <w:rPr>
                <w:sz w:val="24"/>
                <w:szCs w:val="24"/>
                <w:color w:val="auto"/>
              </w:rPr>
            </w:pPr>
          </w:p>
        </w:tc>
      </w:tr>
      <w:tr>
        <w:trPr>
          <w:trHeight w:val="52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7.01</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Liens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7.02</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7.03</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Indebtedness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7.04</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Merger and Consolidation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56"/>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7.05</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Limitation on Sales of Assets and Subsidiary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7.06</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Restricted Payments &amp; Modification of Subordinated Indebtedness Documents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7.07</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Affiliate Transactions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Section 7.08</w:t>
            </w:r>
          </w:p>
        </w:tc>
        <w:tc>
          <w:tcPr>
            <w:tcW w:w="854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Limitation on Restrictions on Distributions from Restricted Subsidiaries and Negative Pledges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-vii-</w:t>
      </w:r>
    </w:p>
    <w:p>
      <w:pPr>
        <w:sectPr>
          <w:pgSz w:w="11900" w:h="16838" w:orient="portrait"/>
          <w:cols w:equalWidth="0" w:num="1">
            <w:col w:w="10900"/>
          </w:cols>
          <w:pgMar w:left="360" w:top="1129" w:right="6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7.09</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Financial Covenant</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178</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7.10</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Permitted Activities of Holdings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178</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7.11</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Nature of Business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180</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7.12</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Amendments of Material Documents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180</w:t>
            </w: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7.13</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Changes in Fiscal Year</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180</w:t>
            </w:r>
          </w:p>
        </w:tc>
      </w:tr>
      <w:tr>
        <w:trPr>
          <w:trHeight w:val="526"/>
        </w:trPr>
        <w:tc>
          <w:tcPr>
            <w:tcW w:w="1800" w:type="dxa"/>
            <w:vAlign w:val="bottom"/>
          </w:tcPr>
          <w:p>
            <w:pPr>
              <w:spacing w:after="0"/>
              <w:rPr>
                <w:sz w:val="24"/>
                <w:szCs w:val="24"/>
                <w:color w:val="auto"/>
              </w:rPr>
            </w:pPr>
          </w:p>
        </w:tc>
        <w:tc>
          <w:tcPr>
            <w:tcW w:w="754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6"/>
              </w:rPr>
              <w:t>ARTICLE VIII</w:t>
            </w:r>
          </w:p>
        </w:tc>
        <w:tc>
          <w:tcPr>
            <w:tcW w:w="182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54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1820" w:type="dxa"/>
            <w:vAlign w:val="bottom"/>
          </w:tcPr>
          <w:p>
            <w:pPr>
              <w:spacing w:after="0"/>
              <w:rPr>
                <w:sz w:val="24"/>
                <w:szCs w:val="24"/>
                <w:color w:val="auto"/>
              </w:rPr>
            </w:pPr>
          </w:p>
        </w:tc>
      </w:tr>
      <w:tr>
        <w:trPr>
          <w:trHeight w:val="52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8.01</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Events of Default</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180</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8.02</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183</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8.03</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Exclusion of Immaterial Subsidiaries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184</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8.04</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Application of Funds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184</w:t>
            </w: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8.05</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Permitted Holders’ Right to Cure</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185</w:t>
            </w:r>
          </w:p>
        </w:tc>
      </w:tr>
      <w:tr>
        <w:trPr>
          <w:trHeight w:val="527"/>
        </w:trPr>
        <w:tc>
          <w:tcPr>
            <w:tcW w:w="1800" w:type="dxa"/>
            <w:vAlign w:val="bottom"/>
          </w:tcPr>
          <w:p>
            <w:pPr>
              <w:spacing w:after="0"/>
              <w:rPr>
                <w:sz w:val="24"/>
                <w:szCs w:val="24"/>
                <w:color w:val="auto"/>
              </w:rPr>
            </w:pPr>
          </w:p>
        </w:tc>
        <w:tc>
          <w:tcPr>
            <w:tcW w:w="754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7"/>
              </w:rPr>
              <w:t>ARTICLE IX</w:t>
            </w:r>
          </w:p>
        </w:tc>
        <w:tc>
          <w:tcPr>
            <w:tcW w:w="182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54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8"/>
              </w:rPr>
              <w:t>Administrative Agent and Other Agents</w:t>
            </w:r>
          </w:p>
        </w:tc>
        <w:tc>
          <w:tcPr>
            <w:tcW w:w="1820" w:type="dxa"/>
            <w:vAlign w:val="bottom"/>
          </w:tcPr>
          <w:p>
            <w:pPr>
              <w:spacing w:after="0"/>
              <w:rPr>
                <w:sz w:val="24"/>
                <w:szCs w:val="24"/>
                <w:color w:val="auto"/>
              </w:rPr>
            </w:pPr>
          </w:p>
        </w:tc>
      </w:tr>
      <w:tr>
        <w:trPr>
          <w:trHeight w:val="52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9.01</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Appointment and Authorization of Agents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186</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9.02</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Delegation of Duties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188</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9.03</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Liability of Agents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188</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9.04</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Reliance by Agents and Lead Arrangers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188</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9.05</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Notice of Default</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189</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9.06</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Credit Decision; Disclosure of Information by Agents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189</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9.07</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Indemnification of Agents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190</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9.08</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Agents in their Individual Capacities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190</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9.09</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Successor Agents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191</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9.10</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191</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9.11</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192</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9.12</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Other Agents; Arrangers and Managers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193</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9.13</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Appointment of Supplemental Administrative Agents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193</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9.14</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Withholding Tax</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194</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9.15</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Secured Cash Management Obligations; Secured Hedge Agreements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195</w:t>
            </w: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9.16</w:t>
            </w:r>
          </w:p>
        </w:tc>
        <w:tc>
          <w:tcPr>
            <w:tcW w:w="75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Certain ERISA Matters</w:t>
            </w: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195</w:t>
            </w:r>
          </w:p>
        </w:tc>
      </w:tr>
      <w:tr>
        <w:trPr>
          <w:trHeight w:val="526"/>
        </w:trPr>
        <w:tc>
          <w:tcPr>
            <w:tcW w:w="1800" w:type="dxa"/>
            <w:vAlign w:val="bottom"/>
          </w:tcPr>
          <w:p>
            <w:pPr>
              <w:spacing w:after="0"/>
              <w:rPr>
                <w:sz w:val="24"/>
                <w:szCs w:val="24"/>
                <w:color w:val="auto"/>
              </w:rPr>
            </w:pPr>
          </w:p>
        </w:tc>
        <w:tc>
          <w:tcPr>
            <w:tcW w:w="754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w w:val="96"/>
              </w:rPr>
              <w:t>ARTICLE X</w:t>
            </w:r>
          </w:p>
        </w:tc>
        <w:tc>
          <w:tcPr>
            <w:tcW w:w="182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540" w:type="dxa"/>
            <w:vAlign w:val="bottom"/>
          </w:tcPr>
          <w:p>
            <w:pPr>
              <w:jc w:val="center"/>
              <w:ind w:left="1601"/>
              <w:spacing w:after="0"/>
              <w:rPr>
                <w:sz w:val="20"/>
                <w:szCs w:val="20"/>
                <w:color w:val="auto"/>
              </w:rPr>
            </w:pPr>
            <w:r>
              <w:rPr>
                <w:rFonts w:ascii="Times New Roman" w:cs="Times New Roman" w:eastAsia="Times New Roman" w:hAnsi="Times New Roman"/>
                <w:sz w:val="20"/>
                <w:szCs w:val="20"/>
                <w:color w:val="auto"/>
              </w:rPr>
              <w:t>Miscellaneous</w:t>
            </w:r>
          </w:p>
        </w:tc>
        <w:tc>
          <w:tcPr>
            <w:tcW w:w="1820" w:type="dxa"/>
            <w:vAlign w:val="bottom"/>
          </w:tcPr>
          <w:p>
            <w:pPr>
              <w:spacing w:after="0"/>
              <w:rPr>
                <w:sz w:val="24"/>
                <w:szCs w:val="24"/>
                <w:color w:val="auto"/>
              </w:rPr>
            </w:pPr>
          </w:p>
        </w:tc>
      </w:tr>
      <w:tr>
        <w:trPr>
          <w:trHeight w:val="52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10.01</w:t>
            </w:r>
          </w:p>
        </w:tc>
        <w:tc>
          <w:tcPr>
            <w:tcW w:w="7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Amendments,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10.02</w:t>
            </w:r>
          </w:p>
        </w:tc>
        <w:tc>
          <w:tcPr>
            <w:tcW w:w="7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Notices and Other Communications; Facsimile Copies</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10.03</w:t>
            </w:r>
          </w:p>
        </w:tc>
        <w:tc>
          <w:tcPr>
            <w:tcW w:w="7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 Waiver; Cumulative Remedies</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-viii-</w:t>
      </w:r>
    </w:p>
    <w:p>
      <w:pPr>
        <w:sectPr>
          <w:pgSz w:w="11900" w:h="16838" w:orient="portrait"/>
          <w:cols w:equalWidth="0" w:num="1">
            <w:col w:w="11160"/>
          </w:cols>
          <w:pgMar w:left="360" w:top="1129" w:right="3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10.04</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Attorney Costs and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Indemnification by the Borrower</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Payments Set Aside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10.07</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Successors and Assigns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10.08</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Confidentiality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10.09</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Setoff</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10.10</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Counterparts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10.11</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Integration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10.12</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10.13</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Severability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10.14</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GOVERNING LAW, JURISDICTION, SERVICE OF PROCESS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10.15</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WAIVER OF RIGHT TO TRIAL BY JURY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10.16</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Binding Effect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10.17</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Judgment Currency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10.18</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Lender Action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10.19</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USA PATRIOT Act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10.20</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Obligations Absolute.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10.21</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r>
      <w:tr>
        <w:trPr>
          <w:trHeight w:val="256"/>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10.22</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10.23</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Section 10.24</w:t>
            </w:r>
          </w:p>
        </w:tc>
        <w:tc>
          <w:tcPr>
            <w:tcW w:w="78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Acknowledgment of Intercreditor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-ix-</w:t>
      </w:r>
    </w:p>
    <w:p>
      <w:pPr>
        <w:sectPr>
          <w:pgSz w:w="11900" w:h="16838" w:orient="portrait"/>
          <w:cols w:equalWidth="0" w:num="1">
            <w:col w:w="11160"/>
          </w:cols>
          <w:pgMar w:left="360" w:top="1129" w:right="3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62"/>
        </w:trPr>
        <w:tc>
          <w:tcPr>
            <w:tcW w:w="1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66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521"/>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Schedule 2.01(A)</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Initial Term Commitments</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Schedule 2.01(B)</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Revolving Credit Commitments</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Schedule 6.12</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Post-Closing Covenants</w:t>
            </w:r>
          </w:p>
        </w:tc>
      </w:tr>
      <w:tr>
        <w:trPr>
          <w:trHeight w:val="262"/>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Schedule 10.02</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Administrative Agent’s Office, Certain Addresses for Notices</w:t>
            </w:r>
          </w:p>
        </w:tc>
      </w:tr>
      <w:tr>
        <w:trPr>
          <w:trHeight w:val="526"/>
        </w:trPr>
        <w:tc>
          <w:tcPr>
            <w:tcW w:w="1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527"/>
        </w:trPr>
        <w:tc>
          <w:tcPr>
            <w:tcW w:w="16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form of</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521"/>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Committed Loan Notice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C-1</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Term Note</w:t>
            </w:r>
          </w:p>
        </w:tc>
      </w:tr>
      <w:tr>
        <w:trPr>
          <w:trHeight w:val="256"/>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C-2</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Revolving Credit Note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D-1</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Closing Date Certificate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D-2</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Compliance Certificate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Assignment and Assumption</w:t>
            </w:r>
          </w:p>
        </w:tc>
      </w:tr>
      <w:tr>
        <w:trPr>
          <w:trHeight w:val="256"/>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Guaranty</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Security Agreement</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Discounted Prepayment Option Notice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Lender Participation Notice</w:t>
            </w:r>
          </w:p>
        </w:tc>
      </w:tr>
      <w:tr>
        <w:trPr>
          <w:trHeight w:val="256"/>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Discounted Voluntary Prepayment Notice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Pari Passu Intercreditor Agreement</w:t>
            </w:r>
          </w:p>
        </w:tc>
      </w:tr>
      <w:tr>
        <w:trPr>
          <w:trHeight w:val="256"/>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L</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United States Tax Compliance Certificate</w:t>
            </w:r>
          </w:p>
        </w:tc>
      </w:tr>
      <w:tr>
        <w:trPr>
          <w:trHeight w:val="257"/>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M</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Junior Lien Intercreditor Agreement</w:t>
            </w:r>
          </w:p>
        </w:tc>
      </w:tr>
      <w:tr>
        <w:trPr>
          <w:trHeight w:val="256"/>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N</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Solvency Certificate</w:t>
            </w:r>
          </w:p>
        </w:tc>
      </w:tr>
      <w:tr>
        <w:trPr>
          <w:trHeight w:val="262"/>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Exhibit O</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50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of Secured Party Joinder</w:t>
            </w:r>
          </w:p>
        </w:tc>
      </w:tr>
      <w:tr>
        <w:trPr>
          <w:trHeight w:val="918"/>
        </w:trPr>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Pr>
          <w:p>
            <w:pPr>
              <w:ind w:left="3160"/>
              <w:spacing w:after="0"/>
              <w:rPr>
                <w:sz w:val="20"/>
                <w:szCs w:val="20"/>
                <w:color w:val="auto"/>
              </w:rPr>
            </w:pPr>
            <w:r>
              <w:rPr>
                <w:rFonts w:ascii="Times New Roman" w:cs="Times New Roman" w:eastAsia="Times New Roman" w:hAnsi="Times New Roman"/>
                <w:sz w:val="20"/>
                <w:szCs w:val="20"/>
                <w:color w:val="auto"/>
              </w:rPr>
              <w:t>-x-</w:t>
            </w:r>
          </w:p>
        </w:tc>
      </w:tr>
    </w:tbl>
    <w:p>
      <w:pPr>
        <w:sectPr>
          <w:pgSz w:w="11900" w:h="16838" w:orient="portrait"/>
          <w:cols w:equalWidth="0" w:num="1">
            <w:col w:w="10099"/>
          </w:cols>
          <w:pgMar w:left="360" w:top="1125"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xml:space="preserve"> is entered into as of October 14, 2020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ARRAY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TECH, INC. (f/k/a ARRAY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color w:val="000000"/>
        </w:rPr>
        <w:t>TECHNOLOGIES, INC.</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 New Mexico corporation (the “</w:t>
      </w:r>
      <w:r>
        <w:rPr>
          <w:rFonts w:ascii="Times New Roman" w:cs="Times New Roman" w:eastAsia="Times New Roman" w:hAnsi="Times New Roman"/>
          <w:sz w:val="22"/>
          <w:szCs w:val="22"/>
          <w:u w:val="single" w:color="auto"/>
          <w:color w:val="000000"/>
        </w:rPr>
        <w:t>Borrower</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color w:val="000000"/>
        </w:rPr>
        <w:t>ATI INVESTMENT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color w:val="000000"/>
        </w:rPr>
        <w:t>SUB, INC.</w:t>
      </w:r>
      <w:r>
        <w:rPr>
          <w:rFonts w:ascii="Times New Roman" w:cs="Times New Roman" w:eastAsia="Times New Roman" w:hAnsi="Times New Roman"/>
          <w:sz w:val="22"/>
          <w:szCs w:val="22"/>
          <w:color w:val="000000"/>
        </w:rPr>
        <w:t>, a Delaware corporation (“</w:t>
      </w:r>
      <w:r>
        <w:rPr>
          <w:rFonts w:ascii="Times New Roman" w:cs="Times New Roman" w:eastAsia="Times New Roman" w:hAnsi="Times New Roman"/>
          <w:sz w:val="22"/>
          <w:szCs w:val="22"/>
          <w:u w:val="single" w:color="auto"/>
          <w:color w:val="000000"/>
        </w:rPr>
        <w:t>Holdings</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 xml:space="preserve"> GOLDMAN SACHS BANK USA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Goldman Sachs</w:t>
      </w:r>
      <w:r>
        <w:rPr>
          <w:rFonts w:ascii="Times New Roman" w:cs="Times New Roman" w:eastAsia="Times New Roman" w:hAnsi="Times New Roman"/>
          <w:sz w:val="22"/>
          <w:szCs w:val="22"/>
          <w:color w:val="000000"/>
        </w:rPr>
        <w:t>”), as Administrative</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Agent, Collateral Agent and each L/C Issuer and each lender from time to time party hereto (collectively, the “</w:t>
      </w:r>
      <w:r>
        <w:rPr>
          <w:rFonts w:ascii="Times New Roman" w:cs="Times New Roman" w:eastAsia="Times New Roman" w:hAnsi="Times New Roman"/>
          <w:sz w:val="22"/>
          <w:szCs w:val="22"/>
          <w:u w:val="single" w:color="auto"/>
          <w:color w:val="000000"/>
        </w:rPr>
        <w:t>Lenders</w:t>
      </w:r>
      <w:r>
        <w:rPr>
          <w:rFonts w:ascii="Times New Roman" w:cs="Times New Roman" w:eastAsia="Times New Roman" w:hAnsi="Times New Roman"/>
          <w:sz w:val="22"/>
          <w:szCs w:val="22"/>
          <w:color w:val="000000"/>
        </w:rPr>
        <w:t>” and individually, a “</w:t>
      </w:r>
      <w:r>
        <w:rPr>
          <w:rFonts w:ascii="Times New Roman" w:cs="Times New Roman" w:eastAsia="Times New Roman" w:hAnsi="Times New Roman"/>
          <w:sz w:val="22"/>
          <w:szCs w:val="22"/>
          <w:u w:val="single" w:color="auto"/>
          <w:color w:val="000000"/>
        </w:rPr>
        <w:t>Lender</w:t>
      </w:r>
      <w:r>
        <w:rPr>
          <w:rFonts w:ascii="Times New Roman" w:cs="Times New Roman" w:eastAsia="Times New Roman" w:hAnsi="Times New Roman"/>
          <w:sz w:val="22"/>
          <w:szCs w:val="22"/>
          <w:color w:val="000000"/>
        </w:rPr>
        <w:t>”).</w:t>
      </w:r>
    </w:p>
    <w:p>
      <w:pPr>
        <w:spacing w:after="0" w:line="1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PRELIMINARY STATEMENTS</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has requested that the Lenders extend credit directly to or on behalf of the Borrower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of (i) Initial Term Loans in an initial aggregate principal amount equal to $575.0 million and (ii) a Revolving Credit Facility in an initial aggregate principal amount of $150.0 million.</w:t>
      </w:r>
    </w:p>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proceeds of the Initial Term Loans and the Initial Revolving Borrowing (to the extent permitted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definition of the term “Permitted Initial Revolving Borrowing”), together with cash on hand at Holdings and its Subsidiaries, will be used by the Borrower on the Closing Date (i) to finance the Closing Distribution (as defined below), (ii) to pay any Transaction Expenses (as defined below), (iii) to pay for the Closing Date Refinancing (as defined below), and (iv) for working capital and general corporate purposes.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 and agree as follows: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1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u w:val="single" w:color="auto"/>
          <w:color w:val="auto"/>
        </w:rPr>
        <w:t>Definitions and Accounting Terms</w:t>
      </w:r>
    </w:p>
    <w:p>
      <w:pPr>
        <w:spacing w:after="0" w:line="206"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1"/>
          <w:szCs w:val="21"/>
          <w:color w:val="auto"/>
        </w:rPr>
        <w:t>As used in this Agreement, the following terms shall have the meanings set forth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Discount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Acceptance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Acquired Indebtedness</w:t>
      </w:r>
      <w:r>
        <w:rPr>
          <w:rFonts w:ascii="Times New Roman" w:cs="Times New Roman" w:eastAsia="Times New Roman" w:hAnsi="Times New Roman"/>
          <w:sz w:val="21"/>
          <w:szCs w:val="21"/>
          <w:color w:val="auto"/>
        </w:rPr>
        <w:t>” means with respect to any Person (x) Indebtedness (1) of any other Person or any of its Subsidiaries existing at the time such other Person becomes a Restricted Subsidiary, or (2) assumed in connection with the acquisition of assets from such other Person, in each case whether or not Incurred by such other Person in connection with such other Person becoming a Restricted Subsidiary of Holdings or such acquisition or (3) of a Person at the time such Person merges with or into or consolidates or otherwise combines with the Borrower or any Restricted Subsidiary and (y) Indebtedness secured by a Lien encumbering any asset acquired by such Person. Acquired Indebtedness shall be deemed to have been Incurred, with respect to clause (x)(1) of the preceding sentence, on the date such Person becomes a Restricted Subsidiary and, with respect to clause (x)(2) of the preceding sentence, on the date of consummation of such acquisition of assets and, with respect to clause (x)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of the preceding sentence, on the date of the relevant merger, amalgamation, consolidation or other combination.</w:t>
      </w:r>
    </w:p>
    <w:p>
      <w:pPr>
        <w:sectPr>
          <w:pgSz w:w="11900" w:h="16838" w:orient="portrait"/>
          <w:cols w:equalWidth="0" w:num="1">
            <w:col w:w="11240"/>
          </w:cols>
          <w:pgMar w:left="320" w:top="1080" w:right="339" w:bottom="1440" w:gutter="0" w:footer="0" w:header="0"/>
        </w:sectPr>
      </w:pPr>
    </w:p>
    <w:bookmarkStart w:id="97" w:name="page98"/>
    <w:bookmarkEnd w:id="9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Assets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1304"/>
        <w:spacing w:after="0" w:line="239" w:lineRule="auto"/>
        <w:tabs>
          <w:tab w:leader="none" w:pos="160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or assets (other than Capital Stock) used or to be used by the Borrower,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180" w:lineRule="exact"/>
        <w:rPr>
          <w:rFonts w:ascii="Times New Roman" w:cs="Times New Roman" w:eastAsia="Times New Roman" w:hAnsi="Times New Roman"/>
          <w:sz w:val="22"/>
          <w:szCs w:val="22"/>
          <w:color w:val="auto"/>
        </w:rPr>
      </w:pPr>
    </w:p>
    <w:p>
      <w:pPr>
        <w:ind w:firstLine="1304"/>
        <w:spacing w:after="0" w:line="245" w:lineRule="auto"/>
        <w:tabs>
          <w:tab w:leader="none" w:pos="160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 Person that is engaged in a Similar Business and becomes a Restricted Subsidiary as a result of the acquisition of such Capital Stock by the Borrower or a Restricted Subsidiary; or</w:t>
      </w:r>
    </w:p>
    <w:p>
      <w:pPr>
        <w:spacing w:after="0" w:line="17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Stock constituting a minority interest in any Person that at such time is a Restricted Subsidiary.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means, for purposes of any calculation, the rate per annum equal to (a) Term SOFR for such Interest Period plus (b) the Term SOFR Adjustment; provided that if Adjusted Term SOFR as so determined shall ever be less than 0.50%, then, with respect to Revolving Credit Loans and Initial Term Loans, Adjusted Term SOFR shall be deemed to be 0.50%.</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xml:space="preserve">, Goldman Sachs (and any of its Affiliates selected by Goldman Sachs to act as administrative agent for any of the facilities provided hereunder), in its capacity as administrative agent under the Loan Documents, or any successor administrative agent appointed in accordance with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Administrative Agent’s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or such other address or account as the Administrative Agent may from time to time notify the Borrower and the Lenders.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any other Person, directly or indirectly, controlling or controlled by or under direct or indirect common control with such specified Person. For the purposes of this Agreement,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controls</w:t>
      </w:r>
      <w:r>
        <w:rPr>
          <w:rFonts w:ascii="Times New Roman" w:cs="Times New Roman" w:eastAsia="Times New Roman" w:hAnsi="Times New Roman"/>
          <w:sz w:val="22"/>
          <w:szCs w:val="22"/>
          <w:color w:val="auto"/>
        </w:rPr>
        <w:t>”, when used with respect to any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xml:space="preserve">” have meanings correlative to the foregoing. </w:t>
      </w:r>
      <w:r>
        <w:rPr>
          <w:rFonts w:ascii="Times New Roman" w:cs="Times New Roman" w:eastAsia="Times New Roman" w:hAnsi="Times New Roman"/>
          <w:sz w:val="22"/>
          <w:szCs w:val="22"/>
          <w:color w:val="0000FF"/>
        </w:rPr>
        <w:t>For purposes of this Agreement and the other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Documents, Jefferies LLC and its Affiliates shall be deemed to be Affiliates of Jefferies Finance LLC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-175895</wp:posOffset>
            </wp:positionV>
            <wp:extent cx="29578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Affiliated Lender</w:t>
      </w:r>
      <w:r>
        <w:rPr>
          <w:rFonts w:ascii="Times New Roman" w:cs="Times New Roman" w:eastAsia="Times New Roman" w:hAnsi="Times New Roman"/>
          <w:sz w:val="20"/>
          <w:szCs w:val="20"/>
          <w:color w:val="auto"/>
        </w:rPr>
        <w:t>” means, at any time, any Lender that is an Affiliate of Holdings (other than any of its Subsidiaries).</w:t>
      </w:r>
    </w:p>
    <w:p>
      <w:pPr>
        <w:spacing w:after="0" w:line="21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Persons</w:t>
      </w:r>
      <w:r>
        <w:rPr>
          <w:rFonts w:ascii="Times New Roman" w:cs="Times New Roman" w:eastAsia="Times New Roman" w:hAnsi="Times New Roman"/>
          <w:sz w:val="22"/>
          <w:szCs w:val="22"/>
          <w:color w:val="auto"/>
        </w:rPr>
        <w:t>” means the Agents, together with their respective Affiliates, and the officers, directors, employees, agents and attorneys-in-fact of such Persons and Affiliates.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84" w:right="339" w:bottom="1440" w:gutter="0" w:footer="0" w:header="0"/>
        </w:sectPr>
      </w:pPr>
    </w:p>
    <w:bookmarkStart w:id="98" w:name="page99"/>
    <w:bookmarkEnd w:id="98"/>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xml:space="preserve"> ” means, collectively, the Administrative Agent, the Collateral Agent, and the Supplemental Administrative Agents (if 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means Amendment No. 1 to this Agreement dated as of the Amendment No. 1 Effective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means February 23, 2021, the date of effectiveness of Amendment No. 1.</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“Amendment No. 4” means Amendment No. 4 to this Agreement dated as of the Amendment No. 4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“Amendment No. 4 Effective Date” means May 1, 2025, the date of effectiveness of Amendment No. 4.</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United States Foreign Corrupt Practices Act of 1977, as amended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and any similar laws, rules or regulations issued, administered or enforced by any Governmental Authority having jurisdiction over the Borrower.</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xml:space="preserve"> means all applicable laws and regulations or ordinances relating to terrorism or money laundering in any jurisdiction in which Holdings, the Borrower, or any of the Restricted Subsidiaries is located or is doing business, including Executive Order No. 13224, the USA Patriot Act, the Bank Secrecy Act, and the Money Laundering Control Act of 1986 (i.e., 18 USC. §§ 1956 and 1957).</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AHYDO Catch-Up Payment</w:t>
      </w:r>
      <w:r>
        <w:rPr>
          <w:rFonts w:ascii="Times New Roman" w:cs="Times New Roman" w:eastAsia="Times New Roman" w:hAnsi="Times New Roman"/>
          <w:sz w:val="22"/>
          <w:szCs w:val="22"/>
          <w:color w:val="auto"/>
        </w:rPr>
        <w:t>” means any payment required to be made under the terms of Indebtedness in order to avoid the application of Section 163(e)(5) of the Internal Revenue Code to such Indebtedness.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Discount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Lending Office</w:t>
      </w:r>
      <w:r>
        <w:rPr>
          <w:rFonts w:ascii="Times New Roman" w:cs="Times New Roman" w:eastAsia="Times New Roman" w:hAnsi="Times New Roman"/>
          <w:sz w:val="22"/>
          <w:szCs w:val="22"/>
          <w:color w:val="auto"/>
        </w:rPr>
        <w:t>” means for any Lender, such Lender’s office, branch or affiliate designated for SOFR Loans, Base Rate Loans, L/C Advances or Letters of Credit, as applicable, as notified to the Administrative Agent, any of which offices may be changed by such Lender.</w:t>
      </w:r>
    </w:p>
    <w:p>
      <w:pPr>
        <w:spacing w:after="0" w:line="17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in the case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when a Defaulting Lender shall exist, “Applicable Percentage” with respect to the Revolving Credit Facility shall be determined by disregarding any Defaulting Lender’s Revolving Credit Commitment and (ii) if the Revolving Credit Commitments have terminated or expired, the Applicable Percentages of the Lenders shall be determined based upon the Revolving Credit Commitments most recently in effect)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084" w:right="33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Proceeds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2.05(b)(ii)(A)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a percentage per annum equal to:</w:t>
      </w:r>
    </w:p>
    <w:p>
      <w:pPr>
        <w:spacing w:after="0" w:line="206" w:lineRule="exact"/>
        <w:rPr>
          <w:sz w:val="20"/>
          <w:szCs w:val="20"/>
          <w:color w:val="auto"/>
        </w:rPr>
      </w:pPr>
    </w:p>
    <w:p>
      <w:pPr>
        <w:ind w:left="660" w:right="140" w:firstLine="1292"/>
        <w:spacing w:after="0" w:line="239" w:lineRule="auto"/>
        <w:tabs>
          <w:tab w:leader="none" w:pos="246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prior to the Amendment No. 1 Effective Date, for Eurocurrency Rate Loans that are Initial Term Loans, 4.00%, and for Base Rate Loans that are Initial Term Loans, 3.00%, and (ii) on and after the Amendment No. 1 Effective Date, for SOFR Loans that are Initial Term Loans, 3.25%, and for Base Rate Loans that are Initial Term Loans, 2.25%,</w:t>
      </w:r>
    </w:p>
    <w:p>
      <w:pPr>
        <w:spacing w:after="0" w:line="16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SOFR Loans that are Revolving Credit Loans, 3.25% and for Base Rate Loans that are Revolving</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Credit Loans, 2.25%</w:t>
      </w:r>
    </w:p>
    <w:p>
      <w:pPr>
        <w:spacing w:after="0" w:line="182" w:lineRule="exact"/>
        <w:rPr>
          <w:rFonts w:ascii="Times New Roman" w:cs="Times New Roman" w:eastAsia="Times New Roman" w:hAnsi="Times New Roman"/>
          <w:sz w:val="21"/>
          <w:szCs w:val="21"/>
          <w:color w:val="auto"/>
        </w:rPr>
      </w:pPr>
    </w:p>
    <w:p>
      <w:pPr>
        <w:ind w:left="2400" w:hanging="448"/>
        <w:spacing w:after="0"/>
        <w:tabs>
          <w:tab w:leader="none" w:pos="24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letter of credit fees, 3.25%, and</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5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until delivery of financial statements and a related Compliance Certificate for the first full fiscal quarter commencing after the Closing Date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for Commitment Fees, 0.50% and (ii) thereafter, the percentages per annum set forth in the table below, based upon the Consolidated First Lien Secured Leverage Ratio as set forth in the most recent Compliance Certificate received by the Administrative Agent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w:t>
      </w:r>
    </w:p>
    <w:p>
      <w:pPr>
        <w:spacing w:after="0" w:line="215" w:lineRule="exact"/>
        <w:rPr>
          <w:sz w:val="20"/>
          <w:szCs w:val="20"/>
          <w:color w:val="auto"/>
        </w:rPr>
      </w:pPr>
    </w:p>
    <w:tbl>
      <w:tblPr>
        <w:tblLayout w:type="fixed"/>
        <w:tblInd w:w="1310" w:type="dxa"/>
        <w:tblCellMar>
          <w:top w:w="0" w:type="dxa"/>
          <w:left w:w="0" w:type="dxa"/>
          <w:bottom w:w="0" w:type="dxa"/>
          <w:right w:w="0" w:type="dxa"/>
        </w:tblCellMar>
      </w:tblPr>
      <w:tr>
        <w:trPr>
          <w:trHeight w:val="252"/>
        </w:trPr>
        <w:tc>
          <w:tcPr>
            <w:tcW w:w="1320" w:type="dxa"/>
            <w:vAlign w:val="bottom"/>
            <w:tcBorders>
              <w:top w:val="single" w:sz="8" w:color="auto"/>
              <w:left w:val="single" w:sz="8" w:color="auto"/>
              <w:right w:val="single" w:sz="8" w:color="auto"/>
            </w:tcBorders>
            <w:shd w:val="clear" w:color="auto" w:fill="DBE5F1"/>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Pricing Level</w:t>
            </w:r>
          </w:p>
        </w:tc>
        <w:tc>
          <w:tcPr>
            <w:tcW w:w="3300" w:type="dxa"/>
            <w:vAlign w:val="bottom"/>
            <w:tcBorders>
              <w:top w:val="single" w:sz="8" w:color="auto"/>
              <w:right w:val="single" w:sz="8" w:color="auto"/>
            </w:tcBorders>
            <w:gridSpan w:val="3"/>
            <w:shd w:val="clear" w:color="auto" w:fill="DBE5F1"/>
          </w:tcPr>
          <w:p>
            <w:pPr>
              <w:ind w:left="20"/>
              <w:spacing w:after="0"/>
              <w:rPr>
                <w:sz w:val="20"/>
                <w:szCs w:val="20"/>
                <w:color w:val="auto"/>
              </w:rPr>
            </w:pPr>
            <w:r>
              <w:rPr>
                <w:rFonts w:ascii="Times New Roman" w:cs="Times New Roman" w:eastAsia="Times New Roman" w:hAnsi="Times New Roman"/>
                <w:sz w:val="22"/>
                <w:szCs w:val="22"/>
                <w:b w:val="1"/>
                <w:bCs w:val="1"/>
                <w:color w:val="auto"/>
              </w:rPr>
              <w:t>Consolidated First Lien Secured</w:t>
            </w:r>
          </w:p>
        </w:tc>
        <w:tc>
          <w:tcPr>
            <w:tcW w:w="2660" w:type="dxa"/>
            <w:vAlign w:val="bottom"/>
            <w:tcBorders>
              <w:top w:val="single" w:sz="8" w:color="auto"/>
              <w:right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22"/>
                <w:szCs w:val="22"/>
                <w:b w:val="1"/>
                <w:bCs w:val="1"/>
                <w:color w:val="auto"/>
              </w:rPr>
              <w:t>Commitment Fees</w:t>
            </w:r>
          </w:p>
        </w:tc>
      </w:tr>
      <w:tr>
        <w:trPr>
          <w:trHeight w:val="295"/>
        </w:trPr>
        <w:tc>
          <w:tcPr>
            <w:tcW w:w="1320" w:type="dxa"/>
            <w:vAlign w:val="bottom"/>
            <w:tcBorders>
              <w:left w:val="single" w:sz="8" w:color="auto"/>
              <w:bottom w:val="single" w:sz="8" w:color="auto"/>
              <w:right w:val="single" w:sz="8" w:color="auto"/>
            </w:tcBorders>
            <w:shd w:val="clear" w:color="auto" w:fill="DBE5F1"/>
          </w:tcPr>
          <w:p>
            <w:pPr>
              <w:spacing w:after="0"/>
              <w:rPr>
                <w:sz w:val="24"/>
                <w:szCs w:val="24"/>
                <w:color w:val="auto"/>
              </w:rPr>
            </w:pPr>
          </w:p>
        </w:tc>
        <w:tc>
          <w:tcPr>
            <w:tcW w:w="3300" w:type="dxa"/>
            <w:vAlign w:val="bottom"/>
            <w:tcBorders>
              <w:bottom w:val="single" w:sz="8" w:color="auto"/>
              <w:right w:val="single" w:sz="8" w:color="auto"/>
            </w:tcBorders>
            <w:gridSpan w:val="3"/>
            <w:shd w:val="clear" w:color="auto" w:fill="DBE5F1"/>
          </w:tcPr>
          <w:p>
            <w:pPr>
              <w:ind w:left="20"/>
              <w:spacing w:after="0"/>
              <w:rPr>
                <w:sz w:val="20"/>
                <w:szCs w:val="20"/>
                <w:color w:val="auto"/>
              </w:rPr>
            </w:pPr>
            <w:r>
              <w:rPr>
                <w:rFonts w:ascii="Times New Roman" w:cs="Times New Roman" w:eastAsia="Times New Roman" w:hAnsi="Times New Roman"/>
                <w:sz w:val="22"/>
                <w:szCs w:val="22"/>
                <w:b w:val="1"/>
                <w:bCs w:val="1"/>
                <w:color w:val="auto"/>
              </w:rPr>
              <w:t>Leverage Ratio</w:t>
            </w:r>
          </w:p>
        </w:tc>
        <w:tc>
          <w:tcPr>
            <w:tcW w:w="2660" w:type="dxa"/>
            <w:vAlign w:val="bottom"/>
            <w:tcBorders>
              <w:bottom w:val="single" w:sz="8" w:color="auto"/>
              <w:right w:val="single" w:sz="8" w:color="auto"/>
            </w:tcBorders>
            <w:shd w:val="clear" w:color="auto" w:fill="DBE5F1"/>
          </w:tcPr>
          <w:p>
            <w:pPr>
              <w:spacing w:after="0"/>
              <w:rPr>
                <w:sz w:val="24"/>
                <w:szCs w:val="24"/>
                <w:color w:val="auto"/>
              </w:rPr>
            </w:pPr>
          </w:p>
        </w:tc>
      </w:tr>
      <w:tr>
        <w:trPr>
          <w:trHeight w:val="290"/>
        </w:trPr>
        <w:tc>
          <w:tcPr>
            <w:tcW w:w="13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w:t>
            </w:r>
          </w:p>
        </w:tc>
        <w:tc>
          <w:tcPr>
            <w:tcW w:w="330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&gt; 2.30:1.00</w:t>
            </w: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0.50%</w:t>
            </w:r>
          </w:p>
        </w:tc>
      </w:tr>
      <w:tr>
        <w:trPr>
          <w:trHeight w:val="230"/>
        </w:trPr>
        <w:tc>
          <w:tcPr>
            <w:tcW w:w="1320" w:type="dxa"/>
            <w:vAlign w:val="bottom"/>
            <w:tcBorders>
              <w:left w:val="single" w:sz="8" w:color="auto"/>
              <w:right w:val="single" w:sz="8" w:color="auto"/>
            </w:tcBorders>
          </w:tcPr>
          <w:p>
            <w:pPr>
              <w:ind w:left="40"/>
              <w:spacing w:after="0" w:line="229" w:lineRule="exact"/>
              <w:rPr>
                <w:sz w:val="20"/>
                <w:szCs w:val="20"/>
                <w:color w:val="auto"/>
              </w:rPr>
            </w:pPr>
            <w:r>
              <w:rPr>
                <w:rFonts w:ascii="Times New Roman" w:cs="Times New Roman" w:eastAsia="Times New Roman" w:hAnsi="Times New Roman"/>
                <w:sz w:val="22"/>
                <w:szCs w:val="22"/>
                <w:color w:val="auto"/>
              </w:rPr>
              <w:t>II</w:t>
            </w:r>
          </w:p>
        </w:tc>
        <w:tc>
          <w:tcPr>
            <w:tcW w:w="3300" w:type="dxa"/>
            <w:vAlign w:val="bottom"/>
            <w:tcBorders>
              <w:right w:val="single" w:sz="8" w:color="auto"/>
            </w:tcBorders>
            <w:gridSpan w:val="3"/>
          </w:tcPr>
          <w:p>
            <w:pPr>
              <w:ind w:left="20"/>
              <w:spacing w:after="0" w:line="229" w:lineRule="exact"/>
              <w:rPr>
                <w:sz w:val="20"/>
                <w:szCs w:val="20"/>
                <w:color w:val="auto"/>
              </w:rPr>
            </w:pPr>
            <w:r>
              <w:rPr>
                <w:rFonts w:ascii="Times New Roman" w:cs="Times New Roman" w:eastAsia="Times New Roman" w:hAnsi="Times New Roman"/>
                <w:sz w:val="22"/>
                <w:szCs w:val="22"/>
                <w:color w:val="auto"/>
              </w:rPr>
              <w:t>&lt; 2.30:1.00 and &gt; 1.80:1.0</w:t>
            </w:r>
          </w:p>
        </w:tc>
        <w:tc>
          <w:tcPr>
            <w:tcW w:w="266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22"/>
                <w:szCs w:val="22"/>
                <w:color w:val="auto"/>
              </w:rPr>
              <w:t>0.375%</w:t>
            </w:r>
          </w:p>
        </w:tc>
      </w:tr>
      <w:tr>
        <w:trPr>
          <w:trHeight w:val="48"/>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r>
      <w:tr>
        <w:trPr>
          <w:trHeight w:val="223"/>
        </w:trPr>
        <w:tc>
          <w:tcPr>
            <w:tcW w:w="132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III</w:t>
            </w:r>
          </w:p>
        </w:tc>
        <w:tc>
          <w:tcPr>
            <w:tcW w:w="3300" w:type="dxa"/>
            <w:vAlign w:val="bottom"/>
            <w:tcBorders>
              <w:right w:val="single" w:sz="8" w:color="auto"/>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rPr>
              <w:t>&lt; 1.80:1.00</w:t>
            </w:r>
          </w:p>
        </w:tc>
        <w:tc>
          <w:tcPr>
            <w:tcW w:w="266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0.25%</w:t>
            </w:r>
          </w:p>
        </w:tc>
      </w:tr>
      <w:tr>
        <w:trPr>
          <w:trHeight w:val="48"/>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r>
    </w:tbl>
    <w:p>
      <w:pPr>
        <w:spacing w:after="0" w:line="27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Applicable Rate for SOFR Loans shall apply to Daily SOFR Loans, if applicable.</w:t>
      </w:r>
    </w:p>
    <w:p>
      <w:pPr>
        <w:spacing w:after="0" w:line="206" w:lineRule="exact"/>
        <w:rPr>
          <w:sz w:val="20"/>
          <w:szCs w:val="20"/>
          <w:color w:val="auto"/>
        </w:rPr>
      </w:pPr>
    </w:p>
    <w:p>
      <w:pPr>
        <w:jc w:val="both"/>
        <w:ind w:firstLine="1377"/>
        <w:spacing w:after="0" w:line="244" w:lineRule="auto"/>
        <w:rPr>
          <w:sz w:val="20"/>
          <w:szCs w:val="20"/>
          <w:color w:val="auto"/>
        </w:rPr>
      </w:pPr>
      <w:r>
        <w:rPr>
          <w:rFonts w:ascii="Times New Roman" w:cs="Times New Roman" w:eastAsia="Times New Roman" w:hAnsi="Times New Roman"/>
          <w:sz w:val="22"/>
          <w:szCs w:val="22"/>
          <w:color w:val="auto"/>
        </w:rPr>
        <w:t xml:space="preserve">Any increase or decrease in the Applicable Rate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 resulting from a change in the Consolidated First Lien Secured Leverage Ratio shall become effective as of the first Business Day immediately following the date a Compliance Certificate is delivered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377"/>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above in this definition or elsewhere in this Agreement, if it is subsequently determined that the Consolidated First Lien Secured Leverage Ratio set forth in any Compliance Certificate delivered to the Administrative Agent is inaccurate for any reason and the result thereof is that the Lenders received interest or fees for any period based on an Applicable Rate that is less than that which would have been applicable had the Consolidated First Lien Secured Leverage Ratio been accurately determined, then, for all purposes of this Agreement, the “Applicable Rate” for any day occurring within the period covered by such Compliance Certificate shall retroactively be deemed to be the relevant percentage as based upon the accurately determined Consolidated First Lien Secured Leverage Ratio for such period, and any shortfall in the interest or fees theretofore paid by the Borrower for the relevant period pursuant to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as a result of the miscalculation of the Consolidated First Lien Secured Leverage Ratio shall be deemed to be (and shall be) due and payable under the relevant provisions of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as applicable, at the time the interest or fees for such period were required to be paid pursuant to such Section, in accordance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unless an Event of Default described in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has occurred and is continuing with respect to the Borrower, such shortfall shall be due and payable five (5) Business Days following the determination described above.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084" w:right="339" w:bottom="1440" w:gutter="0" w:footer="0" w:header="0"/>
        </w:sectPr>
      </w:pPr>
    </w:p>
    <w:bookmarkStart w:id="100" w:name="page101"/>
    <w:bookmarkEnd w:id="100"/>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Notwithstanding the foregoing, the Applicable Rate in respect of any Class of Extended Revolving Credit Commitments and any Incremental Term Loans, Extended Term Loans or Revolving Credit Loans made pursuant to any Extended Revolving Credit Commitments shall be the applicable percentages per annum set forth in the relevant Incremental Facility Amendment or Extension Offer.</w:t>
      </w:r>
    </w:p>
    <w:p>
      <w:pPr>
        <w:spacing w:after="0" w:line="18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Appropriate Lender</w:t>
      </w:r>
      <w:r>
        <w:rPr>
          <w:rFonts w:ascii="Times New Roman" w:cs="Times New Roman" w:eastAsia="Times New Roman" w:hAnsi="Times New Roman"/>
          <w:sz w:val="22"/>
          <w:szCs w:val="22"/>
          <w:color w:val="auto"/>
        </w:rPr>
        <w:t>” means, at any time, (a) with respect to Loans of any Class, the Lenders of such Class and (b) with respect to any Letters of Credit, (i) the relevant L/C Issuer and (ii) the Revolving Credit Lenders.</w:t>
      </w:r>
    </w:p>
    <w:p>
      <w:pPr>
        <w:spacing w:after="0" w:line="14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Commercial Bank</w:t>
      </w:r>
      <w:r>
        <w:rPr>
          <w:rFonts w:ascii="Times New Roman" w:cs="Times New Roman" w:eastAsia="Times New Roman" w:hAnsi="Times New Roman"/>
          <w:sz w:val="22"/>
          <w:szCs w:val="22"/>
          <w:color w:val="auto"/>
        </w:rPr>
        <w:t>” means a commercial bank with a consolidated combined capital and surplus of at least $5.0 billion.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Foreign Bank</w:t>
      </w:r>
      <w:r>
        <w:rPr>
          <w:rFonts w:ascii="Times New Roman" w:cs="Times New Roman" w:eastAsia="Times New Roman" w:hAnsi="Times New Roman"/>
          <w:sz w:val="22"/>
          <w:szCs w:val="22"/>
          <w:color w:val="auto"/>
        </w:rPr>
        <w:t>” has the meaning specified in the definition of “Cash Equivalents.”</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1304"/>
        <w:spacing w:after="0" w:line="244" w:lineRule="auto"/>
        <w:tabs>
          <w:tab w:leader="none" w:pos="161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voluntary sale, conveyance, transfer or other disposition, whether in a single transaction or a series of related transactions, of property or assets (including by way of a Sale and Leaseback Transaction) of the Borrower or any of its Restricted Subsidiaries (each referred to in this definition as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or sale of Capital Stock of any Restricted Subsidiary (other than Preferred Stock or Disqualified Stock of Restricted Subsidiaries issued in compliance with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hereof or directors’ qualifying shares and shares issued to foreign nationals as required under applicable law), whether in a single transaction or a series of related transactions;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each case, other than:</w:t>
      </w:r>
    </w:p>
    <w:p>
      <w:pPr>
        <w:spacing w:after="0" w:line="224" w:lineRule="exact"/>
        <w:rPr>
          <w:sz w:val="20"/>
          <w:szCs w:val="20"/>
          <w:color w:val="auto"/>
        </w:rPr>
      </w:pPr>
    </w:p>
    <w:p>
      <w:pPr>
        <w:ind w:left="1300" w:firstLine="652"/>
        <w:spacing w:after="0" w:line="269" w:lineRule="auto"/>
        <w:tabs>
          <w:tab w:leader="none" w:pos="242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by the Borrower or a Restricted Subsidiary to the Borrower or a Restricted Subsidiary, including pursuant to any Intercompany License Agreement;</w:t>
      </w:r>
    </w:p>
    <w:p>
      <w:pPr>
        <w:spacing w:after="0" w:line="159" w:lineRule="exact"/>
        <w:rPr>
          <w:rFonts w:ascii="Times New Roman" w:cs="Times New Roman" w:eastAsia="Times New Roman" w:hAnsi="Times New Roman"/>
          <w:sz w:val="20"/>
          <w:szCs w:val="20"/>
          <w:color w:val="auto"/>
        </w:rPr>
      </w:pPr>
    </w:p>
    <w:p>
      <w:pPr>
        <w:ind w:left="1300" w:firstLine="652"/>
        <w:spacing w:after="0" w:line="269" w:lineRule="auto"/>
        <w:tabs>
          <w:tab w:leader="none" w:pos="246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of cash, Cash Equivalents or Investment Grade Securities, including any marketable securities portfolio owned by the Borrower and its Subsidiaries on the Closing Date;</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5" w:lineRule="auto"/>
        <w:tabs>
          <w:tab w:leader="none" w:pos="253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disposition of inventory, goods or other assets (including Settlement Assets) in the ordinary course of business </w:t>
      </w:r>
      <w:r>
        <w:rPr>
          <w:rFonts w:ascii="Times New Roman" w:cs="Times New Roman" w:eastAsia="Times New Roman" w:hAnsi="Times New Roman"/>
          <w:sz w:val="21"/>
          <w:szCs w:val="21"/>
          <w:color w:val="0000FF"/>
        </w:rPr>
        <w:t>or consistent</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0000FF"/>
        </w:rPr>
        <w:t>past practice</w:t>
      </w:r>
      <w:r>
        <w:rPr>
          <w:rFonts w:ascii="Times New Roman" w:cs="Times New Roman" w:eastAsia="Times New Roman" w:hAnsi="Times New Roman"/>
          <w:sz w:val="20"/>
          <w:szCs w:val="20"/>
          <w:color w:val="auto"/>
        </w:rPr>
        <w:t xml:space="preserve"> or held for sale or no longer used in the ordinary course of business, including any disposition of disposed, abandoned or discontinued operations;</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52" w:lineRule="auto"/>
        <w:tabs>
          <w:tab w:leader="none" w:pos="253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disposition of obsolete, worn-out, uneconomical, negligible, immaterial, damaged, non-core or surplus property, equipment or other assets or property, equipment or other assets that are no longer economically practical or commercially desirable to maintain or used or useful in the business of the Borrower and the Restricted Subsidiaries whether now or hereafter owned or leased or acquired in connection with an acquisition or used or useful in the conduct of the business of the Borrower and the Restricted Subsidiaries (including by conveying, selling, assigning, </w:t>
      </w:r>
      <w:r>
        <w:rPr>
          <w:rFonts w:ascii="Times New Roman" w:cs="Times New Roman" w:eastAsia="Times New Roman" w:hAnsi="Times New Roman"/>
          <w:sz w:val="20"/>
          <w:szCs w:val="20"/>
          <w:color w:val="0000FF"/>
        </w:rPr>
        <w:t>transferring</w:t>
      </w:r>
      <w:r>
        <w:rPr>
          <w:rFonts w:ascii="Times New Roman" w:cs="Times New Roman" w:eastAsia="Times New Roman" w:hAnsi="Times New Roman"/>
          <w:sz w:val="19"/>
          <w:szCs w:val="19"/>
          <w:color w:val="auto"/>
        </w:rPr>
        <w:t>, licensing or sublicensing, ceasing to enforce, allowing the lapse, abandonment or invalidation of or discontinuing the use, prosecution or maintenance of, putting into the public domain or other disposition of any IP Rights that are, in the reasonable judgment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084" w:right="339" w:bottom="1440" w:gutter="0" w:footer="0" w:header="0"/>
        </w:sectPr>
      </w:pPr>
    </w:p>
    <w:bookmarkStart w:id="101" w:name="page102"/>
    <w:bookmarkEnd w:id="101"/>
    <w:p>
      <w:pPr>
        <w:jc w:val="both"/>
        <w:ind w:left="180"/>
        <w:spacing w:after="0" w:line="247" w:lineRule="auto"/>
        <w:rPr>
          <w:sz w:val="20"/>
          <w:szCs w:val="20"/>
          <w:color w:val="auto"/>
        </w:rPr>
      </w:pPr>
      <w:r>
        <w:rPr>
          <w:rFonts w:ascii="Times New Roman" w:cs="Times New Roman" w:eastAsia="Times New Roman" w:hAnsi="Times New Roman"/>
          <w:sz w:val="20"/>
          <w:szCs w:val="20"/>
          <w:color w:val="auto"/>
        </w:rPr>
        <w:t>of the Borrower or the Restricted Subsidiaries, no longer used or useful, or economically practicable to maintain, or in respect of which the Borrower or any Restricted Subsidiary determines in its reasonable judgment that such action or inaction is desirable);</w:t>
      </w:r>
    </w:p>
    <w:p>
      <w:pPr>
        <w:spacing w:after="0" w:line="181" w:lineRule="exact"/>
        <w:rPr>
          <w:sz w:val="20"/>
          <w:szCs w:val="20"/>
          <w:color w:val="auto"/>
        </w:rPr>
      </w:pPr>
    </w:p>
    <w:p>
      <w:pPr>
        <w:ind w:left="1280" w:hanging="448"/>
        <w:spacing w:after="0"/>
        <w:tabs>
          <w:tab w:leader="none" w:pos="12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under </w:t>
      </w:r>
      <w:r>
        <w:rPr>
          <w:rFonts w:ascii="Times New Roman" w:cs="Times New Roman" w:eastAsia="Times New Roman" w:hAnsi="Times New Roman"/>
          <w:sz w:val="20"/>
          <w:szCs w:val="20"/>
          <w:u w:val="single" w:color="auto"/>
          <w:color w:val="auto"/>
        </w:rPr>
        <w:t>Section 7.04(a)</w:t>
      </w:r>
      <w:r>
        <w:rPr>
          <w:rFonts w:ascii="Times New Roman" w:cs="Times New Roman" w:eastAsia="Times New Roman" w:hAnsi="Times New Roman"/>
          <w:sz w:val="20"/>
          <w:szCs w:val="20"/>
          <w:color w:val="auto"/>
        </w:rPr>
        <w:t xml:space="preserve"> hereof or a transaction that constitutes a Change of Control;</w:t>
      </w:r>
    </w:p>
    <w:p>
      <w:pPr>
        <w:spacing w:after="0" w:line="229" w:lineRule="exact"/>
        <w:rPr>
          <w:rFonts w:ascii="Times New Roman" w:cs="Times New Roman" w:eastAsia="Times New Roman" w:hAnsi="Times New Roman"/>
          <w:sz w:val="20"/>
          <w:szCs w:val="20"/>
          <w:color w:val="auto"/>
        </w:rPr>
      </w:pPr>
    </w:p>
    <w:p>
      <w:pPr>
        <w:ind w:left="180" w:firstLine="652"/>
        <w:spacing w:after="0" w:line="269" w:lineRule="auto"/>
        <w:tabs>
          <w:tab w:leader="none" w:pos="134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issuance of Capital Stock by a Restricted Subsidiary to the Borrower or to another Restricted Subsidiary or as part of or pursuant to an equity incentive or compensation plan approved by the Board of Directors;</w:t>
      </w:r>
    </w:p>
    <w:p>
      <w:pPr>
        <w:spacing w:after="0" w:line="159" w:lineRule="exact"/>
        <w:rPr>
          <w:rFonts w:ascii="Times New Roman" w:cs="Times New Roman" w:eastAsia="Times New Roman" w:hAnsi="Times New Roman"/>
          <w:sz w:val="20"/>
          <w:szCs w:val="20"/>
          <w:color w:val="auto"/>
        </w:rPr>
      </w:pPr>
    </w:p>
    <w:p>
      <w:pPr>
        <w:jc w:val="both"/>
        <w:ind w:left="180" w:firstLine="652"/>
        <w:spacing w:after="0" w:line="249" w:lineRule="auto"/>
        <w:tabs>
          <w:tab w:leader="none" w:pos="132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dispositions of Capital Stock, properties or assets in a single transaction or series of related transactions with a fair market value (as determined in good faith by the Borrower) of less than the greater of $53.0 million and 25.0% of</w:t>
      </w:r>
    </w:p>
    <w:p>
      <w:pPr>
        <w:ind w:left="1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LTM EBITDA;</w:t>
      </w:r>
    </w:p>
    <w:p>
      <w:pPr>
        <w:spacing w:after="0" w:line="193" w:lineRule="exact"/>
        <w:rPr>
          <w:rFonts w:ascii="Times New Roman" w:cs="Times New Roman" w:eastAsia="Times New Roman" w:hAnsi="Times New Roman"/>
          <w:sz w:val="19"/>
          <w:szCs w:val="19"/>
          <w:color w:val="auto"/>
        </w:rPr>
      </w:pPr>
    </w:p>
    <w:p>
      <w:pPr>
        <w:ind w:left="180" w:right="20" w:firstLine="652"/>
        <w:spacing w:after="0" w:line="255" w:lineRule="auto"/>
        <w:tabs>
          <w:tab w:leader="none" w:pos="135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that is permitted to be made, and is made, under Section 7.06 and the making of any Permitted Payment or Permitted Investment;</w:t>
      </w:r>
    </w:p>
    <w:p>
      <w:pPr>
        <w:spacing w:after="0" w:line="172" w:lineRule="exact"/>
        <w:rPr>
          <w:rFonts w:ascii="Times New Roman" w:cs="Times New Roman" w:eastAsia="Times New Roman" w:hAnsi="Times New Roman"/>
          <w:sz w:val="20"/>
          <w:szCs w:val="20"/>
          <w:color w:val="auto"/>
        </w:rPr>
      </w:pPr>
    </w:p>
    <w:p>
      <w:pPr>
        <w:ind w:left="180" w:right="20" w:firstLine="652"/>
        <w:spacing w:after="0" w:line="255" w:lineRule="auto"/>
        <w:tabs>
          <w:tab w:leader="none" w:pos="154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Permitted Liens, Permitted Intercompany Activities, Permitted IPO Reorganization and Permitted Tax Restructuring;</w:t>
      </w:r>
    </w:p>
    <w:p>
      <w:pPr>
        <w:spacing w:after="0" w:line="159" w:lineRule="exact"/>
        <w:rPr>
          <w:rFonts w:ascii="Times New Roman" w:cs="Times New Roman" w:eastAsia="Times New Roman" w:hAnsi="Times New Roman"/>
          <w:sz w:val="20"/>
          <w:szCs w:val="20"/>
          <w:color w:val="auto"/>
        </w:rPr>
      </w:pPr>
    </w:p>
    <w:p>
      <w:pPr>
        <w:jc w:val="both"/>
        <w:ind w:left="180" w:firstLine="652"/>
        <w:spacing w:after="0" w:line="247" w:lineRule="auto"/>
        <w:tabs>
          <w:tab w:leader="none" w:pos="136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180" w:lineRule="exact"/>
        <w:rPr>
          <w:rFonts w:ascii="Times New Roman" w:cs="Times New Roman" w:eastAsia="Times New Roman" w:hAnsi="Times New Roman"/>
          <w:sz w:val="20"/>
          <w:szCs w:val="20"/>
          <w:color w:val="auto"/>
        </w:rPr>
      </w:pPr>
    </w:p>
    <w:p>
      <w:pPr>
        <w:jc w:val="both"/>
        <w:ind w:left="180" w:firstLine="652"/>
        <w:spacing w:after="0" w:line="239" w:lineRule="auto"/>
        <w:tabs>
          <w:tab w:leader="none" w:pos="136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conveyances, sales, assignments, transfers, licenses, sublicenses, cross-licenses or other dispositions of any IP Rights or other general intangibles and licenses, sublicenses, cross-licenses, leases or subleases of other property, in each case, in the ordinary course of business or consistent with past practice or pursuant to a services, research or development agreement in which the counterparty to such agreement receives a license in any IP Rights that result from such agreement;</w:t>
      </w:r>
    </w:p>
    <w:p>
      <w:pPr>
        <w:spacing w:after="0" w:line="177" w:lineRule="exact"/>
        <w:rPr>
          <w:rFonts w:ascii="Times New Roman" w:cs="Times New Roman" w:eastAsia="Times New Roman" w:hAnsi="Times New Roman"/>
          <w:sz w:val="20"/>
          <w:szCs w:val="20"/>
          <w:color w:val="auto"/>
        </w:rPr>
      </w:pPr>
    </w:p>
    <w:p>
      <w:pPr>
        <w:ind w:left="180" w:firstLine="652"/>
        <w:spacing w:after="0" w:line="269" w:lineRule="auto"/>
        <w:tabs>
          <w:tab w:leader="none" w:pos="136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license, sublease or sublicense of any real or personal property in the ordinary course of business or consistent with industry practice;</w:t>
      </w:r>
    </w:p>
    <w:p>
      <w:pPr>
        <w:spacing w:after="0" w:line="145" w:lineRule="exact"/>
        <w:rPr>
          <w:rFonts w:ascii="Times New Roman" w:cs="Times New Roman" w:eastAsia="Times New Roman" w:hAnsi="Times New Roman"/>
          <w:sz w:val="20"/>
          <w:szCs w:val="20"/>
          <w:color w:val="auto"/>
        </w:rPr>
      </w:pPr>
    </w:p>
    <w:p>
      <w:pPr>
        <w:ind w:left="180" w:right="20" w:firstLine="652"/>
        <w:spacing w:after="0" w:line="269" w:lineRule="auto"/>
        <w:tabs>
          <w:tab w:leader="none" w:pos="135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foreclosure, condemnation, expropriation, forced disposition or any similar action with respect to any property or other assets or the granting of Liens not prohibited by this Agreement;</w:t>
      </w:r>
    </w:p>
    <w:p>
      <w:pPr>
        <w:spacing w:after="0" w:line="145" w:lineRule="exact"/>
        <w:rPr>
          <w:rFonts w:ascii="Times New Roman" w:cs="Times New Roman" w:eastAsia="Times New Roman" w:hAnsi="Times New Roman"/>
          <w:sz w:val="20"/>
          <w:szCs w:val="20"/>
          <w:color w:val="auto"/>
        </w:rPr>
      </w:pPr>
    </w:p>
    <w:p>
      <w:pPr>
        <w:jc w:val="both"/>
        <w:ind w:left="180" w:firstLine="652"/>
        <w:spacing w:after="0" w:line="239" w:lineRule="auto"/>
        <w:tabs>
          <w:tab w:leader="none" w:pos="155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discount or other disposition (with or without recourse, and on customary or commercially reasonable terms and for credit management purposes) of inventory, accounts receivable or notes receivable arising in the ordinary course of business or consistent with past practice, or the conversion or exchange of accounts receivable for notes receivable;</w:t>
      </w:r>
    </w:p>
    <w:p>
      <w:pPr>
        <w:spacing w:after="0" w:line="190" w:lineRule="exact"/>
        <w:rPr>
          <w:rFonts w:ascii="Times New Roman" w:cs="Times New Roman" w:eastAsia="Times New Roman" w:hAnsi="Times New Roman"/>
          <w:sz w:val="20"/>
          <w:szCs w:val="20"/>
          <w:color w:val="auto"/>
        </w:rPr>
      </w:pPr>
    </w:p>
    <w:p>
      <w:pPr>
        <w:jc w:val="both"/>
        <w:ind w:left="180" w:firstLine="652"/>
        <w:spacing w:after="0" w:line="247" w:lineRule="auto"/>
        <w:tabs>
          <w:tab w:leader="none" w:pos="139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or sale of Capital Stock in, or Indebtedness or other securities of, an Unrestricted Subsidiary or any other disposition of Capital Stock, Indebtedness or other securities of an Unrestricted Subsidiary or an Immaterial Subsidiary (other than, in each case, any Unrestricted Subsidiary the primary assets of which are cash or Cash Equivalents);</w:t>
      </w:r>
    </w:p>
    <w:p>
      <w:pPr>
        <w:spacing w:after="0" w:line="167" w:lineRule="exact"/>
        <w:rPr>
          <w:rFonts w:ascii="Times New Roman" w:cs="Times New Roman" w:eastAsia="Times New Roman" w:hAnsi="Times New Roman"/>
          <w:sz w:val="20"/>
          <w:szCs w:val="20"/>
          <w:color w:val="auto"/>
        </w:rPr>
      </w:pPr>
    </w:p>
    <w:p>
      <w:pPr>
        <w:jc w:val="both"/>
        <w:ind w:left="180" w:firstLine="652"/>
        <w:spacing w:after="0" w:line="239" w:lineRule="auto"/>
        <w:tabs>
          <w:tab w:leader="none" w:pos="138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Capital Stock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20"/>
          </w:cols>
          <w:pgMar w:left="1440" w:top="1089" w:right="339" w:bottom="1440" w:gutter="0" w:footer="0" w:header="0"/>
        </w:sectPr>
      </w:pPr>
    </w:p>
    <w:bookmarkStart w:id="102" w:name="page103"/>
    <w:bookmarkEnd w:id="102"/>
    <w:p>
      <w:pPr>
        <w:jc w:val="both"/>
        <w:ind w:left="180" w:firstLine="652"/>
        <w:spacing w:after="0" w:line="239" w:lineRule="auto"/>
        <w:tabs>
          <w:tab w:leader="none" w:pos="138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w:t>
      </w:r>
    </w:p>
    <w:p>
      <w:pPr>
        <w:spacing w:after="0" w:line="191" w:lineRule="exact"/>
        <w:rPr>
          <w:rFonts w:ascii="Times New Roman" w:cs="Times New Roman" w:eastAsia="Times New Roman" w:hAnsi="Times New Roman"/>
          <w:sz w:val="20"/>
          <w:szCs w:val="20"/>
          <w:color w:val="auto"/>
        </w:rPr>
      </w:pPr>
    </w:p>
    <w:p>
      <w:pPr>
        <w:jc w:val="both"/>
        <w:ind w:left="180" w:firstLine="652"/>
        <w:spacing w:after="0" w:line="244" w:lineRule="auto"/>
        <w:tabs>
          <w:tab w:leader="none" w:pos="137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disposition of Securitization Assets or Receivables Assets, or participations therein, in connection with any Qualified Securitization Financing or Receivables Facility permitted hereunder or (ii) the disposition of an account receivable in connection with the collection or compromise thereof in the ordinary course of business or consistent with past practice;</w:t>
      </w:r>
    </w:p>
    <w:p>
      <w:pPr>
        <w:spacing w:after="0" w:line="171" w:lineRule="exact"/>
        <w:rPr>
          <w:rFonts w:ascii="Times New Roman" w:cs="Times New Roman" w:eastAsia="Times New Roman" w:hAnsi="Times New Roman"/>
          <w:sz w:val="20"/>
          <w:szCs w:val="20"/>
          <w:color w:val="auto"/>
        </w:rPr>
      </w:pPr>
    </w:p>
    <w:p>
      <w:pPr>
        <w:jc w:val="both"/>
        <w:ind w:left="180" w:firstLine="652"/>
        <w:spacing w:after="0" w:line="244" w:lineRule="auto"/>
        <w:tabs>
          <w:tab w:leader="none" w:pos="157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financing transaction with respect to property constructed, acquired, leased, renewed, relocated, expanded, replaced, repaired, maintained, upgraded or improved (including any reconstruction, refurbishment, renovation and/or development of real property) by the Borrower or any Restricted Subsidiary after the Closing Date, including Sale and Leaseback Transactions and asset securitizations, permitted by this Agreement;</w:t>
      </w:r>
    </w:p>
    <w:p>
      <w:pPr>
        <w:spacing w:after="0" w:line="171" w:lineRule="exact"/>
        <w:rPr>
          <w:rFonts w:ascii="Times New Roman" w:cs="Times New Roman" w:eastAsia="Times New Roman" w:hAnsi="Times New Roman"/>
          <w:sz w:val="20"/>
          <w:szCs w:val="20"/>
          <w:color w:val="auto"/>
        </w:rPr>
      </w:pPr>
    </w:p>
    <w:p>
      <w:pPr>
        <w:jc w:val="both"/>
        <w:ind w:left="180" w:firstLine="652"/>
        <w:spacing w:after="0" w:line="247" w:lineRule="auto"/>
        <w:tabs>
          <w:tab w:leader="none" w:pos="138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or other dispositions of Investments in joint ventures or similar entities, to the extent required by, or made pursuant to customary buy/sell arrangements between the parties set forth in the joint venture arrangements or other similar binding arrangements;</w:t>
      </w:r>
    </w:p>
    <w:p>
      <w:pPr>
        <w:spacing w:after="0" w:line="167" w:lineRule="exact"/>
        <w:rPr>
          <w:rFonts w:ascii="Times New Roman" w:cs="Times New Roman" w:eastAsia="Times New Roman" w:hAnsi="Times New Roman"/>
          <w:sz w:val="20"/>
          <w:szCs w:val="20"/>
          <w:color w:val="auto"/>
        </w:rPr>
      </w:pPr>
    </w:p>
    <w:p>
      <w:pPr>
        <w:ind w:left="180" w:firstLine="652"/>
        <w:spacing w:after="0" w:line="269" w:lineRule="auto"/>
        <w:tabs>
          <w:tab w:leader="none" w:pos="135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or waiver of contractual rights or the settlement, release, surrender or waiver of contractual, tort, litigation or other claims of any kind;</w:t>
      </w:r>
    </w:p>
    <w:p>
      <w:pPr>
        <w:spacing w:after="0" w:line="145" w:lineRule="exact"/>
        <w:rPr>
          <w:rFonts w:ascii="Times New Roman" w:cs="Times New Roman" w:eastAsia="Times New Roman" w:hAnsi="Times New Roman"/>
          <w:sz w:val="20"/>
          <w:szCs w:val="20"/>
          <w:color w:val="auto"/>
        </w:rPr>
      </w:pPr>
    </w:p>
    <w:p>
      <w:pPr>
        <w:ind w:left="1360" w:hanging="528"/>
        <w:spacing w:after="0"/>
        <w:tabs>
          <w:tab w:leader="none" w:pos="13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of any Cash Management Obligations or Hedging Obligations;</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39" w:lineRule="auto"/>
        <w:tabs>
          <w:tab w:leader="none" w:pos="141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or assets subject to Casualty Events upon receipt of the net proceeds of such Casualty Event; provided that any Cash Equivalents received by Holdings, the Borrower or any of the Restricted Subsidiaries in respect of such Casualty Event shall be deemed to be Net Available Cash of an Asset Disposition and such Net Available Cash shall be applied in accordance with Section 2.05(b)(ii);</w:t>
      </w:r>
    </w:p>
    <w:p>
      <w:pPr>
        <w:spacing w:after="0" w:line="177" w:lineRule="exact"/>
        <w:rPr>
          <w:rFonts w:ascii="Times New Roman" w:cs="Times New Roman" w:eastAsia="Times New Roman" w:hAnsi="Times New Roman"/>
          <w:sz w:val="20"/>
          <w:szCs w:val="20"/>
          <w:color w:val="auto"/>
        </w:rPr>
      </w:pPr>
    </w:p>
    <w:p>
      <w:pPr>
        <w:jc w:val="both"/>
        <w:ind w:left="180" w:firstLine="652"/>
        <w:spacing w:after="0" w:line="247" w:lineRule="auto"/>
        <w:tabs>
          <w:tab w:leader="none" w:pos="148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property or assets, if the acquisition of such property or assets was financed with Excluded Contributions and the proceeds of such sale are used to make a Restricted Payment pursuant to Section 7.06(b)(xii)(b) hereof;</w:t>
      </w:r>
    </w:p>
    <w:p>
      <w:pPr>
        <w:spacing w:after="0" w:line="167" w:lineRule="exact"/>
        <w:rPr>
          <w:rFonts w:ascii="Times New Roman" w:cs="Times New Roman" w:eastAsia="Times New Roman" w:hAnsi="Times New Roman"/>
          <w:sz w:val="20"/>
          <w:szCs w:val="20"/>
          <w:color w:val="auto"/>
        </w:rPr>
      </w:pPr>
    </w:p>
    <w:p>
      <w:pPr>
        <w:jc w:val="both"/>
        <w:ind w:left="180" w:firstLine="652"/>
        <w:spacing w:after="0" w:line="239" w:lineRule="auto"/>
        <w:tabs>
          <w:tab w:leader="none" w:pos="14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 assets (including Capital Stock) acquired in a transaction after the Closing Date, which assets are not useful in the core or principal business of the Borrower and the Restricted Subsidiaries or (ii) assets (including Capital Stock) made in connection with the approval of any applicable antitrust authority or otherwise necessary or advisable in the reasonable determination of the Borrower to consummate any acquisition, provided that, in each case, such disposition shall have been consummated within 365 days of such acquisition;</w:t>
      </w:r>
    </w:p>
    <w:p>
      <w:pPr>
        <w:spacing w:after="0" w:line="191" w:lineRule="exact"/>
        <w:rPr>
          <w:rFonts w:ascii="Times New Roman" w:cs="Times New Roman" w:eastAsia="Times New Roman" w:hAnsi="Times New Roman"/>
          <w:sz w:val="20"/>
          <w:szCs w:val="20"/>
          <w:color w:val="auto"/>
        </w:rPr>
      </w:pPr>
    </w:p>
    <w:p>
      <w:pPr>
        <w:ind w:left="1360" w:hanging="528"/>
        <w:spacing w:after="0"/>
        <w:tabs>
          <w:tab w:leader="none" w:pos="13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connection with the Transactions;</w:t>
      </w:r>
    </w:p>
    <w:p>
      <w:pPr>
        <w:spacing w:after="0" w:line="202" w:lineRule="exact"/>
        <w:rPr>
          <w:rFonts w:ascii="Times New Roman" w:cs="Times New Roman" w:eastAsia="Times New Roman" w:hAnsi="Times New Roman"/>
          <w:sz w:val="20"/>
          <w:szCs w:val="20"/>
          <w:color w:val="auto"/>
        </w:rPr>
      </w:pPr>
    </w:p>
    <w:p>
      <w:pPr>
        <w:ind w:left="180" w:firstLine="652"/>
        <w:spacing w:after="0" w:line="255" w:lineRule="auto"/>
        <w:tabs>
          <w:tab w:leader="none" w:pos="138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non-revenue producing assets to a Person who is providing services related to such assets, the provision of which have been or are to be outsourced by the Borrower or any Restricted Subsidiary to such Person;</w:t>
      </w:r>
    </w:p>
    <w:p>
      <w:pPr>
        <w:spacing w:after="0" w:line="172" w:lineRule="exact"/>
        <w:rPr>
          <w:rFonts w:ascii="Times New Roman" w:cs="Times New Roman" w:eastAsia="Times New Roman" w:hAnsi="Times New Roman"/>
          <w:sz w:val="20"/>
          <w:szCs w:val="20"/>
          <w:color w:val="auto"/>
        </w:rPr>
      </w:pPr>
    </w:p>
    <w:p>
      <w:pPr>
        <w:ind w:left="1360" w:hanging="528"/>
        <w:spacing w:after="0"/>
        <w:tabs>
          <w:tab w:leader="none" w:pos="13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and Leaseback Transactions not prohibited under Section 7.03 hereof;</w:t>
      </w:r>
    </w:p>
    <w:p>
      <w:pPr>
        <w:spacing w:after="0" w:line="202" w:lineRule="exact"/>
        <w:rPr>
          <w:rFonts w:ascii="Times New Roman" w:cs="Times New Roman" w:eastAsia="Times New Roman" w:hAnsi="Times New Roman"/>
          <w:sz w:val="20"/>
          <w:szCs w:val="20"/>
          <w:color w:val="auto"/>
        </w:rPr>
      </w:pPr>
    </w:p>
    <w:p>
      <w:pPr>
        <w:ind w:left="180" w:firstLine="652"/>
        <w:spacing w:after="0" w:line="269" w:lineRule="auto"/>
        <w:tabs>
          <w:tab w:leader="none" w:pos="153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noncore assets acquired in connection with a Permitted Acquisition or other permitted investment or made to obtain the approval of an anti-trust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20"/>
          </w:cols>
          <w:pgMar w:left="1440" w:top="1089" w:right="339" w:bottom="1440" w:gutter="0" w:footer="0" w:header="0"/>
        </w:sectPr>
      </w:pPr>
    </w:p>
    <w:bookmarkStart w:id="103" w:name="page104"/>
    <w:bookmarkEnd w:id="103"/>
    <w:p>
      <w:pPr>
        <w:ind w:left="1300"/>
        <w:spacing w:after="0" w:line="255" w:lineRule="auto"/>
        <w:rPr>
          <w:sz w:val="20"/>
          <w:szCs w:val="20"/>
          <w:color w:val="auto"/>
        </w:rPr>
      </w:pPr>
      <w:r>
        <w:rPr>
          <w:rFonts w:ascii="Times New Roman" w:cs="Times New Roman" w:eastAsia="Times New Roman" w:hAnsi="Times New Roman"/>
          <w:sz w:val="20"/>
          <w:szCs w:val="20"/>
          <w:color w:val="auto"/>
        </w:rPr>
        <w:t>authority, and any other disposition to comply with any order of an agency, authority or other regulatory body or any applicable law or regulation;</w:t>
      </w:r>
    </w:p>
    <w:p>
      <w:pPr>
        <w:spacing w:after="0" w:line="173" w:lineRule="exact"/>
        <w:rPr>
          <w:sz w:val="20"/>
          <w:szCs w:val="20"/>
          <w:color w:val="auto"/>
        </w:rPr>
      </w:pPr>
    </w:p>
    <w:p>
      <w:pPr>
        <w:ind w:left="2500" w:hanging="548"/>
        <w:spacing w:after="0"/>
        <w:tabs>
          <w:tab w:leader="none" w:pos="25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not constituting Collateral of less than the greater of $50.0 million and 20% of LTM</w:t>
      </w:r>
    </w:p>
    <w:p>
      <w:pPr>
        <w:spacing w:after="0" w:line="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 an Assignment and Assumption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and (b) in the case of any assignment of Term Loans in connection with a Permitted Debt Exchange conducted in accordance with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such form of assignment (if any) as may have been requested by the Administrative Agent in accordance with </w:t>
      </w:r>
      <w:r>
        <w:rPr>
          <w:rFonts w:ascii="Times New Roman" w:cs="Times New Roman" w:eastAsia="Times New Roman" w:hAnsi="Times New Roman"/>
          <w:sz w:val="22"/>
          <w:szCs w:val="22"/>
          <w:u w:val="single" w:color="auto"/>
          <w:color w:val="auto"/>
        </w:rPr>
        <w:t>Section 2.17(a)(viii)</w:t>
      </w:r>
      <w:r>
        <w:rPr>
          <w:rFonts w:ascii="Times New Roman" w:cs="Times New Roman" w:eastAsia="Times New Roman" w:hAnsi="Times New Roman"/>
          <w:sz w:val="22"/>
          <w:szCs w:val="22"/>
          <w:color w:val="auto"/>
        </w:rPr>
        <w:t xml:space="preserve"> or, in each case, any other form (including electronic documentation generated by MarkitClear or other electronic platform) approved by the Administrative Agent.</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Attorney Costs</w:t>
      </w:r>
      <w:r>
        <w:rPr>
          <w:rFonts w:ascii="Times New Roman" w:cs="Times New Roman" w:eastAsia="Times New Roman" w:hAnsi="Times New Roman"/>
          <w:sz w:val="22"/>
          <w:szCs w:val="22"/>
          <w:color w:val="auto"/>
        </w:rPr>
        <w:t>” means and includes all reasonable fees, expenses and disbursements of any law firm or other external legal counsel.</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sheets of the Borrower (or a passive holding company of the Borrower) and related statements of income, changes in equity and cash flows of the Borrower (or a passive holding company of the Borrower) for the fiscal years ended December 31, 2019 and December 31, 2018.</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Auto-Extension Letter of Credit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with respect to the Revolving Credit Facility, the period from and after the Closing Date to but excluding the earlier of the Maturity Date for the Revolving Credit Facility and the date of termination of the Revolving Credit Commitments in accordance with the provisions of this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w:t>
      </w:r>
    </w:p>
    <w:p>
      <w:pPr>
        <w:spacing w:after="0" w:line="28" w:lineRule="exact"/>
        <w:rPr>
          <w:sz w:val="20"/>
          <w:szCs w:val="20"/>
          <w:color w:val="auto"/>
        </w:rPr>
      </w:pPr>
    </w:p>
    <w:p>
      <w:pPr>
        <w:jc w:val="both"/>
        <w:ind w:firstLine="8"/>
        <w:spacing w:after="0" w:line="235" w:lineRule="auto"/>
        <w:tabs>
          <w:tab w:leader="none" w:pos="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3.02(f).</w:t>
      </w:r>
    </w:p>
    <w:p>
      <w:pPr>
        <w:spacing w:after="0" w:line="17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 Code, as amended, or any similar federal or state law for the relief of debtors.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089" w:right="339" w:bottom="1440" w:gutter="0" w:footer="0" w:header="0"/>
        </w:sectPr>
      </w:pPr>
    </w:p>
    <w:bookmarkStart w:id="104" w:name="page105"/>
    <w:bookmarkEnd w:id="104"/>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w:t>
      </w:r>
    </w:p>
    <w:p>
      <w:pPr>
        <w:spacing w:after="0" w:line="18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a fluctuating interest rate per annum in effect from time to time, which rate per annum shall at all times be equal to the highest of: (a) the Prime Rate in effect on such day; (b) ½ of 1.00% per annum above the Federal Funds Rate in effect on such day; and (c) Adjusted Term SOFR for a one month Interest Period on such day (or if such day is not a Business Day, the immediately preceding Business Day), after giving effect to any applicable “floor”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1.00%. Any change in the Base Rate for U.S. Dollar-denominated Loans due to a change in the Prime Rate, the Federal Funds Rate or Adjusted Term SOFR shall be effective from and including the Closing Date of such change in the Prime Rate, the Federal Funds Rate or Adjusted Term SOFR, respectively. If the Base Rate is being used as an alternate rate of interest pursuant to Section 3.02 (for the avoidance of doubt, only until an amendment to the applicable rate of interest has become effective in accordance with the terms of this Agreement), then the Base Rate shall be the greater of clauses (a) and (b) above and shall be determined without reference to clause (c) above. For the avoidance of doubt, if the Base Rate as determined pursuant to the foregoing would be less than 1.50%, such rate shall be deemed to be 1.50% for purposes of this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at a rate based on the Base Rate.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19"/>
          <w:szCs w:val="19"/>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w:t>
      </w:r>
    </w:p>
    <w:p>
      <w:pPr>
        <w:spacing w:after="0" w:line="15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syndicated credit facilities and (ii) the related Benchmark Replacement Adjustment; provided that, if such Benchmark Replacement as so determined would be less than 0.50%, with respect to Revolving Credit Loans and Initial Term Loans, the Benchmark Replacement will be deemed to be 0.50% for the purposes of this Agreement and the other Loan Documents.</w:t>
      </w:r>
    </w:p>
    <w:p>
      <w:pPr>
        <w:spacing w:after="0" w:line="174"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if any, that has been selected by the Administrative Agent and the Borrower giving due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084" w:right="339" w:bottom="1440" w:gutter="0" w:footer="0" w:header="0"/>
        </w:sectPr>
      </w:pPr>
    </w:p>
    <w:bookmarkStart w:id="105" w:name="page106"/>
    <w:bookmarkEnd w:id="105"/>
    <w:p>
      <w:pPr>
        <w:jc w:val="both"/>
        <w:spacing w:after="0" w:line="238" w:lineRule="auto"/>
        <w:rPr>
          <w:sz w:val="20"/>
          <w:szCs w:val="20"/>
          <w:color w:val="auto"/>
        </w:rPr>
      </w:pPr>
      <w:r>
        <w:rPr>
          <w:rFonts w:ascii="Times New Roman" w:cs="Times New Roman" w:eastAsia="Times New Roman" w:hAnsi="Times New Roman"/>
          <w:sz w:val="22"/>
          <w:szCs w:val="22"/>
          <w:color w:val="auto"/>
        </w:rPr>
        <w:t>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77"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a date and time determined by the Administrative Agent, which date shall be no later than the earliest to occur of the following events with respect to the then-current Benchmark:</w:t>
      </w:r>
    </w:p>
    <w:p>
      <w:pPr>
        <w:spacing w:after="0" w:line="172" w:lineRule="exact"/>
        <w:rPr>
          <w:sz w:val="20"/>
          <w:szCs w:val="20"/>
          <w:color w:val="auto"/>
        </w:rPr>
      </w:pPr>
    </w:p>
    <w:p>
      <w:pPr>
        <w:jc w:val="both"/>
        <w:ind w:left="660" w:hanging="328"/>
        <w:spacing w:after="0" w:line="239" w:lineRule="auto"/>
        <w:tabs>
          <w:tab w:leader="none" w:pos="65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0"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6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left="580" w:firstLine="724"/>
        <w:spacing w:after="0" w:line="238" w:lineRule="auto"/>
        <w:tabs>
          <w:tab w:leader="none" w:pos="194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63" w:lineRule="exact"/>
        <w:rPr>
          <w:rFonts w:ascii="Times New Roman" w:cs="Times New Roman" w:eastAsia="Times New Roman" w:hAnsi="Times New Roman"/>
          <w:sz w:val="20"/>
          <w:szCs w:val="20"/>
          <w:color w:val="auto"/>
        </w:rPr>
      </w:pPr>
    </w:p>
    <w:p>
      <w:pPr>
        <w:jc w:val="both"/>
        <w:ind w:left="580" w:firstLine="724"/>
        <w:spacing w:after="0"/>
        <w:tabs>
          <w:tab w:leader="none" w:pos="19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w:t>
      </w:r>
      <w:r>
        <w:rPr>
          <w:rFonts w:ascii="Times New Roman" w:cs="Times New Roman" w:eastAsia="Times New Roman" w:hAnsi="Times New Roman"/>
          <w:sz w:val="19"/>
          <w:szCs w:val="19"/>
          <w:color w:val="auto"/>
        </w:rPr>
        <w:t>h component),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that, at the time of such statement or publication, there is 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084" w:right="339" w:bottom="1440" w:gutter="0" w:footer="0" w:header="0"/>
        </w:sectPr>
      </w:pPr>
    </w:p>
    <w:bookmarkStart w:id="106" w:name="page107"/>
    <w:bookmarkEnd w:id="106"/>
    <w:p>
      <w:pPr>
        <w:jc w:val="both"/>
        <w:ind w:left="580" w:firstLine="724"/>
        <w:spacing w:after="0" w:line="239" w:lineRule="auto"/>
        <w:tabs>
          <w:tab w:leader="none" w:pos="194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public statement or publication of information by the regulatory supervisor for the administrato</w:t>
      </w:r>
      <w:r>
        <w:rPr>
          <w:rFonts w:ascii="Times New Roman" w:cs="Times New Roman" w:eastAsia="Times New Roman" w:hAnsi="Times New Roman"/>
          <w:sz w:val="19"/>
          <w:szCs w:val="19"/>
          <w:color w:val="auto"/>
        </w:rPr>
        <w:t>r of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Benchmark (or the published component used in the calculation thereof) announcing that all Available Tenors of such Benchmark (or such component thereof) are not, or as of a specified future date will not be, representative.</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3.02 and (b) ending at the time that a Benchmark Replacement has replaced the then-current Benchmark for all purposes hereunder and under any Loan Document in accordance with Section 3.02.</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w:t>
      </w:r>
      <w:r>
        <w:rPr>
          <w:rFonts w:ascii="Times New Roman" w:cs="Times New Roman" w:eastAsia="Times New Roman" w:hAnsi="Times New Roman"/>
          <w:sz w:val="22"/>
          <w:szCs w:val="22"/>
          <w:color w:val="auto"/>
        </w:rPr>
        <w:t>ership Regulation” means 31 C.F.R. § 1010.230.</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7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(1) with respect to the Borrower or any corporation, the board of directors or managers, as applicable, of the corporation, or any duly authorized committee thereof; (2) with respect to any partnership, the board of directors or other governing body of the general partner, as applicable, of the partnership or any duly authorized committee thereof; (3) with respect to a limited liability company, the managing member or members or any duly authorized controlling committee thereof; and (4)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Borrower.</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has the meaning specified in Section 6.02.</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Loans of the same Class, Type and currency, made, converted or continued on the same date and, in the case of SOFR Loans, as to which a single Interest Period is in effect.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Minimum</w:t>
      </w:r>
      <w:r>
        <w:rPr>
          <w:rFonts w:ascii="Times New Roman" w:cs="Times New Roman" w:eastAsia="Times New Roman" w:hAnsi="Times New Roman"/>
          <w:sz w:val="22"/>
          <w:szCs w:val="22"/>
          <w:color w:val="auto"/>
        </w:rPr>
        <w:t>” means in the case of a Borrowing denominated in Dollars,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084" w:right="339"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Multiple</w:t>
      </w:r>
      <w:r>
        <w:rPr>
          <w:rFonts w:ascii="Times New Roman" w:cs="Times New Roman" w:eastAsia="Times New Roman" w:hAnsi="Times New Roman"/>
          <w:sz w:val="22"/>
          <w:szCs w:val="22"/>
          <w:color w:val="auto"/>
        </w:rPr>
        <w:t>” means in the case of a Borrowing denominated in Dollars, $100,000.</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New York City are authorized or required by law to remain closed; provided, that, when used in connection with a SOFR Loan, the term “Business Day” shall mean a U.S. Government Securities Business Day.</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Successor</w:t>
      </w:r>
      <w:r>
        <w:rPr>
          <w:rFonts w:ascii="Times New Roman" w:cs="Times New Roman" w:eastAsia="Times New Roman" w:hAnsi="Times New Roman"/>
          <w:sz w:val="22"/>
          <w:szCs w:val="22"/>
          <w:color w:val="auto"/>
        </w:rPr>
        <w:t>” means (i) any former Subsidiary of Holdings and (ii) any Person that, after the Closing Date, has acquired, merged or consolidated with a Subsidiary of Holdings (that results in such Subsidiary ceasing to be a Subsidiary of Holdings), or acquired (in one transaction or a series of transactions) all or substantially all of the property and assets or business of a Subsidiary or assets constituting a business unit, line of business or division of a Subsidiary of Holdings.</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17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means an obligation that is required to be classified and accounted for as a capitalized lease (and, for the avoidance of doubt, not a straight-line or operating lease) for financial reporting purposes in accordance with GAAP.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provided, that notwithstanding any other provision contained herein, for all purposes under this Agreement and the other Loan Documents, all obligations of the Borrower and the Restricted Subsidiaries that are or would be characterized as an operating lease prior to the issuance by the Financial Accounting Standards Board on February 25, 2016 of an Accounting Standards Update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w:t>
      </w:r>
    </w:p>
    <w:p>
      <w:pPr>
        <w:spacing w:after="0" w:line="18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Software Expenditures</w:t>
      </w:r>
      <w:r>
        <w:rPr>
          <w:rFonts w:ascii="Times New Roman" w:cs="Times New Roman" w:eastAsia="Times New Roman" w:hAnsi="Times New Roman"/>
          <w:sz w:val="22"/>
          <w:szCs w:val="22"/>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80"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Captive Insurance Subsidiary</w:t>
      </w:r>
      <w:r>
        <w:rPr>
          <w:rFonts w:ascii="Times New Roman" w:cs="Times New Roman" w:eastAsia="Times New Roman" w:hAnsi="Times New Roman"/>
          <w:sz w:val="22"/>
          <w:szCs w:val="22"/>
          <w:color w:val="auto"/>
        </w:rPr>
        <w:t>” means any Subsidiary of the Borrower that is subject to regulation as an insurance company (or any Subsidiary thereof).</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has the meaning specified in Section 2.03(f).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has the meaning specified in Section 2.03(f).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types of Investments, to the extent owned by Holdings or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Subsidiary:</w:t>
      </w:r>
    </w:p>
    <w:p>
      <w:pPr>
        <w:spacing w:after="0" w:line="182" w:lineRule="exact"/>
        <w:rPr>
          <w:sz w:val="20"/>
          <w:szCs w:val="20"/>
          <w:color w:val="auto"/>
        </w:rPr>
      </w:pPr>
    </w:p>
    <w:p>
      <w:pPr>
        <w:ind w:firstLine="1304"/>
        <w:spacing w:after="0" w:line="258" w:lineRule="auto"/>
        <w:tabs>
          <w:tab w:leader="none" w:pos="160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or any other foreign currency held by Holdings and its Restricted Subsidiaries from time to time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084" w:right="339" w:bottom="1440" w:gutter="0" w:footer="0" w:header="0"/>
        </w:sectPr>
      </w:pPr>
    </w:p>
    <w:bookmarkStart w:id="108" w:name="page109"/>
    <w:bookmarkEnd w:id="108"/>
    <w:p>
      <w:pPr>
        <w:jc w:val="both"/>
        <w:ind w:firstLine="1304"/>
        <w:spacing w:after="0" w:line="244" w:lineRule="auto"/>
        <w:tabs>
          <w:tab w:leader="none" w:pos="160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government or any agency or instrumentality thereof (provided that the full faith and credit obligation of the United States is pledged in support thereof), with maturities of 36 months or less from the date of acquisition;</w:t>
      </w:r>
    </w:p>
    <w:p>
      <w:pPr>
        <w:spacing w:after="0" w:line="173" w:lineRule="exact"/>
        <w:rPr>
          <w:rFonts w:ascii="Times New Roman" w:cs="Times New Roman" w:eastAsia="Times New Roman" w:hAnsi="Times New Roman"/>
          <w:sz w:val="22"/>
          <w:szCs w:val="22"/>
          <w:color w:val="auto"/>
        </w:rPr>
      </w:pPr>
    </w:p>
    <w:p>
      <w:pPr>
        <w:jc w:val="both"/>
        <w:ind w:firstLine="1304"/>
        <w:spacing w:after="0" w:line="247" w:lineRule="exact"/>
        <w:tabs>
          <w:tab w:leader="none" w:pos="16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eurodollar time deposits, overnight bank deposits, demand deposits or bankers’ acceptances having maturities of not more than two years from the date of acquisition thereof issued by any lender or by any bank, trust company or any other financial institution (a) whose commercial paper is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or the equivalent thereof by S&amp;P or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or the equivalent thereof by Moody’s (or, if at the time, neither S&amp;P nor Moody’s is rating such obligations, then a comparable rating from another Nationally Recognized Statistical Rating Organization selected by the Borrower) or (b) having combined capital and surplus in excess of $100.0 million;</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for underlying securities of the types described in clauses (2), (3), (7) and (8) entered into with any bank meeting the qualifications specified in clause (3) above;</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two years or less from the date of acquisition backed by standby letters of credit issued by any Person meeting the qualifications in clause (3) above;</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and variable or fixed rate notes issued by any Person meeting the qualifications specified in clause (3)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spacing w:after="0" w:line="118" w:lineRule="exact"/>
        <w:rPr>
          <w:rFonts w:ascii="Times New Roman" w:cs="Times New Roman" w:eastAsia="Times New Roman" w:hAnsi="Times New Roman"/>
          <w:sz w:val="22"/>
          <w:szCs w:val="22"/>
          <w:color w:val="auto"/>
        </w:rPr>
      </w:pPr>
    </w:p>
    <w:p>
      <w:pPr>
        <w:jc w:val="both"/>
        <w:ind w:firstLine="1304"/>
        <w:spacing w:after="0" w:line="272" w:lineRule="exact"/>
        <w:tabs>
          <w:tab w:leader="none" w:pos="16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short-term money market and similar securities, having a rating of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or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from either S&amp;P or Moody’s, respectively, (or, if at the time, neither S&amp;P nor Moody’s is rating such obligations, then a comparable rating from another Nationally Recognized Statistical Rating Organization selected by the Borrower);</w:t>
      </w:r>
    </w:p>
    <w:p>
      <w:pPr>
        <w:spacing w:after="0" w:line="17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Borrower) with maturities of not more than two years from the date of acquisition;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Borrower);</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71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Foreign Subsidiary: (i) obligations of the national government of the country in which such Foreign Subsidiary maintains its chief executive office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084" w:right="339" w:bottom="1440" w:gutter="0" w:footer="0" w:header="0"/>
        </w:sectPr>
      </w:pPr>
    </w:p>
    <w:bookmarkStart w:id="109" w:name="page110"/>
    <w:bookmarkEnd w:id="109"/>
    <w:p>
      <w:pPr>
        <w:jc w:val="both"/>
        <w:spacing w:after="0" w:line="246" w:lineRule="exact"/>
        <w:rPr>
          <w:sz w:val="20"/>
          <w:szCs w:val="20"/>
          <w:color w:val="auto"/>
        </w:rPr>
      </w:pPr>
      <w:r>
        <w:rPr>
          <w:rFonts w:ascii="Times New Roman" w:cs="Times New Roman" w:eastAsia="Times New Roman" w:hAnsi="Times New Roman"/>
          <w:sz w:val="22"/>
          <w:szCs w:val="22"/>
          <w:color w:val="auto"/>
        </w:rPr>
        <w:t>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or the equivalent thereof or from Moody’s is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or the equivalent thereof (any such bank being an “Approved Foreign Bank”), and in each case with maturities of not more than 270 days from the date of acquisition and (iii) the equivalent of demand deposit accounts which are maintained with an Approved Foreign Bank;</w:t>
      </w:r>
    </w:p>
    <w:p>
      <w:pPr>
        <w:spacing w:after="0" w:line="182" w:lineRule="exact"/>
        <w:rPr>
          <w:sz w:val="20"/>
          <w:szCs w:val="20"/>
          <w:color w:val="auto"/>
        </w:rPr>
      </w:pPr>
    </w:p>
    <w:p>
      <w:pPr>
        <w:jc w:val="both"/>
        <w:ind w:firstLine="1304"/>
        <w:spacing w:after="0" w:line="239" w:lineRule="auto"/>
        <w:tabs>
          <w:tab w:leader="none" w:pos="171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or Preferred Stock issued by Persons with a rating of “BBB-” or higher from S&amp;P or “Baa3” or higher from Moody’s (or, if at the time, neither S&amp;P nor Moody’s is rating such obligations, then a comparable rating from another Nationally Recognized Statistical Rating Organization selected by the Borrower) with maturities of 24 months or less from the date of acquisition;</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2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bills of exchange issued in the United States of America, Canada, the United Kingdom, Japan or a member state of the European Union eligible for rediscount at the relevant central bank and accepted by a bank (or any dematerialized equivalent);</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2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clause (3) above;</w:t>
      </w:r>
    </w:p>
    <w:p>
      <w:pPr>
        <w:spacing w:after="0" w:line="17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Equivalents or instruments similar to those referred to in the clauses above denominated in U.S. Dollars;</w:t>
      </w:r>
    </w:p>
    <w:p>
      <w:pPr>
        <w:spacing w:after="0" w:line="217" w:lineRule="exact"/>
        <w:rPr>
          <w:rFonts w:ascii="Times New Roman" w:cs="Times New Roman" w:eastAsia="Times New Roman" w:hAnsi="Times New Roman"/>
          <w:sz w:val="21"/>
          <w:szCs w:val="21"/>
          <w:color w:val="auto"/>
        </w:rPr>
      </w:pPr>
    </w:p>
    <w:p>
      <w:pPr>
        <w:ind w:firstLine="1304"/>
        <w:spacing w:after="0" w:line="258" w:lineRule="auto"/>
        <w:tabs>
          <w:tab w:leader="none" w:pos="173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company, money market, enhanced high yield, pooled or other investment fund investing 90.0% or more of its assets in instruments of the types specified in the clauses above;</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71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clause (2) of the definition of “Asset Disposition,” any marketable securities portfolio owned by Holdings and its Subsidiaries on the Closing Date; and</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72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card receivables and debit card receivables in the ordinary course of business or consistent with past practice, so long as such are considered cash equivalents under GAAP and are so reflected on Holdings’ balance sheet.</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In the case of Investments by any Foreign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the clauses above and in this paragraph.</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Notwithstanding the foregoing, Cash Equivalents shall include amounts denominated in currencies other than those set forth in clause (1) above, provided that such amounts are converted into any currency listed in clause (1) as promptly as practicable and in any event within 10 Business Days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084" w:right="339" w:bottom="1440" w:gutter="0" w:footer="0" w:header="0"/>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2"/>
          <w:szCs w:val="22"/>
          <w:color w:val="auto"/>
        </w:rPr>
        <w:t>following the receipt of such amounts. For the avoidance of doubt, any items identified as Cash Equivalents under this definition (other than clause (17) above) will be deemed to be Cash Equivalents for all purposes under this Agreement regardless of the treatment of such items under GAAP.</w:t>
      </w:r>
    </w:p>
    <w:p>
      <w:pPr>
        <w:spacing w:after="0" w:line="17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Bank</w:t>
      </w:r>
      <w:r>
        <w:rPr>
          <w:rFonts w:ascii="Times New Roman" w:cs="Times New Roman" w:eastAsia="Times New Roman" w:hAnsi="Times New Roman"/>
          <w:sz w:val="22"/>
          <w:szCs w:val="22"/>
          <w:color w:val="auto"/>
        </w:rPr>
        <w:t>” means (x) any Lender, any Agent or any Affiliate of the foregoing on the Closing Date or at the time it provides any treasury, depository, credit or debit card, purchasing card, and/or cash management services or automated clearing house transfers of funds to Holdings or any Restricted Subsidiary or conducting any automated clearing house transfers of funds and (y) any other Person designated by the Borrower by written notice to the Administrative Agent that enters into any treasury, depository, credit or debit card, purchasing card, and/or cash management services or automated clearing house transfers of funds to Holdings or any Restricted Subsidiary or conducting any automated clearing house transfers of funds; provided that, in the case of this clause (y), such Person shall have appointed the Administrative Agent and the Collateral Agent as its agents under the applicable Loan Documents and agreed to be bound by the provisions of Article IX in favor of the Agent as if it were a Lender and shall have been deemed to have made the representations and warranties set forth in Section 9.06 in favor of the Agents, in each case, pursuant to a writing substantially in the form of Exhibit O or otherwise reasonably satisfactory to the Borrower and the Administrative Agent.</w:t>
      </w:r>
    </w:p>
    <w:p>
      <w:pPr>
        <w:spacing w:after="0" w:line="18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Obligations</w:t>
      </w:r>
      <w:r>
        <w:rPr>
          <w:rFonts w:ascii="Times New Roman" w:cs="Times New Roman" w:eastAsia="Times New Roman" w:hAnsi="Times New Roman"/>
          <w:sz w:val="22"/>
          <w:szCs w:val="22"/>
          <w:color w:val="auto"/>
        </w:rPr>
        <w:t>” means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means any event that gives rise to the receipt by Holdings or any Restricted Subsidiary of any insurance proceeds or condemnation awards in respect of any equipment, assets or real property (including any improvements thereon) to replace or repair such equipment, assets or real property.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“controlled foreign corporation” within the meaning of Section 957 of the Code.</w:t>
      </w:r>
    </w:p>
    <w:p>
      <w:pPr>
        <w:spacing w:after="0" w:line="19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084" w:right="339" w:bottom="1440" w:gutter="0" w:footer="0" w:header="0"/>
        </w:sectPr>
      </w:pPr>
    </w:p>
    <w:bookmarkStart w:id="111" w:name="page112"/>
    <w:bookmarkEnd w:id="111"/>
    <w:p>
      <w:pPr>
        <w:jc w:val="both"/>
        <w:ind w:firstLine="1304"/>
        <w:spacing w:after="0" w:line="239" w:lineRule="auto"/>
        <w:tabs>
          <w:tab w:leader="none" w:pos="160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prior to the consummation of an IPO, the Permitted Holders shall cease to control and own, directly or indirectly, of record and beneficially (as defined in Rules 13(d)-3 and 13(d)-5 under the Exchange Act or any successor provisions) more than 50% of the voting interests (for the election of directors) in the outstanding voting securities having ordinary voting power for the election of directors of Holdings; or</w:t>
      </w:r>
    </w:p>
    <w:p>
      <w:pPr>
        <w:spacing w:after="0" w:line="180"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1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following the consummation of an IPO, Holdings becomes aware of (by way of a report or any other filing pursuant to Section 13(d) of the Exchange Act, proxy, vote, written notice or otherwise) any “person” (as such terms are used in Sections 13(d) and 14(d) of the Exchange Act as in effect on the Closing Date), other than one or more Permitted Holders or a Parent Entity, that is or becomes the “beneficial owner” (as defined in Rules 13d-3 and 13d-5 of the Exchange Act as in effect on the Closing Date) of more than 50.0% of the total voting power of the Voting Stock of Holdings;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so long as Holdings is a Subsidiary of any Parent Entity (and such Parent Entity shall have provided “know your customer” information reasonably requested by the Administrative Agent and the Lenders and such Parent Entity is not a Sanctioned Person), no Person shall be deemed to be or become a beneficial owner of more than 50.0% of the total voting power of the Voting Stock of Holdings unless such Person shall be or become a beneficial owner of more than 50.0%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w:t>
      </w:r>
    </w:p>
    <w:p>
      <w:pPr>
        <w:spacing w:after="0" w:line="183" w:lineRule="exact"/>
        <w:rPr>
          <w:rFonts w:ascii="Times New Roman" w:cs="Times New Roman" w:eastAsia="Times New Roman" w:hAnsi="Times New Roman"/>
          <w:sz w:val="22"/>
          <w:szCs w:val="22"/>
          <w:color w:val="auto"/>
        </w:rPr>
      </w:pPr>
    </w:p>
    <w:p>
      <w:pPr>
        <w:ind w:firstLine="1304"/>
        <w:spacing w:after="0" w:line="245" w:lineRule="auto"/>
        <w:tabs>
          <w:tab w:leader="none" w:pos="164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shall fail to beneficially own, directly (or indirectly through one or more Intermediate Holding Companies), 100% of the issued and outstanding Capital Stock of the Borrower.</w:t>
      </w:r>
    </w:p>
    <w:p>
      <w:pPr>
        <w:spacing w:after="0" w:line="17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Notwithstanding the foregoing, a Change in Control shall be deemed not to have occurred pursuant to clauses (1) or (2) above at any time if the Permitted Holders have, at such time, directly or indirectly, the right or the ability, by voting power, contract or otherwise, to elect or designate for election at least a majority of the board of directors of Holdings.</w:t>
      </w:r>
    </w:p>
    <w:p>
      <w:pPr>
        <w:spacing w:after="0" w:line="17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Holdings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provided in the definition of “Consolidated EBITDA”.</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(a) when used with respect to Lenders, refers to whether such Lenders hold a particular Class of Commitments or Loans, (b) when used with respect to Commitments, refers to whether such Commitments are Revolving Credit Commitments, Initial Term Commitments, Extended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084" w:right="339" w:bottom="1440" w:gutter="0" w:footer="0" w:header="0"/>
        </w:sectPr>
      </w:pPr>
    </w:p>
    <w:bookmarkStart w:id="112" w:name="page113"/>
    <w:bookmarkEnd w:id="112"/>
    <w:p>
      <w:pPr>
        <w:jc w:val="both"/>
        <w:spacing w:after="0" w:line="238" w:lineRule="auto"/>
        <w:rPr>
          <w:sz w:val="20"/>
          <w:szCs w:val="20"/>
          <w:color w:val="auto"/>
        </w:rPr>
      </w:pPr>
      <w:r>
        <w:rPr>
          <w:rFonts w:ascii="Times New Roman" w:cs="Times New Roman" w:eastAsia="Times New Roman" w:hAnsi="Times New Roman"/>
          <w:sz w:val="22"/>
          <w:szCs w:val="22"/>
          <w:color w:val="auto"/>
        </w:rPr>
        <w:t>Revolving Credit Commitments that are designated as an additional Class of Commitments, or commitments in respect of any Incremental Term Loans that are designated as an additional Class of Term Loans and (c) when used with respect to Loans or a Borrowing, refers to whether such Loans, or the Loans comprising such Borrowing, are Revolving Credit Loans, Initial Term Loans, Extended Term Loans that are designated as an additional Class of Term Loans, Incremental Term Loans that are designated as an additional Class of Term Loans and any Loans made pursuant to any other Class of Commitments.</w:t>
      </w:r>
    </w:p>
    <w:p>
      <w:pPr>
        <w:spacing w:after="0" w:line="177"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all the conditions precedent in Section 4.01 are satisfied or waived in accordance with Section 10.01.</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means a certificate of a Responsible Officer of the Borrower substantially in the form attached as Exhibit D-1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Refinancing</w:t>
      </w:r>
      <w:r>
        <w:rPr>
          <w:rFonts w:ascii="Times New Roman" w:cs="Times New Roman" w:eastAsia="Times New Roman" w:hAnsi="Times New Roman"/>
          <w:sz w:val="22"/>
          <w:szCs w:val="22"/>
          <w:color w:val="auto"/>
        </w:rPr>
        <w:t>” has the meaning specified in Section 4.01(k).</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Distribution</w:t>
      </w:r>
      <w:r>
        <w:rPr>
          <w:rFonts w:ascii="Times New Roman" w:cs="Times New Roman" w:eastAsia="Times New Roman" w:hAnsi="Times New Roman"/>
          <w:sz w:val="22"/>
          <w:szCs w:val="22"/>
          <w:color w:val="auto"/>
        </w:rPr>
        <w:t>” means those certain distributions on or shortly after the Closing Date from the Borrower to Holdings and from there to direct or indirect equity holders of Holdings in an aggregate amount not to exceed $575.0 million plus amounts funded from cash on hand at Holdings and its Subsidiaries.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the “Collateral” as defined in the Collateral Documents and all other property of whatever kind and nature pledged or charged as collateral under any Collateral Document, and shall include the Mortgaged Properties.</w:t>
      </w:r>
    </w:p>
    <w:p>
      <w:pPr>
        <w:spacing w:after="0" w:line="158"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Goldman Sachs, in its capacity as collateral agent under any of the Loan Documents, or any successor collateral agent appointed in accordance with Section 9.09.</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and Guarantee Requirement</w:t>
      </w:r>
      <w:r>
        <w:rPr>
          <w:rFonts w:ascii="Times New Roman" w:cs="Times New Roman" w:eastAsia="Times New Roman" w:hAnsi="Times New Roman"/>
          <w:sz w:val="22"/>
          <w:szCs w:val="22"/>
          <w:color w:val="auto"/>
        </w:rPr>
        <w:t>” means, at any time, the requirement that:</w:t>
      </w:r>
    </w:p>
    <w:p>
      <w:pPr>
        <w:spacing w:after="0" w:line="206" w:lineRule="exact"/>
        <w:rPr>
          <w:sz w:val="20"/>
          <w:szCs w:val="20"/>
          <w:color w:val="auto"/>
        </w:rPr>
      </w:pPr>
    </w:p>
    <w:p>
      <w:pPr>
        <w:jc w:val="both"/>
        <w:ind w:firstLine="1304"/>
        <w:spacing w:after="0" w:line="244" w:lineRule="auto"/>
        <w:tabs>
          <w:tab w:leader="none" w:pos="159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Agent shall have received each Collateral Document required to be delivered (i) on the Closing Date pursuant to </w:t>
      </w:r>
      <w:r>
        <w:rPr>
          <w:rFonts w:ascii="Times New Roman" w:cs="Times New Roman" w:eastAsia="Times New Roman" w:hAnsi="Times New Roman"/>
          <w:sz w:val="22"/>
          <w:szCs w:val="22"/>
          <w:u w:val="single" w:color="auto"/>
          <w:color w:val="auto"/>
        </w:rPr>
        <w:t>Section 4.01(a)(iii)</w:t>
      </w:r>
      <w:r>
        <w:rPr>
          <w:rFonts w:ascii="Times New Roman" w:cs="Times New Roman" w:eastAsia="Times New Roman" w:hAnsi="Times New Roman"/>
          <w:sz w:val="22"/>
          <w:szCs w:val="22"/>
          <w:color w:val="auto"/>
        </w:rPr>
        <w:t xml:space="preserve"> or (ii) thereafter pursuant to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or the Collateral Documents, in each case, duly executed by each Loan Party that is a party thereto;</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1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Secured Obligations shall have been unconditionally guaranteed (the “</w:t>
      </w:r>
      <w:r>
        <w:rPr>
          <w:rFonts w:ascii="Times New Roman" w:cs="Times New Roman" w:eastAsia="Times New Roman" w:hAnsi="Times New Roman"/>
          <w:sz w:val="22"/>
          <w:szCs w:val="22"/>
          <w:u w:val="single" w:color="auto"/>
          <w:color w:val="auto"/>
        </w:rPr>
        <w:t>Guarantees</w:t>
      </w:r>
      <w:r>
        <w:rPr>
          <w:rFonts w:ascii="Times New Roman" w:cs="Times New Roman" w:eastAsia="Times New Roman" w:hAnsi="Times New Roman"/>
          <w:sz w:val="22"/>
          <w:szCs w:val="22"/>
          <w:color w:val="auto"/>
        </w:rPr>
        <w:t xml:space="preserve">”), jointly and severally, by Holdings, any Intermediate Holding Company and each Restricted Subsidiary (other than Borrower) that is a Material Subsidiary (other than any Excluded Subsidiary) including as of the Closing Date those that are listed on </w:t>
      </w:r>
      <w:r>
        <w:rPr>
          <w:rFonts w:ascii="Times New Roman" w:cs="Times New Roman" w:eastAsia="Times New Roman" w:hAnsi="Times New Roman"/>
          <w:sz w:val="22"/>
          <w:szCs w:val="22"/>
          <w:u w:val="single" w:color="auto"/>
          <w:color w:val="auto"/>
        </w:rPr>
        <w:t>Schedule 1.01D</w:t>
      </w:r>
      <w:r>
        <w:rPr>
          <w:rFonts w:ascii="Times New Roman" w:cs="Times New Roman" w:eastAsia="Times New Roman" w:hAnsi="Times New Roman"/>
          <w:sz w:val="22"/>
          <w:szCs w:val="22"/>
          <w:color w:val="auto"/>
        </w:rPr>
        <w:t xml:space="preserve"> to the Closing Date Certificate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Secured Obligations and the Guarantees shall have been secured pursuant to, the Security Agreement or other applicable Collateral Document by a valid and perfected security interest subject to no other Liens (other than Permitted Liens) in (i) all the Capital Stock of the Borrower and each Intermediate Holding Company, if any, and (ii) all Capital Stock (other than Excluded Equity) held directly by Holdings, the Borrower or any Guarantor in any Wholly Owned Subsidiary, in each case, subject to no Liens other than Permitted Liens.</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provided hereunder or under any Collateral Document, the Secured Obligations and the Guarantees shall have been secured by a perfected security interest (other than in the case of mortgages, to the extent such security interest may be perfected by delivering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084" w:right="339" w:bottom="1440" w:gutter="0" w:footer="0" w:header="0"/>
        </w:sectPr>
      </w:pPr>
    </w:p>
    <w:bookmarkStart w:id="113" w:name="page114"/>
    <w:bookmarkEnd w:id="113"/>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certificated securities and instruments, filing personal property financing statements or other similar documentation, or in the case of IP Rights, to the extent such security interest may be perfected by making any necessary filings with the United States Patent and Trademark Office or United States Copyright Office, as applicable) in, and mortgages on, substantially all tangible and intangible assets of Holdings, the Borrower, any Intermediate Holding Company and each other Guarantor (including, without limitation, accounts receivable, inventory, equipment, investment property, intellectual property, intercompany receivables, other general intangibles and proceeds of the foregoing but excluding real property (other than with respect to Material Real Property), Excluded Property and IP Rights subsisting outside the United States), in each case, with the priority required by the Collateral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security interests in real property shall be limited to the Mortgaged Properties;</w:t>
      </w:r>
    </w:p>
    <w:p>
      <w:pPr>
        <w:spacing w:after="0" w:line="174" w:lineRule="exact"/>
        <w:rPr>
          <w:sz w:val="20"/>
          <w:szCs w:val="20"/>
          <w:color w:val="auto"/>
        </w:rPr>
      </w:pPr>
    </w:p>
    <w:p>
      <w:pPr>
        <w:jc w:val="both"/>
        <w:ind w:firstLine="1304"/>
        <w:spacing w:after="0" w:line="238" w:lineRule="auto"/>
        <w:tabs>
          <w:tab w:leader="none" w:pos="160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Guarantor is added that is organized in a Covered Jurisdiction other than the United States, such Loan Party shall grant a perfected lien on substantially all of its assets (other than (i) Excluded Property and (ii) IP Rights subsisting outside of the United States) pursuant to arrangements reasonably agreed between the Administrative Agent and the Borrower subject to customary limitations in such Covered Jurisdiction to be reasonably agreed to between the Administrative Agent and the Borrower;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42" w:lineRule="auto"/>
        <w:tabs>
          <w:tab w:leader="none" w:pos="159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shall have received (i) counterparts of a Mortgage with respect to each Material Real Property required to be delivered pursuant to Section 4.03(b) (if applicable), Section 6.10, and/or Section 6.12, as applicable, duly executed and delivered by the record owner of such property, (ii) a title insurance policy for such Mortgaged Property (or marked-up title insurance commitment having the effect of a title insurance policy) (the “</w:t>
      </w:r>
      <w:r>
        <w:rPr>
          <w:rFonts w:ascii="Times New Roman" w:cs="Times New Roman" w:eastAsia="Times New Roman" w:hAnsi="Times New Roman"/>
          <w:sz w:val="21"/>
          <w:szCs w:val="21"/>
          <w:u w:val="single" w:color="auto"/>
          <w:color w:val="auto"/>
        </w:rPr>
        <w:t>Mortgage Policies</w:t>
      </w:r>
      <w:r>
        <w:rPr>
          <w:rFonts w:ascii="Times New Roman" w:cs="Times New Roman" w:eastAsia="Times New Roman" w:hAnsi="Times New Roman"/>
          <w:sz w:val="21"/>
          <w:szCs w:val="21"/>
          <w:color w:val="auto"/>
        </w:rPr>
        <w:t xml:space="preserve">”), in an amount reasonably acceptable to the Collateral Agent, insuring the Lien of each such Mortgage as a valid first priority Lien on the property described therein, free of any other Liens except Permitted Liens, together with such endorsements, coinsurance and reinsurance as the Collateral Agent may reasonably request and to the extent available in each applicable jurisdiction, (iii) a Survey with respect to each Mortgaged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Survey shall not be required to the extent that (A) an existing survey together with an “affidavit of no change” satisfactory to the Title Company is delivered to the Collateral Agent and the Title Company and (B) the Title Company removes the standard survey exception and provides reasonable and customary survey-related endorsements and other coverages in the applicable Mortgage Policy, (iv) a completed “Life-of-Loan” Federal Emergency Management Agency standard flood hazard determination with respect to each Mortgaged Property (together with a notice about special flood hazard area status and flood disaster assistance duly executed by the applicable Loan Party relating thereto), (v) a copy of, or a certificate as to coverage under, and a declaration page relating to, any flood insurance policies required by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hereof, each of which (A) shall be endorsed or otherwise amended to name the Collateral Agent as mortgagee and loss payee, (B) shall (1) identify the addresses of each property located in a special flood hazard area, (2) indicate the applicable flood zone designation, the flood insurance coverage and the deductible relating thereto and (3) provide that the insurer will give the Collateral Agent thirty (30) days written notice of cancellation, non-renewal or change in coverage and (4) shall be otherwise in form and substance reasonably satisfactory to the Collateral Agent, (vi) if reasonably requested by the Collateral Agent, a legal opinion regarding due authorization, execution and enforceability of such Mortgage from counsel to the Borrower in form and substance reasonably acceptable to the Collateral Agent, and (vii) such existing abstracts, existing appraisals, and other documents as the Collateral Agent may reasonably request with respect to any such Mortgaged Property;</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foregoing definition shall not require the creation or perfection of pledges of or security interests in particular assets if and for so long as the Administrative Agent and the Borrower agree in writing that the cost of creating or perfecting such pledges or security interests in such assets or obtaining title insurance or surveys in respect of such assets (including adverse tax consequences) outweighs the benefits to be obtained by the Lenders therefrom.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084" w:right="339" w:bottom="1440" w:gutter="0" w:footer="0" w:header="0"/>
        </w:sectPr>
      </w:pPr>
    </w:p>
    <w:bookmarkStart w:id="114" w:name="page115"/>
    <w:bookmarkEnd w:id="114"/>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Administrative Agent may grant extensions of time for the perfection of security interests in or the obtaining of title insurance and surveys with respect to particular assets (including extensions beyond the Closing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Collateral Documents.</w:t>
      </w:r>
    </w:p>
    <w:p>
      <w:pPr>
        <w:spacing w:after="0" w:line="177"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Notwithstanding the foregoing provisions of this definition or anything in this Agreement or any other Loan Document to the contrary:</w:t>
      </w:r>
    </w:p>
    <w:p>
      <w:pPr>
        <w:spacing w:after="0" w:line="172" w:lineRule="exact"/>
        <w:rPr>
          <w:sz w:val="20"/>
          <w:szCs w:val="20"/>
          <w:color w:val="auto"/>
        </w:rPr>
      </w:pPr>
    </w:p>
    <w:p>
      <w:pPr>
        <w:jc w:val="both"/>
        <w:ind w:firstLine="1304"/>
        <w:spacing w:after="0" w:line="244" w:lineRule="auto"/>
        <w:tabs>
          <w:tab w:leader="none" w:pos="165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required to be granted from time to time pursuant to the Collateral and Guarantee Requirement shall be subject to exceptions and limitations set forth in the Collateral Documents and, to the extent appropriate in the applicable jurisdiction, as agreed between the Administrative Agent and the Borrower;</w:t>
      </w:r>
    </w:p>
    <w:p>
      <w:pPr>
        <w:spacing w:after="0" w:line="173"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Guarantee Requirement shall not apply to any Excluded Property;</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6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deposit account control agreement, securities account control agreement or other control agreements or control arrangements shall be required with respect to any deposit account, securities account or other asset specifically requiring perfection through control agreements;</w:t>
      </w:r>
    </w:p>
    <w:p>
      <w:pPr>
        <w:spacing w:after="0" w:line="17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7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actions in any jurisdiction other than the Covered Jurisdictions or that are necessary to comply with the Laws of any jurisdiction other than the Covered Jurisdictions shall be required in order to create any security interests in assets located, titled, registered or filed outside of the Covered Jurisdictions and no actions in any jurisdiction shall be required in order to create any security interests in IP Rights, subsisting outside the United States (it being understood that there shall be no security agreements, pledge agreements, or share charge (or mortgage) agreements governed under the Laws of any jurisdiction other than the Covered Jurisdictions);</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7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statutory limitations, financial assistance, corporate benefit, capital maintenance rules, fraudulent preference, “thin capitalization” rules, retention of title claims and similar principle may limit the ability of a Foreign Subsidiary to provide a Guarantee or Collateral or may require that the Guarantee or Collateral be limited by an amount or otherwise, in each case as reasonably determined by the Borrower in consultation with the Administrative Agent; and</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61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stock certificates of Immaterial Subsidiaries or Unrestricted Subsidiaries shall be required to be delivered to the Collateral Agent.</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means, collectively, the Security Agreement, the Mortgages, collateral assignments, Security Agreement Supplements, security agreements, pledge agreements or other similar agreements delivered to the Collateral Agent and the Lenders pursuant to </w:t>
      </w:r>
      <w:r>
        <w:rPr>
          <w:rFonts w:ascii="Times New Roman" w:cs="Times New Roman" w:eastAsia="Times New Roman" w:hAnsi="Times New Roman"/>
          <w:sz w:val="22"/>
          <w:szCs w:val="22"/>
          <w:u w:val="single" w:color="auto"/>
          <w:color w:val="auto"/>
        </w:rPr>
        <w:t>Section 4.01(a)(iii)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the Guaranty and each of the other agreements, instruments or documents that creates or purports to create a Lien or Guarantee in favor of the Collateral Agent for the benefit of the Secured Parties.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Term Commitment, a Revolving Credit Commitment, or an Extended Revolving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has the meaning provided in Section 2.09(a).</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Letter</w:t>
      </w:r>
      <w:r>
        <w:rPr>
          <w:rFonts w:ascii="Times New Roman" w:cs="Times New Roman" w:eastAsia="Times New Roman" w:hAnsi="Times New Roman"/>
          <w:sz w:val="22"/>
          <w:szCs w:val="22"/>
          <w:color w:val="auto"/>
        </w:rPr>
        <w:t>” means the means the Amended and Restated Commitment Letter dated September 23, 2020 by and among the Borrower, Goldman Sachs, Barclays Bank PLC</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084" w:right="339" w:bottom="1440" w:gutter="0" w:footer="0" w:header="0"/>
        </w:sectPr>
      </w:pPr>
    </w:p>
    <w:bookmarkStart w:id="115" w:name="page116"/>
    <w:bookmarkEnd w:id="115"/>
    <w:p>
      <w:pPr>
        <w:jc w:val="both"/>
        <w:spacing w:after="0" w:line="233" w:lineRule="auto"/>
        <w:rPr>
          <w:sz w:val="20"/>
          <w:szCs w:val="20"/>
          <w:color w:val="auto"/>
        </w:rPr>
      </w:pPr>
      <w:r>
        <w:rPr>
          <w:rFonts w:ascii="Times New Roman" w:cs="Times New Roman" w:eastAsia="Times New Roman" w:hAnsi="Times New Roman"/>
          <w:sz w:val="22"/>
          <w:szCs w:val="22"/>
          <w:color w:val="auto"/>
        </w:rPr>
        <w:t>(“Barclays”), Credit Suisse AG, Cayman Islands Branch (acting through such of its affiliates or branches as it deems appropriate, “</w:t>
      </w:r>
      <w:r>
        <w:rPr>
          <w:rFonts w:ascii="Times New Roman" w:cs="Times New Roman" w:eastAsia="Times New Roman" w:hAnsi="Times New Roman"/>
          <w:sz w:val="22"/>
          <w:szCs w:val="22"/>
          <w:u w:val="single" w:color="auto"/>
          <w:color w:val="auto"/>
        </w:rPr>
        <w:t>CS</w:t>
      </w:r>
      <w:r>
        <w:rPr>
          <w:rFonts w:ascii="Times New Roman" w:cs="Times New Roman" w:eastAsia="Times New Roman" w:hAnsi="Times New Roman"/>
          <w:sz w:val="22"/>
          <w:szCs w:val="22"/>
          <w:color w:val="auto"/>
        </w:rPr>
        <w:t>”) and Credit Suisse Loan Funding LLC (“</w:t>
      </w:r>
      <w:r>
        <w:rPr>
          <w:rFonts w:ascii="Times New Roman" w:cs="Times New Roman" w:eastAsia="Times New Roman" w:hAnsi="Times New Roman"/>
          <w:sz w:val="22"/>
          <w:szCs w:val="22"/>
          <w:u w:val="single" w:color="auto"/>
          <w:color w:val="auto"/>
        </w:rPr>
        <w:t>CSLF</w:t>
      </w:r>
      <w:r>
        <w:rPr>
          <w:rFonts w:ascii="Times New Roman" w:cs="Times New Roman" w:eastAsia="Times New Roman" w:hAnsi="Times New Roman"/>
          <w:sz w:val="22"/>
          <w:szCs w:val="22"/>
          <w:color w:val="auto"/>
        </w:rPr>
        <w:t>” and, together with CS and their respective affiliates, “</w:t>
      </w:r>
      <w:r>
        <w:rPr>
          <w:rFonts w:ascii="Times New Roman" w:cs="Times New Roman" w:eastAsia="Times New Roman" w:hAnsi="Times New Roman"/>
          <w:sz w:val="22"/>
          <w:szCs w:val="22"/>
          <w:u w:val="single" w:color="auto"/>
          <w:color w:val="auto"/>
        </w:rPr>
        <w:t>Credit Suisse</w:t>
      </w:r>
      <w:r>
        <w:rPr>
          <w:rFonts w:ascii="Times New Roman" w:cs="Times New Roman" w:eastAsia="Times New Roman" w:hAnsi="Times New Roman"/>
          <w:sz w:val="22"/>
          <w:szCs w:val="22"/>
          <w:color w:val="auto"/>
        </w:rPr>
        <w:t xml:space="preserve"> ”), Guggenheim Securities, LLC (acting through such of its affiliates as it deems appropriate, “</w:t>
      </w:r>
      <w:r>
        <w:rPr>
          <w:rFonts w:ascii="Times New Roman" w:cs="Times New Roman" w:eastAsia="Times New Roman" w:hAnsi="Times New Roman"/>
          <w:sz w:val="22"/>
          <w:szCs w:val="22"/>
          <w:u w:val="single" w:color="auto"/>
          <w:color w:val="auto"/>
        </w:rPr>
        <w:t>Guggenheim Securities</w:t>
      </w:r>
      <w:r>
        <w:rPr>
          <w:rFonts w:ascii="Times New Roman" w:cs="Times New Roman" w:eastAsia="Times New Roman" w:hAnsi="Times New Roman"/>
          <w:sz w:val="22"/>
          <w:szCs w:val="22"/>
          <w:color w:val="auto"/>
        </w:rPr>
        <w:t>”) and each of the financing sources identified on Schedule 2 thereto (collectively, the “</w:t>
      </w:r>
      <w:r>
        <w:rPr>
          <w:rFonts w:ascii="Times New Roman" w:cs="Times New Roman" w:eastAsia="Times New Roman" w:hAnsi="Times New Roman"/>
          <w:sz w:val="22"/>
          <w:szCs w:val="22"/>
          <w:u w:val="single" w:color="auto"/>
          <w:color w:val="auto"/>
        </w:rPr>
        <w:t>Financing Sources</w:t>
      </w:r>
      <w:r>
        <w:rPr>
          <w:rFonts w:ascii="Times New Roman" w:cs="Times New Roman" w:eastAsia="Times New Roman" w:hAnsi="Times New Roman"/>
          <w:sz w:val="22"/>
          <w:szCs w:val="22"/>
          <w:color w:val="auto"/>
        </w:rPr>
        <w:t>”), MUFG Union Bank, N.A. (“</w:t>
      </w:r>
      <w:r>
        <w:rPr>
          <w:rFonts w:ascii="Times New Roman" w:cs="Times New Roman" w:eastAsia="Times New Roman" w:hAnsi="Times New Roman"/>
          <w:sz w:val="22"/>
          <w:szCs w:val="22"/>
          <w:u w:val="single" w:color="auto"/>
          <w:color w:val="auto"/>
        </w:rPr>
        <w:t>MUFG</w:t>
      </w:r>
      <w:r>
        <w:rPr>
          <w:rFonts w:ascii="Times New Roman" w:cs="Times New Roman" w:eastAsia="Times New Roman" w:hAnsi="Times New Roman"/>
          <w:sz w:val="22"/>
          <w:szCs w:val="22"/>
          <w:color w:val="auto"/>
        </w:rPr>
        <w:t>”), Nomura Securities International, Inc. (together with such affiliates as it deems appropriate, “</w:t>
      </w:r>
      <w:r>
        <w:rPr>
          <w:rFonts w:ascii="Times New Roman" w:cs="Times New Roman" w:eastAsia="Times New Roman" w:hAnsi="Times New Roman"/>
          <w:sz w:val="22"/>
          <w:szCs w:val="22"/>
          <w:u w:val="single" w:color="auto"/>
          <w:color w:val="auto"/>
        </w:rPr>
        <w:t>Nomura</w:t>
      </w:r>
      <w:r>
        <w:rPr>
          <w:rFonts w:ascii="Times New Roman" w:cs="Times New Roman" w:eastAsia="Times New Roman" w:hAnsi="Times New Roman"/>
          <w:sz w:val="22"/>
          <w:szCs w:val="22"/>
          <w:color w:val="auto"/>
        </w:rPr>
        <w:t>”), UBS AG Stamford Branch (together with any of its designated affiliates, “</w:t>
      </w:r>
      <w:r>
        <w:rPr>
          <w:rFonts w:ascii="Times New Roman" w:cs="Times New Roman" w:eastAsia="Times New Roman" w:hAnsi="Times New Roman"/>
          <w:sz w:val="22"/>
          <w:szCs w:val="22"/>
          <w:u w:val="single" w:color="auto"/>
          <w:color w:val="auto"/>
        </w:rPr>
        <w:t>UBS AG</w:t>
      </w:r>
      <w:r>
        <w:rPr>
          <w:rFonts w:ascii="Times New Roman" w:cs="Times New Roman" w:eastAsia="Times New Roman" w:hAnsi="Times New Roman"/>
          <w:sz w:val="22"/>
          <w:szCs w:val="22"/>
          <w:color w:val="auto"/>
        </w:rPr>
        <w:t>”), UBS Securities LLC (together with any of its designated affiliates, “</w:t>
      </w:r>
      <w:r>
        <w:rPr>
          <w:rFonts w:ascii="Times New Roman" w:cs="Times New Roman" w:eastAsia="Times New Roman" w:hAnsi="Times New Roman"/>
          <w:sz w:val="22"/>
          <w:szCs w:val="22"/>
          <w:u w:val="single" w:color="auto"/>
          <w:color w:val="auto"/>
        </w:rPr>
        <w:t>UBSS</w:t>
      </w:r>
      <w:r>
        <w:rPr>
          <w:rFonts w:ascii="Times New Roman" w:cs="Times New Roman" w:eastAsia="Times New Roman" w:hAnsi="Times New Roman"/>
          <w:sz w:val="22"/>
          <w:szCs w:val="22"/>
          <w:color w:val="auto"/>
        </w:rPr>
        <w:t>” and together with UBS AG, “</w:t>
      </w:r>
      <w:r>
        <w:rPr>
          <w:rFonts w:ascii="Times New Roman" w:cs="Times New Roman" w:eastAsia="Times New Roman" w:hAnsi="Times New Roman"/>
          <w:sz w:val="22"/>
          <w:szCs w:val="22"/>
          <w:u w:val="single" w:color="auto"/>
          <w:color w:val="auto"/>
        </w:rPr>
        <w:t>UBS</w:t>
      </w:r>
      <w:r>
        <w:rPr>
          <w:rFonts w:ascii="Times New Roman" w:cs="Times New Roman" w:eastAsia="Times New Roman" w:hAnsi="Times New Roman"/>
          <w:sz w:val="22"/>
          <w:szCs w:val="22"/>
          <w:color w:val="auto"/>
        </w:rPr>
        <w:t>”) and Morgan Stanley Senior Funding, Inc. (together with any of its designated affiliates, “</w:t>
      </w:r>
      <w:r>
        <w:rPr>
          <w:rFonts w:ascii="Times New Roman" w:cs="Times New Roman" w:eastAsia="Times New Roman" w:hAnsi="Times New Roman"/>
          <w:sz w:val="22"/>
          <w:szCs w:val="22"/>
          <w:u w:val="single" w:color="auto"/>
          <w:color w:val="auto"/>
        </w:rPr>
        <w:t>MS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Term Borrowing, (b) a Revolving Credit Borrowing, (c) a conversion of Loans from one Type to the other, or (d) a continuation of SOFR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xml:space="preserve">” means the Commodity Exchange Act (7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amended from time to time, and any successor statute.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2.12(c)(ii)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0"/>
          <w:szCs w:val="20"/>
          <w:color w:val="auto"/>
        </w:rPr>
        <w:t>” means, with respect to either the use or administration of Adjusted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w:t>
      </w:r>
    </w:p>
    <w:p>
      <w:pPr>
        <w:spacing w:after="0" w:line="17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Cash Interest Expense</w:t>
      </w:r>
      <w:r>
        <w:rPr>
          <w:rFonts w:ascii="Times New Roman" w:cs="Times New Roman" w:eastAsia="Times New Roman" w:hAnsi="Times New Roman"/>
          <w:sz w:val="22"/>
          <w:szCs w:val="22"/>
          <w:color w:val="auto"/>
        </w:rPr>
        <w:t xml:space="preserve">” shall mean, for </w:t>
      </w:r>
      <w:r>
        <w:rPr>
          <w:rFonts w:ascii="Times New Roman" w:cs="Times New Roman" w:eastAsia="Times New Roman" w:hAnsi="Times New Roman"/>
          <w:sz w:val="19"/>
          <w:szCs w:val="19"/>
          <w:color w:val="auto"/>
        </w:rPr>
        <w:t>any</w:t>
      </w:r>
      <w:r>
        <w:rPr>
          <w:rFonts w:ascii="Times New Roman" w:cs="Times New Roman" w:eastAsia="Times New Roman" w:hAnsi="Times New Roman"/>
          <w:sz w:val="22"/>
          <w:szCs w:val="22"/>
          <w:color w:val="auto"/>
        </w:rPr>
        <w:t xml:space="preserve"> period, the Consolidated Interest Expense excluding any non-cash interest expense of Holdings and its Restricted Subsidiaries for such period, determined on a consolidated basis in accordance with GAAP.</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Depreciation and Amortization Expense</w:t>
      </w:r>
      <w:r>
        <w:rPr>
          <w:rFonts w:ascii="Times New Roman" w:cs="Times New Roman" w:eastAsia="Times New Roman" w:hAnsi="Times New Roman"/>
          <w:sz w:val="21"/>
          <w:szCs w:val="21"/>
          <w:color w:val="auto"/>
        </w:rPr>
        <w:t>” means, with respect to any Person for any period, the total amount of depreciation and amortization expense and capitalized fees, including amortization or write-off of (i) goodwill, software and intangible assets and non-cash organization costs, (ii) deferred financing and debt issuance fees, costs and expenses,</w:t>
      </w:r>
    </w:p>
    <w:p>
      <w:pPr>
        <w:spacing w:after="0" w:line="1" w:lineRule="exact"/>
        <w:rPr>
          <w:sz w:val="20"/>
          <w:szCs w:val="20"/>
          <w:color w:val="auto"/>
        </w:rPr>
      </w:pPr>
    </w:p>
    <w:p>
      <w:pPr>
        <w:jc w:val="both"/>
        <w:ind w:firstLine="8"/>
        <w:spacing w:after="0" w:line="230" w:lineRule="auto"/>
        <w:tabs>
          <w:tab w:leader="none" w:pos="38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Qualified Securitization Financing or Receivables Facility, of such Person and its Restricted Subsidiaries for such period on a consolidated basis and otherwise determined in accordance with GAAP and any write down of assets or asset value carried on the balance sheet.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084" w:right="33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means, with respect to any Person for any period, the Consolidated Net Income of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 for such period:</w:t>
      </w:r>
    </w:p>
    <w:p>
      <w:pPr>
        <w:spacing w:after="0" w:line="200" w:lineRule="exact"/>
        <w:rPr>
          <w:sz w:val="20"/>
          <w:szCs w:val="20"/>
          <w:color w:val="auto"/>
        </w:rPr>
      </w:pPr>
    </w:p>
    <w:p>
      <w:pPr>
        <w:ind w:left="940" w:hanging="284"/>
        <w:spacing w:after="0"/>
        <w:tabs>
          <w:tab w:leader="none" w:pos="9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(without duplication) by:</w:t>
      </w:r>
    </w:p>
    <w:p>
      <w:pPr>
        <w:spacing w:after="0" w:line="229" w:lineRule="exact"/>
        <w:rPr>
          <w:rFonts w:ascii="Times New Roman" w:cs="Times New Roman" w:eastAsia="Times New Roman" w:hAnsi="Times New Roman"/>
          <w:sz w:val="20"/>
          <w:szCs w:val="20"/>
          <w:color w:val="auto"/>
        </w:rPr>
      </w:pPr>
    </w:p>
    <w:p>
      <w:pPr>
        <w:ind w:left="2040" w:hanging="736"/>
        <w:spacing w:after="0" w:line="239" w:lineRule="auto"/>
        <w:tabs>
          <w:tab w:leader="none" w:pos="158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Fixed Charges of such Person for such period (including (w) non-cash rent expense, (x) net losses or any obligations on any Hedging Obligations or other derivative instruments, (y)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 Net Income; plus</w:t>
      </w:r>
    </w:p>
    <w:p>
      <w:pPr>
        <w:spacing w:after="0" w:line="191" w:lineRule="exact"/>
        <w:rPr>
          <w:rFonts w:ascii="Times New Roman" w:cs="Times New Roman" w:eastAsia="Times New Roman" w:hAnsi="Times New Roman"/>
          <w:sz w:val="20"/>
          <w:szCs w:val="20"/>
          <w:color w:val="auto"/>
        </w:rPr>
      </w:pPr>
    </w:p>
    <w:p>
      <w:pPr>
        <w:ind w:left="2040" w:hanging="736"/>
        <w:spacing w:after="0" w:line="236" w:lineRule="auto"/>
        <w:tabs>
          <w:tab w:leader="none" w:pos="162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Taxes and tax expenses (including, without limitation, foreign, federal, state, local, provincial, territorial, local, unitary, franchise, excise, foreign withholding, property, value added, withholding and similar taxes (including any future taxes or other levies which replace or are intended to be in lieu of such taxes and any penalties and interest related to such taxes or arising from tax examinations) paid or accrued during such period, including penalties and interest related thereto or arising from any tax examination), (y) without duplication, any distributions made to a Parent Entity with respect to the foregoing in accordance with </w:t>
      </w:r>
      <w:r>
        <w:rPr>
          <w:rFonts w:ascii="Times New Roman" w:cs="Times New Roman" w:eastAsia="Times New Roman" w:hAnsi="Times New Roman"/>
          <w:sz w:val="21"/>
          <w:szCs w:val="21"/>
          <w:u w:val="single" w:color="auto"/>
          <w:color w:val="auto"/>
        </w:rPr>
        <w:t>Section 7.06(b)(ix)(C)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0"/>
          <w:szCs w:val="20"/>
          <w:color w:val="auto"/>
        </w:rPr>
        <w:t xml:space="preserve"> the net tax expense associated with any adjustments made pursuant to the definition of “Consolidated Net Income” in each case, to the extent deducted (and not added back) in computing Consolidated Net Income; plus</w:t>
      </w:r>
    </w:p>
    <w:p>
      <w:pPr>
        <w:spacing w:after="0" w:line="206" w:lineRule="exact"/>
        <w:rPr>
          <w:rFonts w:ascii="Times New Roman" w:cs="Times New Roman" w:eastAsia="Times New Roman" w:hAnsi="Times New Roman"/>
          <w:sz w:val="20"/>
          <w:szCs w:val="20"/>
          <w:color w:val="auto"/>
        </w:rPr>
      </w:pPr>
    </w:p>
    <w:p>
      <w:pPr>
        <w:ind w:left="2040" w:right="20" w:hanging="736"/>
        <w:spacing w:after="0" w:line="269" w:lineRule="auto"/>
        <w:tabs>
          <w:tab w:leader="none" w:pos="159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Depreciation and Amortization Expense of such Person for such period to the extent deducted (and not added back) in computing Consolidated Net Income; plus</w:t>
      </w:r>
    </w:p>
    <w:p>
      <w:pPr>
        <w:spacing w:after="0" w:line="159" w:lineRule="exact"/>
        <w:rPr>
          <w:rFonts w:ascii="Times New Roman" w:cs="Times New Roman" w:eastAsia="Times New Roman" w:hAnsi="Times New Roman"/>
          <w:sz w:val="20"/>
          <w:szCs w:val="20"/>
          <w:color w:val="auto"/>
        </w:rPr>
      </w:pPr>
    </w:p>
    <w:p>
      <w:pPr>
        <w:ind w:left="2040" w:hanging="736"/>
        <w:spacing w:after="0" w:line="234" w:lineRule="auto"/>
        <w:tabs>
          <w:tab w:leader="none" w:pos="163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(x) Transaction Expenses and (y) fees, costs, expenses or charges (other than Consolidated Depreciation and Amortization Expense, but including, but not limited to rationalization, tax, legal and other expenses) related to any actual, proposed or contemplated Equity Offering (including any expense relating to enhanced accounting functions or other transaction costs associated with becoming a public company, including Public Company Costs), Permitted Investment, Restricted Payment, acquisition, disposition, consolidation, restructuring recapitalization or the incurrence of Indebtedness permitted to be incurred by this Agreement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this Agreement, the Facilities, and other credit facilities, any Securitization Fees, any other Indebtedness permitted to be Incurred under this Agreement or any Equity Offering, and (ii) any amendment, waiver or other modification of this Agreement, Receivables Facilities, Securitization Facilities, any other credit facilities, any Securitization Fees, any other Indebtedness or any Equity Offering, in each case, whether or not consummated, to the extent deducted (and not added back) in computing Consolidated Net Income; plus</w:t>
      </w:r>
    </w:p>
    <w:p>
      <w:pPr>
        <w:spacing w:after="0" w:line="177" w:lineRule="exact"/>
        <w:rPr>
          <w:rFonts w:ascii="Times New Roman" w:cs="Times New Roman" w:eastAsia="Times New Roman" w:hAnsi="Times New Roman"/>
          <w:sz w:val="20"/>
          <w:szCs w:val="20"/>
          <w:color w:val="auto"/>
        </w:rPr>
      </w:pPr>
    </w:p>
    <w:p>
      <w:pPr>
        <w:ind w:left="2040" w:hanging="736"/>
        <w:spacing w:after="0" w:line="256" w:lineRule="auto"/>
        <w:tabs>
          <w:tab w:leader="none" w:pos="1585"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amount of any charge, expense, cost, accrual, reserve or loss of any kind (collectively,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19"/>
          <w:szCs w:val="19"/>
          <w:color w:val="auto"/>
        </w:rPr>
        <w:t>”) attributable to or associated with any carve out, restructuring, integration, implementation of new initiatives, business optimization activities, cost savings, cost rationalization programs, operating expense reductions, synergies and/or similar initiatives, retention, recruiting, relocation, signing bonuses, Charges in connection with a single or one-time event (including without limitation, in connection with facility openings, pre-openings, closings, reconfigurations and/or consolidations), contract termination Charges, stock option and other equity-based compensation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084" w:right="339" w:bottom="1440" w:gutter="0" w:footer="0" w:header="0"/>
        </w:sectPr>
      </w:pPr>
    </w:p>
    <w:bookmarkStart w:id="117" w:name="page118"/>
    <w:bookmarkEnd w:id="117"/>
    <w:p>
      <w:pPr>
        <w:jc w:val="both"/>
        <w:ind w:left="920"/>
        <w:spacing w:after="0" w:line="237" w:lineRule="auto"/>
        <w:rPr>
          <w:sz w:val="20"/>
          <w:szCs w:val="20"/>
          <w:color w:val="auto"/>
        </w:rPr>
      </w:pPr>
      <w:r>
        <w:rPr>
          <w:rFonts w:ascii="Times New Roman" w:cs="Times New Roman" w:eastAsia="Times New Roman" w:hAnsi="Times New Roman"/>
          <w:sz w:val="20"/>
          <w:szCs w:val="20"/>
          <w:color w:val="auto"/>
        </w:rPr>
        <w:t>expenses, any Charges associated with any stock subscription or shareholder agreement or any employee benefit trust, severance costs, any Charges associated with any modification of any pension or post-retirement employee benefit plan, indemnities and expenses, including, without limitation, any one time expense relating to enhanced accounting function or other transaction costs, including those associated with becoming a standalone entity or a public company (including, for the avoidance of doubt, Public Company Costs) and (ii) fees, costs and expenses associated with acquisition related litigation and settlement thereof, in each case, whether or not consummated, to the extent deducted (and not added back) in computing Consolidated Net Income; plus</w:t>
      </w:r>
    </w:p>
    <w:p>
      <w:pPr>
        <w:spacing w:after="0" w:line="192" w:lineRule="exact"/>
        <w:rPr>
          <w:sz w:val="20"/>
          <w:szCs w:val="20"/>
          <w:color w:val="auto"/>
        </w:rPr>
      </w:pPr>
    </w:p>
    <w:p>
      <w:pPr>
        <w:ind w:left="920" w:hanging="736"/>
        <w:spacing w:after="0" w:line="234" w:lineRule="auto"/>
        <w:tabs>
          <w:tab w:leader="none" w:pos="80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non-cash charges, write-downs, write-offs, expenses, losses, increase in expenses or items reducing Consolidated Net Income for such period including (i) non-cash losses on non-cash asset retirement costs, non-cash expense relating to the vesting of warrants, the sale of assets and any write-offs or write-downs, deferred revenue or impairment charges, including such charges, write-downs, write-offs, expenses, losses or other items pushed down to Holdings and its Restricted Subsidiaries), (ii) impairment charges, amortization (or write offs) of financing costs (including debt discount, debt issuance costs and commissions and other fees associated with Indebtedness, including this Agreement) of such Person and its Subsidiaries and/or (iii) the impact of acquisition method accounting adjustment and any non-cash write-up, write-down or write-off with respect to re-valuing assets, inventory (including any impact of changes to inventory valuation policy methods) or other inventory adjustments and liabilities in connection with the Transactions or any Investment, deferred revenue or any effects of adjustments resulting from the application of purchase accounting, purchase price accounting (including any step-up in inventory and loss of profit on the acquired inventory)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if any such non-cash charge, write-down, expense, loss or item represents an accrual or reserve for potential cash items in any future period, (A) the Borrower may elect not to add back such non-cash charge, expense or loss in the current period and (B) to the extent the Borrower elects to add back such non-cash charge, the cash payment in respect thereof in such future period shall be subtracted from Consolidated EBITDA when paid), or other items classified by the Borrower as special items less other non-cash items of income increasing Consolidated Net Income (excluding any amortization of a prepaid cash item that was paid in a prior period or such non-cash item of income to the extent it represents a receipt of cash in any future period); plus</w:t>
      </w:r>
    </w:p>
    <w:p>
      <w:pPr>
        <w:spacing w:after="0" w:line="196" w:lineRule="exact"/>
        <w:rPr>
          <w:rFonts w:ascii="Times New Roman" w:cs="Times New Roman" w:eastAsia="Times New Roman" w:hAnsi="Times New Roman"/>
          <w:sz w:val="20"/>
          <w:szCs w:val="20"/>
          <w:color w:val="auto"/>
        </w:rPr>
      </w:pPr>
    </w:p>
    <w:p>
      <w:pPr>
        <w:ind w:left="920" w:hanging="736"/>
        <w:spacing w:after="0" w:line="235" w:lineRule="auto"/>
        <w:tabs>
          <w:tab w:leader="none" w:pos="73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pro forma “run rate” cost savings, operating expense reductions, other operating improvements and initiatives and synergies (net of actual cash savings) projected by the Borrower to result from action either taken or expected to be taken in connection with, and within 18 months following, (i) any acquisition (including the commencement of activities constituting a business) or material disposition (including the termination or discontinuance of activities constituting a business), in each case of business entities or of properties or assets constituting a division or line of business (including, without limitation, a product line), and/or (ii) any other operational change or initiatives (including, to the extent applicable, in connection with the Transactions or any restructuring) (which, in each of the cases (i), (ii) and (iii) above, will be added to Consolidated EBITDA as so projected until fully realized and calculated on a Pro Forma Basis as though such synergies, cost savings, operating expense reductions, other operating improvements and initiatives had been realized on the first day of such period), net of the amount of actual benefits realized during such period from such actions; or with respect to actions being taken in connection with acquisitions, dispositions, operational changes, initiatives or such other transactions or occurrences described in this clause (g) which occurred prior to the Closing Date, within 18 months of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the amount added to Consolidated EBITDA pursuant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120"/>
          </w:cols>
          <w:pgMar w:left="1440" w:top="1089" w:right="339" w:bottom="1440" w:gutter="0" w:footer="0" w:header="0"/>
        </w:sectPr>
      </w:pPr>
    </w:p>
    <w:bookmarkStart w:id="118" w:name="page119"/>
    <w:bookmarkEnd w:id="118"/>
    <w:p>
      <w:pPr>
        <w:ind w:left="920"/>
        <w:spacing w:after="0" w:line="275" w:lineRule="auto"/>
        <w:rPr>
          <w:sz w:val="20"/>
          <w:szCs w:val="20"/>
          <w:color w:val="auto"/>
        </w:rPr>
      </w:pPr>
      <w:r>
        <w:rPr>
          <w:rFonts w:ascii="Times New Roman" w:cs="Times New Roman" w:eastAsia="Times New Roman" w:hAnsi="Times New Roman"/>
          <w:sz w:val="20"/>
          <w:szCs w:val="20"/>
          <w:color w:val="auto"/>
        </w:rPr>
        <w:t xml:space="preserve">to this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0"/>
          <w:szCs w:val="20"/>
          <w:color w:val="auto"/>
        </w:rPr>
        <w:t xml:space="preserve"> shall not exceed 25% of Consolidated EBITDA (calculated after giving effect to this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0"/>
          <w:szCs w:val="20"/>
          <w:color w:val="auto"/>
        </w:rPr>
        <w:t>) plus</w:t>
      </w:r>
    </w:p>
    <w:p>
      <w:pPr>
        <w:spacing w:after="0" w:line="153" w:lineRule="exact"/>
        <w:rPr>
          <w:sz w:val="20"/>
          <w:szCs w:val="20"/>
          <w:color w:val="auto"/>
        </w:rPr>
      </w:pPr>
    </w:p>
    <w:p>
      <w:pPr>
        <w:ind w:left="920" w:hanging="736"/>
        <w:spacing w:after="0" w:line="237" w:lineRule="auto"/>
        <w:tabs>
          <w:tab w:leader="none" w:pos="47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or expenses incurred by Holdings, the Borrower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in each case to the extent that such costs or expenses are non-cash or otherwise funded with cash proceeds contributed to the capital of the Borrower or net cash proceeds of an issuance of Capital Stock (other than Disqualified Stock) of the Borrower; plus</w:t>
      </w:r>
    </w:p>
    <w:p>
      <w:pPr>
        <w:spacing w:after="0" w:line="194" w:lineRule="exact"/>
        <w:rPr>
          <w:rFonts w:ascii="Times New Roman" w:cs="Times New Roman" w:eastAsia="Times New Roman" w:hAnsi="Times New Roman"/>
          <w:sz w:val="20"/>
          <w:szCs w:val="20"/>
          <w:color w:val="auto"/>
        </w:rPr>
      </w:pPr>
    </w:p>
    <w:p>
      <w:pPr>
        <w:jc w:val="right"/>
        <w:ind w:left="920" w:hanging="736"/>
        <w:spacing w:after="0" w:line="274" w:lineRule="auto"/>
        <w:tabs>
          <w:tab w:leader="none" w:pos="43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plus</w:t>
      </w:r>
    </w:p>
    <w:p>
      <w:pPr>
        <w:spacing w:after="0" w:line="156" w:lineRule="exact"/>
        <w:rPr>
          <w:rFonts w:ascii="Times New Roman" w:cs="Times New Roman" w:eastAsia="Times New Roman" w:hAnsi="Times New Roman"/>
          <w:sz w:val="19"/>
          <w:szCs w:val="19"/>
          <w:color w:val="auto"/>
        </w:rPr>
      </w:pPr>
    </w:p>
    <w:p>
      <w:pPr>
        <w:ind w:left="920" w:hanging="736"/>
        <w:spacing w:after="0" w:line="269" w:lineRule="auto"/>
        <w:tabs>
          <w:tab w:leader="none" w:pos="4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loss included in the Consolidated Net Income attributable to non-controlling or minority interests pursuant to the application of Accounting Standards Codification Topic 810-10-45; plus</w:t>
      </w:r>
    </w:p>
    <w:p>
      <w:pPr>
        <w:spacing w:after="0" w:line="159" w:lineRule="exact"/>
        <w:rPr>
          <w:rFonts w:ascii="Times New Roman" w:cs="Times New Roman" w:eastAsia="Times New Roman" w:hAnsi="Times New Roman"/>
          <w:sz w:val="20"/>
          <w:szCs w:val="20"/>
          <w:color w:val="auto"/>
        </w:rPr>
      </w:pPr>
    </w:p>
    <w:p>
      <w:pPr>
        <w:ind w:left="460" w:hanging="276"/>
        <w:spacing w:after="0"/>
        <w:tabs>
          <w:tab w:leader="none" w:pos="4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non-controlling or minority interest Charges; plus</w:t>
      </w:r>
    </w:p>
    <w:p>
      <w:pPr>
        <w:spacing w:after="0" w:line="229" w:lineRule="exact"/>
        <w:rPr>
          <w:rFonts w:ascii="Times New Roman" w:cs="Times New Roman" w:eastAsia="Times New Roman" w:hAnsi="Times New Roman"/>
          <w:sz w:val="20"/>
          <w:szCs w:val="20"/>
          <w:color w:val="auto"/>
        </w:rPr>
      </w:pPr>
    </w:p>
    <w:p>
      <w:pPr>
        <w:ind w:left="920" w:hanging="736"/>
        <w:spacing w:after="0" w:line="254" w:lineRule="auto"/>
        <w:tabs>
          <w:tab w:leader="none" w:pos="62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or realized losses due to foreign exchange adjustments including, without limitation, losses and expenses in connection with currency and exchange rate fluctuations, and unrealized or realized losses or other obligations from hedging activities or other derivative instruments; plus</w:t>
      </w:r>
    </w:p>
    <w:p>
      <w:pPr>
        <w:spacing w:after="0" w:line="174" w:lineRule="exact"/>
        <w:rPr>
          <w:rFonts w:ascii="Times New Roman" w:cs="Times New Roman" w:eastAsia="Times New Roman" w:hAnsi="Times New Roman"/>
          <w:sz w:val="20"/>
          <w:szCs w:val="20"/>
          <w:color w:val="auto"/>
        </w:rPr>
      </w:pPr>
    </w:p>
    <w:p>
      <w:pPr>
        <w:ind w:left="920" w:hanging="736"/>
        <w:spacing w:after="0" w:line="244" w:lineRule="auto"/>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joint venture, an amount equal to the proportion of those items described in clauses (b) and (c) above relating to such joint venture corresponding to the Borrower’s and the Restricted Subsidiaries’ proportionate share of such joint venture’s Consolidated Net Income (determined as if such joint venture were a Restricted Subsidiary) to the extent deducted (and not added back) in computing Consolidated Net Income; plus</w:t>
      </w:r>
    </w:p>
    <w:p>
      <w:pPr>
        <w:spacing w:after="0" w:line="185" w:lineRule="exact"/>
        <w:rPr>
          <w:rFonts w:ascii="Times New Roman" w:cs="Times New Roman" w:eastAsia="Times New Roman" w:hAnsi="Times New Roman"/>
          <w:sz w:val="20"/>
          <w:szCs w:val="20"/>
          <w:color w:val="auto"/>
        </w:rPr>
      </w:pPr>
    </w:p>
    <w:p>
      <w:pPr>
        <w:ind w:left="920" w:hanging="736"/>
        <w:spacing w:after="0" w:line="239" w:lineRule="auto"/>
        <w:tabs>
          <w:tab w:leader="none" w:pos="50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costs or expenses relating to payments made to stock appreciation or similar rights, stock option, restricted stock, phantom equity, profits interests or other interests or rights holders of Holdings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plus</w:t>
      </w:r>
    </w:p>
    <w:p>
      <w:pPr>
        <w:spacing w:after="0" w:line="204" w:lineRule="exact"/>
        <w:rPr>
          <w:rFonts w:ascii="Times New Roman" w:cs="Times New Roman" w:eastAsia="Times New Roman" w:hAnsi="Times New Roman"/>
          <w:sz w:val="20"/>
          <w:szCs w:val="20"/>
          <w:color w:val="auto"/>
        </w:rPr>
      </w:pPr>
    </w:p>
    <w:p>
      <w:pPr>
        <w:ind w:left="640" w:hanging="456"/>
        <w:spacing w:after="0"/>
        <w:tabs>
          <w:tab w:leader="none" w:pos="64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and add backs (i) contained in the financial model provided to the Administrative Agent on September 13,</w:t>
      </w:r>
    </w:p>
    <w:p>
      <w:pPr>
        <w:spacing w:after="0" w:line="33" w:lineRule="exact"/>
        <w:rPr>
          <w:sz w:val="20"/>
          <w:szCs w:val="20"/>
          <w:color w:val="auto"/>
        </w:rPr>
      </w:pPr>
    </w:p>
    <w:p>
      <w:pPr>
        <w:ind w:left="920"/>
        <w:spacing w:after="0" w:line="225" w:lineRule="auto"/>
        <w:rPr>
          <w:sz w:val="20"/>
          <w:szCs w:val="20"/>
          <w:color w:val="auto"/>
        </w:rPr>
      </w:pPr>
      <w:r>
        <w:rPr>
          <w:rFonts w:ascii="Times New Roman" w:cs="Times New Roman" w:eastAsia="Times New Roman" w:hAnsi="Times New Roman"/>
          <w:sz w:val="20"/>
          <w:szCs w:val="20"/>
          <w:color w:val="auto"/>
        </w:rPr>
        <w:t>2020 and supplemented on September 14, 2020, (ii) reflected in a quality of earnings report made available to the Administrative Agent conducted by financial advisors (which financial advisors are (A) nationally recognized or</w:t>
      </w:r>
    </w:p>
    <w:p>
      <w:pPr>
        <w:spacing w:after="0" w:line="1" w:lineRule="exact"/>
        <w:rPr>
          <w:sz w:val="20"/>
          <w:szCs w:val="20"/>
          <w:color w:val="auto"/>
        </w:rPr>
      </w:pPr>
    </w:p>
    <w:p>
      <w:pPr>
        <w:ind w:left="920" w:right="20" w:hanging="7"/>
        <w:spacing w:after="0" w:line="246" w:lineRule="auto"/>
        <w:tabs>
          <w:tab w:leader="none" w:pos="124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acceptable to the Administrative Agent (it being understood and agreed that any of the “Big Four” accounting firms are acceptable)) and retained by the Borrower or (iii) consistent with Regulation S-X; plus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120"/>
          </w:cols>
          <w:pgMar w:left="1440" w:top="1084" w:right="339" w:bottom="1440" w:gutter="0" w:footer="0" w:header="0"/>
        </w:sectPr>
      </w:pPr>
    </w:p>
    <w:bookmarkStart w:id="119" w:name="page120"/>
    <w:bookmarkEnd w:id="119"/>
    <w:p>
      <w:pPr>
        <w:ind w:left="2040" w:hanging="736"/>
        <w:spacing w:after="0" w:line="239" w:lineRule="auto"/>
        <w:tabs>
          <w:tab w:leader="none" w:pos="163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management, monitoring, consulting, transaction or advisory fees and related indemnities and expenses pursuant to any Sponsor management agreement and payments made to the Sponsor for any financial advisory, financing, underwriting or placement services or in respect of other investment banking activities and payments to outside directors of the Borrower (or its direct or indirect parent companies), in each case, to the extent permitted to be paid under this Agreement; plus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both"/>
        <w:ind w:left="660" w:hanging="4"/>
        <w:spacing w:after="0" w:line="239" w:lineRule="auto"/>
        <w:tabs>
          <w:tab w:leader="none" w:pos="125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(without duplication) by non-cash gains increasing Consolidated Net Income of such Person for such period, excluding any non-cash gains to the extent they represent the reversal of an accrual or reserve for a potential cash item that reduced Consolidated EBITDA in any prior period (other than non-cash gains relating to the application of Accounting Standards Codification Topic 840—Leases) and unrealized or realized gains due to foreign exchange adjustments including, without limitation, gains in connection with currency and exchange rate fluctuations, and unrealized or realized gains or other obligations from hedging activities or other derivative instruments.</w:t>
      </w:r>
    </w:p>
    <w:p>
      <w:pPr>
        <w:spacing w:after="0" w:line="17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First Lien Secured Leverage Ratio</w:t>
      </w:r>
      <w:r>
        <w:rPr>
          <w:rFonts w:ascii="Times New Roman" w:cs="Times New Roman" w:eastAsia="Times New Roman" w:hAnsi="Times New Roman"/>
          <w:sz w:val="22"/>
          <w:szCs w:val="22"/>
          <w:color w:val="auto"/>
        </w:rPr>
        <w:t>” means, as of any date of determination, the ratio of (x) the Consolidated Total Indebtedness that is secured by a Lien on the Collateral (other than a Lien that is junior to the Lien securing the Secured Obligations) as of such date to (y) LTM EBITDA.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with respect to any Person for any period, without duplication, the sum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182" w:lineRule="exact"/>
        <w:rPr>
          <w:sz w:val="20"/>
          <w:szCs w:val="20"/>
          <w:color w:val="auto"/>
        </w:rPr>
      </w:pPr>
    </w:p>
    <w:p>
      <w:pPr>
        <w:jc w:val="both"/>
        <w:ind w:left="660" w:firstLine="644"/>
        <w:spacing w:after="0" w:line="242" w:lineRule="auto"/>
        <w:tabs>
          <w:tab w:leader="none" w:pos="1861"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w:t>
      </w:r>
      <w:r>
        <w:rPr>
          <w:rFonts w:ascii="Times New Roman" w:cs="Times New Roman" w:eastAsia="Times New Roman" w:hAnsi="Times New Roman"/>
          <w:sz w:val="18"/>
          <w:szCs w:val="18"/>
          <w:color w:val="auto"/>
        </w:rPr>
        <w:t>bankers</w:t>
      </w:r>
      <w:r>
        <w:rPr>
          <w:rFonts w:ascii="Times New Roman" w:cs="Times New Roman" w:eastAsia="Times New Roman" w:hAnsi="Times New Roman"/>
          <w:sz w:val="21"/>
          <w:szCs w:val="21"/>
          <w:color w:val="auto"/>
        </w:rPr>
        <w:t xml:space="preserve">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made (less net payments, if any, received), pursuant to interest rate Hedging Obligations with respect to Indebtedness, and excluding (i) Securitization Fees, (ii) penalties and interest relating to taxes, (iii) annual agency or similar fees paid to the administrative agents, collateral agents and other agents under any Facility, (iv) any additional interest or liquidated damages owing pursuant to any registration rights obligations, (v) costs associated with obtaining Hedging Obligations, (vi) accretion or accrual of discounted liabilities other than Indebtedness,</w:t>
      </w:r>
    </w:p>
    <w:p>
      <w:pPr>
        <w:spacing w:after="0" w:line="5" w:lineRule="exact"/>
        <w:rPr>
          <w:rFonts w:ascii="Times New Roman" w:cs="Times New Roman" w:eastAsia="Times New Roman" w:hAnsi="Times New Roman"/>
          <w:sz w:val="21"/>
          <w:szCs w:val="21"/>
          <w:color w:val="auto"/>
        </w:rPr>
      </w:pPr>
    </w:p>
    <w:p>
      <w:pPr>
        <w:jc w:val="both"/>
        <w:ind w:left="660" w:hanging="4"/>
        <w:spacing w:after="0" w:line="230" w:lineRule="auto"/>
        <w:tabs>
          <w:tab w:leader="none" w:pos="108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expense resulting from the discounting of any Indebtedness in connection with the application of recapitalization accounting or purchase accounting in connection with the Transactions or any acquisition, (viii)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the Closing Date, (x) any accretion of accrued interest on discounted liabilities and any prepayment, make-whole or breakage premium, penalty or cost and (xi) interest expense with respect to Indebtedness of any direct or indirect parent of such Person resulting from push-down accounting; </w:t>
      </w:r>
      <w:r>
        <w:rPr>
          <w:rFonts w:ascii="Times New Roman" w:cs="Times New Roman" w:eastAsia="Times New Roman" w:hAnsi="Times New Roman"/>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102" w:right="339" w:bottom="1440" w:gutter="0" w:footer="0" w:header="0"/>
        </w:sectPr>
      </w:pPr>
    </w:p>
    <w:bookmarkStart w:id="120" w:name="page121"/>
    <w:bookmarkEnd w:id="120"/>
    <w:p>
      <w:pPr>
        <w:ind w:left="660" w:firstLine="644"/>
        <w:spacing w:after="0" w:line="258" w:lineRule="auto"/>
        <w:tabs>
          <w:tab w:leader="none" w:pos="16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capitalized interest of such Person and its Restricted Subsidiaries for such period, whether paid or accrued; </w:t>
      </w:r>
      <w:r>
        <w:rPr>
          <w:rFonts w:ascii="Times New Roman" w:cs="Times New Roman" w:eastAsia="Times New Roman" w:hAnsi="Times New Roman"/>
          <w:sz w:val="22"/>
          <w:szCs w:val="22"/>
          <w:i w:val="1"/>
          <w:iCs w:val="1"/>
          <w:color w:val="auto"/>
        </w:rPr>
        <w:t>less</w:t>
      </w:r>
    </w:p>
    <w:p>
      <w:pPr>
        <w:spacing w:after="0" w:line="15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income for such period.</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with respect to any Person for any period, the net income (loss) of such Person and its Restricted Subsidiaries for such period determined on a consolidated basis in accordance with GAAP;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there will not be included in such Consolidated Net Income:</w:t>
      </w:r>
    </w:p>
    <w:p>
      <w:pPr>
        <w:spacing w:after="0" w:line="192" w:lineRule="exact"/>
        <w:rPr>
          <w:sz w:val="20"/>
          <w:szCs w:val="20"/>
          <w:color w:val="auto"/>
        </w:rPr>
      </w:pPr>
    </w:p>
    <w:p>
      <w:pPr>
        <w:ind w:left="1300" w:hanging="644"/>
        <w:spacing w:after="0" w:line="239" w:lineRule="auto"/>
        <w:tabs>
          <w:tab w:leader="none" w:pos="120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(loss) of any Person if such Person is not a Restricted Subsidiary (including any net income (loss) from investments recorded in such Person under the equity method of accounting), except that the Borrower’s receipts from any such Person for such period will be included in such Consolidated Net Income up to the aggregate amount of cash or Cash Equivalents actually distributed (or to the extent converted into cash or Cash Equivalents) by such Person during such period to the Borrower or a Restricted Subsidiary as a dividend or other distribution or return on investment;</w:t>
      </w:r>
    </w:p>
    <w:p>
      <w:pPr>
        <w:spacing w:after="0" w:line="186" w:lineRule="exact"/>
        <w:rPr>
          <w:rFonts w:ascii="Times New Roman" w:cs="Times New Roman" w:eastAsia="Times New Roman" w:hAnsi="Times New Roman"/>
          <w:sz w:val="20"/>
          <w:szCs w:val="20"/>
          <w:color w:val="auto"/>
        </w:rPr>
      </w:pPr>
    </w:p>
    <w:p>
      <w:pPr>
        <w:jc w:val="right"/>
        <w:ind w:left="1300" w:hanging="644"/>
        <w:spacing w:after="0" w:line="250" w:lineRule="auto"/>
        <w:tabs>
          <w:tab w:leader="none" w:pos="11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solely for the purpose of determining the amount available for Restricted Payments under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19"/>
          <w:szCs w:val="19"/>
          <w:color w:val="auto"/>
        </w:rPr>
        <w:t xml:space="preserve"> hereof, any net income (loss) of any Restricted Subsidiary (other than the Guarantors) if such Subsidiary is subject to restrictions, directly or indirectly, on the payment of dividends or the making of distributions by such Restricted Subsidiary, directly or indirectly, to the Borrower or a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w:t>
      </w:r>
    </w:p>
    <w:p>
      <w:pPr>
        <w:spacing w:after="0" w:line="1" w:lineRule="exact"/>
        <w:rPr>
          <w:rFonts w:ascii="Times New Roman" w:cs="Times New Roman" w:eastAsia="Times New Roman" w:hAnsi="Times New Roman"/>
          <w:sz w:val="19"/>
          <w:szCs w:val="19"/>
          <w:color w:val="auto"/>
        </w:rPr>
      </w:pPr>
    </w:p>
    <w:p>
      <w:pPr>
        <w:jc w:val="both"/>
        <w:ind w:left="1300" w:firstLine="4"/>
        <w:spacing w:after="0" w:line="242" w:lineRule="auto"/>
        <w:tabs>
          <w:tab w:leader="none" w:pos="160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pursuant to this Agreement or other similar indebtedness, and (c) restrictions specified in Section </w:t>
      </w:r>
      <w:r>
        <w:rPr>
          <w:rFonts w:ascii="Times New Roman" w:cs="Times New Roman" w:eastAsia="Times New Roman" w:hAnsi="Times New Roman"/>
          <w:sz w:val="21"/>
          <w:szCs w:val="21"/>
          <w:u w:val="single" w:color="auto"/>
          <w:color w:val="auto"/>
        </w:rPr>
        <w:t>7.08(b)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(xiv)(i))</w:t>
      </w:r>
      <w:r>
        <w:rPr>
          <w:rFonts w:ascii="Times New Roman" w:cs="Times New Roman" w:eastAsia="Times New Roman" w:hAnsi="Times New Roman"/>
          <w:sz w:val="19"/>
          <w:szCs w:val="19"/>
          <w:color w:val="auto"/>
        </w:rPr>
        <w:t>, except that Borrower’s equity in the net income of any such Restricted Subsidiary for such period will be included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such Consolidated Net Income up to the aggregate amount of cash or Cash Equivalents actually distributed (or to the extent converted, or having the ability to be converted, into cash or Cash Equivalents) by such Restricted Subsidiary during such period to the Borrower or another Restricted Subsidiary as a dividend or other distribution (subject, in the case of a dividend to another Restricted Subsidiary, to the limitation contained in this clause);</w:t>
      </w:r>
    </w:p>
    <w:p>
      <w:pPr>
        <w:spacing w:after="0" w:line="202" w:lineRule="exact"/>
        <w:rPr>
          <w:rFonts w:ascii="Times New Roman" w:cs="Times New Roman" w:eastAsia="Times New Roman" w:hAnsi="Times New Roman"/>
          <w:sz w:val="20"/>
          <w:szCs w:val="20"/>
          <w:color w:val="auto"/>
        </w:rPr>
      </w:pPr>
    </w:p>
    <w:p>
      <w:pPr>
        <w:ind w:left="1300" w:hanging="644"/>
        <w:spacing w:after="0" w:line="237" w:lineRule="auto"/>
        <w:tabs>
          <w:tab w:leader="none" w:pos="116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loss) (a) in respect of facilities no longer used or useful in the conduct of the business of the Borrower or the Restricted Subsidiaries, abandoned, closed, disposed or discontinued operations (excluding held for sale discontinued operations until actually disposed of) other than in the ordinary course of business, (b) on disposal, abandonment or discontinuance of disposed, abandoned, closed or discontinued operations, and (c) attributable to asset dispositions, abandonments, sales or other dispositions of any asset (including pursuant to any Sale and Leaseback Transaction) or the designation of an Unrestricted Subsidiary other than in the ordinary course of business;</w:t>
      </w:r>
    </w:p>
    <w:p>
      <w:pPr>
        <w:spacing w:after="0" w:line="203" w:lineRule="exact"/>
        <w:rPr>
          <w:rFonts w:ascii="Times New Roman" w:cs="Times New Roman" w:eastAsia="Times New Roman" w:hAnsi="Times New Roman"/>
          <w:sz w:val="20"/>
          <w:szCs w:val="20"/>
          <w:color w:val="auto"/>
        </w:rPr>
      </w:pPr>
    </w:p>
    <w:p>
      <w:pPr>
        <w:ind w:left="1300" w:hanging="644"/>
        <w:spacing w:after="0" w:line="239" w:lineRule="auto"/>
        <w:tabs>
          <w:tab w:leader="none" w:pos="116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extraordinary, exceptional, unusual or nonrecurring loss, charge or expense, Transaction Expenses,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084" w:right="339" w:bottom="1440" w:gutter="0" w:footer="0" w:header="0"/>
        </w:sectPr>
      </w:pPr>
    </w:p>
    <w:bookmarkStart w:id="121" w:name="page122"/>
    <w:bookmarkEnd w:id="121"/>
    <w:p>
      <w:pPr>
        <w:jc w:val="both"/>
        <w:ind w:left="644"/>
        <w:spacing w:after="0" w:line="233" w:lineRule="auto"/>
        <w:rPr>
          <w:sz w:val="20"/>
          <w:szCs w:val="20"/>
          <w:color w:val="auto"/>
        </w:rPr>
      </w:pPr>
      <w:r>
        <w:rPr>
          <w:rFonts w:ascii="Times New Roman" w:cs="Times New Roman" w:eastAsia="Times New Roman" w:hAnsi="Times New Roman"/>
          <w:sz w:val="20"/>
          <w:szCs w:val="20"/>
          <w:color w:val="auto"/>
        </w:rPr>
        <w:t>compensation charges), payments made pursuant to the terms of change in control agreements that the Borrower or a Subsidiary or a Parent Entity had entered into with employees of Holdings, any of its Subsidiaries or a Parent Entity, costs relating to pre-opening, opening and conversion costs for facilities, losses, costs related to facility or property disruptions or shutdowns,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payments of legal settlements, fines, judgements or orders),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and (b) any charge, expense, cost, accrual or reserve of any kind associated with acquisition related litigation and settlements thereof;</w:t>
      </w:r>
    </w:p>
    <w:p>
      <w:pPr>
        <w:spacing w:after="0" w:line="207" w:lineRule="exact"/>
        <w:rPr>
          <w:sz w:val="20"/>
          <w:szCs w:val="20"/>
          <w:color w:val="auto"/>
        </w:rPr>
      </w:pPr>
    </w:p>
    <w:p>
      <w:pPr>
        <w:ind w:left="644" w:hanging="644"/>
        <w:spacing w:after="0" w:line="237" w:lineRule="auto"/>
        <w:tabs>
          <w:tab w:leader="none" w:pos="29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at the election of the Borrower with respect to any quarterly period, the cumulative effect of a change in law, regulation or accounting principles and changes as a result of the adoption or modification of accounting policies, (b) subject to the last paragraph of the definition of “GAAP,” the cumulative effect of a change in accounting principles and changes as a result of the adoption or modification of accounting policies during such period (including any impact resulting from accounting changes) and (c) any costs, charges, losses, fees or expenses in connection with the implementation or tracking of such changes or modifications specified in the foregoing clauses (a) and (b);</w:t>
      </w:r>
    </w:p>
    <w:p>
      <w:pPr>
        <w:spacing w:after="0" w:line="203" w:lineRule="exact"/>
        <w:rPr>
          <w:rFonts w:ascii="Times New Roman" w:cs="Times New Roman" w:eastAsia="Times New Roman" w:hAnsi="Times New Roman"/>
          <w:sz w:val="20"/>
          <w:szCs w:val="20"/>
          <w:color w:val="auto"/>
        </w:rPr>
      </w:pPr>
    </w:p>
    <w:p>
      <w:pPr>
        <w:jc w:val="right"/>
        <w:ind w:left="644" w:hanging="644"/>
        <w:spacing w:after="0" w:line="246" w:lineRule="auto"/>
        <w:tabs>
          <w:tab w:leader="none" w:pos="29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 based incentive programs (“equity incentives”), any income (loss) associated with the equity incentives or other long-term incentive compensation plans (including under deferred compensation arrangements of Holdings or any Parent Entity or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Holdings or any Parent Entity or Subsidiary, and any cash awards granted to employees of Holdings and its Subsidiaries in replacement for forfeited awards,</w:t>
      </w:r>
    </w:p>
    <w:p>
      <w:pPr>
        <w:spacing w:after="0" w:line="4" w:lineRule="exact"/>
        <w:rPr>
          <w:rFonts w:ascii="Times New Roman" w:cs="Times New Roman" w:eastAsia="Times New Roman" w:hAnsi="Times New Roman"/>
          <w:sz w:val="19"/>
          <w:szCs w:val="19"/>
          <w:color w:val="auto"/>
        </w:rPr>
      </w:pPr>
    </w:p>
    <w:p>
      <w:pPr>
        <w:jc w:val="both"/>
        <w:ind w:left="644"/>
        <w:spacing w:after="0" w:line="23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any non-cash losses realized in such period in connection with adjustments to any employee benefit plan due to changes in estimates, actuarial assumptions, valuations, studies or judgments or non-cash compensation expense resulting from the application of Accounting Standards Codification Topic 718, Compensation—Stock Compensation and (c)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 and any other item of a similar nature;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584"/>
          </w:cols>
          <w:pgMar w:left="976" w:top="1089" w:right="339" w:bottom="1440" w:gutter="0" w:footer="0" w:header="0"/>
        </w:sectPr>
      </w:pPr>
    </w:p>
    <w:bookmarkStart w:id="122" w:name="page123"/>
    <w:bookmarkEnd w:id="122"/>
    <w:p>
      <w:pPr>
        <w:ind w:left="644" w:hanging="644"/>
        <w:spacing w:after="0" w:line="269" w:lineRule="auto"/>
        <w:tabs>
          <w:tab w:leader="none" w:pos="61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(loss) from the extinguishment, conversion or cancellation of Indebtedness, Hedging Obligations or other derivative instruments (including deferred financing costs written off, premiums paid or other expenses incurred);</w:t>
      </w:r>
    </w:p>
    <w:p>
      <w:pPr>
        <w:spacing w:after="0" w:line="159" w:lineRule="exact"/>
        <w:rPr>
          <w:rFonts w:ascii="Times New Roman" w:cs="Times New Roman" w:eastAsia="Times New Roman" w:hAnsi="Times New Roman"/>
          <w:sz w:val="20"/>
          <w:szCs w:val="20"/>
          <w:color w:val="auto"/>
        </w:rPr>
      </w:pPr>
    </w:p>
    <w:p>
      <w:pPr>
        <w:ind w:left="644" w:hanging="644"/>
        <w:spacing w:after="0" w:line="254" w:lineRule="auto"/>
        <w:tabs>
          <w:tab w:leader="none" w:pos="47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or realized gains or losses in respect of any Hedging Obligations or any ineffectiveness recognized in earnings related to hedge transactions or the fair value of changes therein recognized in earnings for derivatives that do not qualify as hedge transactions;</w:t>
      </w:r>
    </w:p>
    <w:p>
      <w:pPr>
        <w:spacing w:after="0" w:line="174" w:lineRule="exact"/>
        <w:rPr>
          <w:rFonts w:ascii="Times New Roman" w:cs="Times New Roman" w:eastAsia="Times New Roman" w:hAnsi="Times New Roman"/>
          <w:sz w:val="20"/>
          <w:szCs w:val="20"/>
          <w:color w:val="auto"/>
        </w:rPr>
      </w:pPr>
    </w:p>
    <w:p>
      <w:pPr>
        <w:ind w:left="644" w:hanging="644"/>
        <w:spacing w:after="0" w:line="234" w:lineRule="auto"/>
        <w:tabs>
          <w:tab w:leader="none" w:pos="48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losses, costs, expenses or charges incurred during such period (including any transaction, retention bonus or similar payment and earn outs), or any amortization thereof for such period, in connection with (a) any acquisition, recapitalization, Investment, Asset Disposition, disposition, dividend, issuance or repayment of Indebtedness (including such fees, expense or charges related to the offering, issuance and rating of the Loans, other securities and any of the Facilities), issuance of Capital Stock, refinancing transaction or amendment or modification of any debt instrument (including any amendment or other modification of the Loans, other securities and any of the Facilities), in each case, including the Transactions, any such transaction consummated prior to, on or after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and any adjustments resulting from the application of Accounting Standards Codification Topic 460—Guarantees or any related pronouncements) and (b) complying with the requirements under, or making elections permitted by, the documentation governing any Indebtedness;</w:t>
      </w:r>
    </w:p>
    <w:p>
      <w:pPr>
        <w:spacing w:after="0" w:line="211" w:lineRule="exact"/>
        <w:rPr>
          <w:rFonts w:ascii="Times New Roman" w:cs="Times New Roman" w:eastAsia="Times New Roman" w:hAnsi="Times New Roman"/>
          <w:sz w:val="20"/>
          <w:szCs w:val="20"/>
          <w:color w:val="auto"/>
        </w:rPr>
      </w:pPr>
    </w:p>
    <w:p>
      <w:pPr>
        <w:ind w:left="644" w:hanging="644"/>
        <w:spacing w:after="0" w:line="237" w:lineRule="auto"/>
        <w:tabs>
          <w:tab w:leader="none" w:pos="3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balances, other balance sheet items, Hedging Obligations or other obligations of Holdings or any Restricted Subsidiary owing to Holdings or any Restricted Subsidiary and any other realized or unrealized foreign exchange gains or losses relating to the translation of assets and liabilities denominated in foreign currencies;</w:t>
      </w:r>
    </w:p>
    <w:p>
      <w:pPr>
        <w:spacing w:after="0" w:line="203" w:lineRule="exact"/>
        <w:rPr>
          <w:rFonts w:ascii="Times New Roman" w:cs="Times New Roman" w:eastAsia="Times New Roman" w:hAnsi="Times New Roman"/>
          <w:sz w:val="20"/>
          <w:szCs w:val="20"/>
          <w:color w:val="auto"/>
        </w:rPr>
      </w:pPr>
    </w:p>
    <w:p>
      <w:pPr>
        <w:ind w:left="644" w:hanging="644"/>
        <w:spacing w:after="0" w:line="269" w:lineRule="auto"/>
        <w:tabs>
          <w:tab w:leader="none" w:pos="53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or realized income (loss) or non-cash expense attributable to movement in mark-to-market valuation of foreign currencies, Indebtedness or derivative instruments pursuant to GAAP;</w:t>
      </w:r>
    </w:p>
    <w:p>
      <w:pPr>
        <w:spacing w:after="0" w:line="145" w:lineRule="exact"/>
        <w:rPr>
          <w:rFonts w:ascii="Times New Roman" w:cs="Times New Roman" w:eastAsia="Times New Roman" w:hAnsi="Times New Roman"/>
          <w:sz w:val="20"/>
          <w:szCs w:val="20"/>
          <w:color w:val="auto"/>
        </w:rPr>
      </w:pPr>
    </w:p>
    <w:p>
      <w:pPr>
        <w:jc w:val="both"/>
        <w:ind w:left="644" w:hanging="644"/>
        <w:spacing w:after="0" w:line="235" w:lineRule="auto"/>
        <w:tabs>
          <w:tab w:leader="none" w:pos="60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ny non-cash increase in expenses (including expenses pushed down to Holdings and its Restricted Subsidiaries) (a) resulting from the revaluation of inventory (including any impact of changes to inventory valuation policy methods) or other inventory adjustments or (b) due to recapitalization accounting or to purchase accounting associated with the Transactions or any other acquisition or the amortization or write-off of any amounts thereof (including, without limitation, with respect to inventory, property and equipment, leases, software,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the case may be, in relation to the Transactions or any consummated acquisition (by merger, consolidation, amalgamation or otherwise), joint venture investment or other Investment or the amortization or write-off or write-down of any amounts thereof;</w:t>
      </w:r>
    </w:p>
    <w:p>
      <w:pPr>
        <w:spacing w:after="0" w:line="200" w:lineRule="exact"/>
        <w:rPr>
          <w:rFonts w:ascii="Times New Roman" w:cs="Times New Roman" w:eastAsia="Times New Roman" w:hAnsi="Times New Roman"/>
          <w:sz w:val="20"/>
          <w:szCs w:val="20"/>
          <w:color w:val="auto"/>
        </w:rPr>
      </w:pPr>
    </w:p>
    <w:p>
      <w:pPr>
        <w:ind w:left="644" w:hanging="644"/>
        <w:spacing w:after="0" w:line="244" w:lineRule="auto"/>
        <w:tabs>
          <w:tab w:leader="none" w:pos="56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 write-off or write-down, including impairment charges, write-offs or write-downs related to bad debt expense,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and the amortization of intangibles arising pursuant to GAAP;</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584"/>
          </w:cols>
          <w:pgMar w:left="976" w:top="1102" w:right="339" w:bottom="1440" w:gutter="0" w:footer="0" w:header="0"/>
        </w:sectPr>
      </w:pPr>
    </w:p>
    <w:bookmarkStart w:id="123" w:name="page124"/>
    <w:bookmarkEnd w:id="123"/>
    <w:p>
      <w:pPr>
        <w:ind w:left="1300" w:hanging="644"/>
        <w:spacing w:after="0" w:line="239" w:lineRule="auto"/>
        <w:tabs>
          <w:tab w:leader="none" w:pos="120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accruals and reserves (including contingent liabilities) that are established or adjusted in connection with the Transactions or within 18 months after the closing of any acquisition or disposition that are so required to be established or adjusted as a result of such acquisition or disposition in accordance with GAAP, or changes as a result of adoption or modification of accounting policies and (b) earn-out, non-compete and contingent consideration obligations (including to the extent accounted for as bonuses or otherwise) and adjustments thereof and purchase price adjustments;</w:t>
      </w:r>
    </w:p>
    <w:p>
      <w:pPr>
        <w:spacing w:after="0" w:line="177" w:lineRule="exact"/>
        <w:rPr>
          <w:rFonts w:ascii="Times New Roman" w:cs="Times New Roman" w:eastAsia="Times New Roman" w:hAnsi="Times New Roman"/>
          <w:sz w:val="20"/>
          <w:szCs w:val="20"/>
          <w:color w:val="auto"/>
        </w:rPr>
      </w:pPr>
    </w:p>
    <w:p>
      <w:pPr>
        <w:jc w:val="both"/>
        <w:ind w:left="1300" w:hanging="644"/>
        <w:spacing w:after="0" w:line="237" w:lineRule="auto"/>
        <w:tabs>
          <w:tab w:leader="none" w:pos="126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and its related pronouncements or mark to market movement of other financial instruments pursuant to Accounting Standards Codification Topic 825— Financial Instruments, or the equivalent accounting standard under GAAP or an alternative basis of accounting applied in lieu of GAAP;</w:t>
      </w:r>
    </w:p>
    <w:p>
      <w:pPr>
        <w:spacing w:after="0" w:line="189" w:lineRule="exact"/>
        <w:rPr>
          <w:rFonts w:ascii="Times New Roman" w:cs="Times New Roman" w:eastAsia="Times New Roman" w:hAnsi="Times New Roman"/>
          <w:sz w:val="20"/>
          <w:szCs w:val="20"/>
          <w:color w:val="auto"/>
        </w:rPr>
      </w:pPr>
    </w:p>
    <w:p>
      <w:pPr>
        <w:ind w:left="1300" w:hanging="644"/>
        <w:spacing w:after="0"/>
        <w:tabs>
          <w:tab w:leader="none" w:pos="10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187"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ind w:left="1300" w:hanging="644"/>
        <w:spacing w:after="0" w:line="269" w:lineRule="auto"/>
        <w:tabs>
          <w:tab w:leader="none" w:pos="125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loss or discount on sale of Securitization Assets, Receivables Assets and related assets in connection with a Qualified Securitization Financing or Receivables Facility; and</w:t>
      </w:r>
    </w:p>
    <w:p>
      <w:pPr>
        <w:spacing w:after="0" w:line="145" w:lineRule="exact"/>
        <w:rPr>
          <w:rFonts w:ascii="Times New Roman" w:cs="Times New Roman" w:eastAsia="Times New Roman" w:hAnsi="Times New Roman"/>
          <w:sz w:val="20"/>
          <w:szCs w:val="20"/>
          <w:color w:val="auto"/>
        </w:rPr>
      </w:pPr>
    </w:p>
    <w:p>
      <w:pPr>
        <w:jc w:val="right"/>
        <w:ind w:left="1300" w:hanging="644"/>
        <w:spacing w:after="0" w:line="250" w:lineRule="auto"/>
        <w:tabs>
          <w:tab w:leader="none" w:pos="1179"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payments to third parties in respect of research and development, including amounts paid upon signing, success, completion and other milestones and other progress payments, to the extent expensed, (ii) at the election of the Borrower with respect to any quarterly period, effects of adjustments to accruals and reserves during a period relating to any change in the methodology of calculating reserves for returns, rebates and other chargebacks (including government program rebates), and</w:t>
      </w:r>
    </w:p>
    <w:p>
      <w:pPr>
        <w:spacing w:after="0" w:line="2" w:lineRule="exact"/>
        <w:rPr>
          <w:rFonts w:ascii="Times New Roman" w:cs="Times New Roman" w:eastAsia="Times New Roman" w:hAnsi="Times New Roman"/>
          <w:sz w:val="19"/>
          <w:szCs w:val="19"/>
          <w:color w:val="auto"/>
        </w:rPr>
      </w:pPr>
    </w:p>
    <w:p>
      <w:pPr>
        <w:ind w:left="1300" w:firstLine="4"/>
        <w:spacing w:after="0" w:line="236" w:lineRule="auto"/>
        <w:tabs>
          <w:tab w:leader="none" w:pos="167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Borrower with respect to any quarterly period, an amount equal to the net change in deferred revenue at the end of such period from the deferred revenue at the end of the previous period.</w:t>
      </w:r>
    </w:p>
    <w:p>
      <w:pPr>
        <w:spacing w:after="0" w:line="18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In addition,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Borrower has made a determination that it reasonably expects that such amount will in fact be paid or reimbursed within 365 days of the date of such evidence (net of any amount so added back in a prior period to the extent not so reimbursed within the applicable 365-day period), (ii) to the extent covered by insurance (including business interruption insurance) and actually reimbursed, or, so long as the Borrower has made a determination that it reasonably expects that such amount will in fact be paid or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and</w:t>
      </w:r>
    </w:p>
    <w:p>
      <w:pPr>
        <w:spacing w:after="0" w:line="3" w:lineRule="exact"/>
        <w:rPr>
          <w:sz w:val="20"/>
          <w:szCs w:val="20"/>
          <w:color w:val="auto"/>
        </w:rPr>
      </w:pPr>
    </w:p>
    <w:p>
      <w:pPr>
        <w:ind w:firstLine="8"/>
        <w:spacing w:after="0" w:line="258" w:lineRule="auto"/>
        <w:tabs>
          <w:tab w:leader="none" w:pos="36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distributions actually made to any Parent Entity of such Person in respect of such period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7.06(b)(ix)(C)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 though such amounts had been paid as taxes directly by such Person for such periods.</w:t>
      </w:r>
    </w:p>
    <w:p>
      <w:pPr>
        <w:spacing w:after="0" w:line="15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Consolidated Total Indebtedness</w:t>
      </w:r>
      <w:r>
        <w:rPr>
          <w:rFonts w:ascii="Times New Roman" w:cs="Times New Roman" w:eastAsia="Times New Roman" w:hAnsi="Times New Roman"/>
          <w:sz w:val="20"/>
          <w:szCs w:val="20"/>
          <w:color w:val="auto"/>
        </w:rPr>
        <w:t xml:space="preserve">” means, with respect to Holdings and its Restricted Subsidiaries, as of any date of determination, an amount equal to (a) the aggregate principal amount of outstanding third-party Indebtedness for borrowed money (excluding Indebtedness with respect to Cash Management Obligations and intercompany Indebtedness as of such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0"/>
          <w:szCs w:val="20"/>
          <w:color w:val="auto"/>
        </w:rPr>
        <w:t xml:space="preserve"> (b) the aggregate principal amount of Purchase Money Obligations and unreimbursed drawings under letters of credit of the Holdings and its Restricted Subsidiaries outstanding on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any unreimbursed amount under commercial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089" w:right="339" w:bottom="1440" w:gutter="0" w:footer="0" w:header="0"/>
        </w:sectPr>
      </w:pPr>
    </w:p>
    <w:bookmarkStart w:id="124" w:name="page125"/>
    <w:bookmarkEnd w:id="12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letters of credit shall not be counted as Consolidated Total Indebtedness until five Business Days after such amount is drawn),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0"/>
          <w:szCs w:val="20"/>
          <w:color w:val="auto"/>
        </w:rPr>
        <w:t xml:space="preserve"> (c) the undrawn Reserved Indebtedness Amount (to the extent included in clause (a) above),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0"/>
          <w:szCs w:val="20"/>
          <w:color w:val="auto"/>
        </w:rPr>
        <w:t xml:space="preserve"> (d) the aggregate amount of unrestricted cash and Cash Equivalents included on the consolidated balance sheet of Holdings and its Restricted Subsidiaries as of the end of the most recent fiscal period for which consolidated financial statements are available, which shall not be less than $0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the cash proceeds of any proposed incurrence of Indebtedness shall not be included in this clause (d) for purposes of calculating the Interest Coverage Ratio, the Consolidated Total Leverage Ratio, the Consolidated Total Senior Secured Leverage Ratio or the Consolidated First Lien Secured Leverage Ratio, as applicable) with such pro forma adjustments as are consistent with the pro forma adjustments set forth in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0"/>
          <w:szCs w:val="20"/>
          <w:color w:val="auto"/>
        </w:rPr>
        <w:t>. For the avoidance of doubt, Consolidated Total Indebtedness shall exclude Indebtedness in respect of any Hedging Obligations, Capitalized Lease Obligations, operating leases, undrawn letters of credit, earnout obligations not more than five (5) Business Days past due and payable and if not recognized as debt on the balance sheet in accordance with GAAP and any Receivables Facility or Securitization Facility.</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Leverage Ratio</w:t>
      </w:r>
      <w:r>
        <w:rPr>
          <w:rFonts w:ascii="Times New Roman" w:cs="Times New Roman" w:eastAsia="Times New Roman" w:hAnsi="Times New Roman"/>
          <w:sz w:val="22"/>
          <w:szCs w:val="22"/>
          <w:color w:val="auto"/>
        </w:rPr>
        <w:t>” means, as of any date of determination, the ratio of (x) Consolidated Total Indebtedness as of such date to (y) LTM EBITDA.</w:t>
      </w:r>
    </w:p>
    <w:p>
      <w:pPr>
        <w:spacing w:after="0" w:line="14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u w:val="single" w:color="auto"/>
          <w:color w:val="0000FF"/>
        </w:rPr>
        <w:t>Consolidated Total Senior Secured Leverage Ratio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means, as of any date of determination, the ratio of (x)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Consolidated Total Indebtedness that is secured by a Lien as of such date to (y) LTM EBITDA.</w:t>
      </w:r>
    </w:p>
    <w:p>
      <w:pPr>
        <w:spacing w:after="0" w:line="15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Working Capital</w:t>
      </w:r>
      <w:r>
        <w:rPr>
          <w:rFonts w:ascii="Times New Roman" w:cs="Times New Roman" w:eastAsia="Times New Roman" w:hAnsi="Times New Roman"/>
          <w:sz w:val="22"/>
          <w:szCs w:val="22"/>
          <w:color w:val="auto"/>
        </w:rPr>
        <w:t>” means, at any date, the excess of (a) the sum of (i) all amounts (other than cash and Cash Equivalents) that would, in conformity with GAAP, be set forth opposite the caption “total current assets” (or any like caption) on a consolidated balance sheet of Holdings and its Restricted Subsidiaries at such date and (ii) long-term accounts receivable over (b) the sum of (i) all amounts that would, in conformity with GAAP, be set forth opposite the caption “total current liabilities” (or any like caption) on a consolidated balance sheet of Holdings and its Restricted Subsidiaries on such date and (ii) long-term deferred revenue, but excluding, without duplication, (a) the current portion of any Funded Debt or other long-term liabilities, (b) all Indebtedness consisting of Revolving Credit Loans and L/C Obligations to the extent otherwise included therein, (c) the current portion of interest, (d) the current portion of current and deferred income taxes, (e) the current portion of any Capitalized Lease Obligations, (f) deferred revenue arising from cash receipts that are earmarked for specific projects, (g) the current portion of deferred acquisition costs and (h) current accrued costs associated with any restructuring or business optimization (including accrued severance and accrued facility closure costs).</w:t>
      </w:r>
    </w:p>
    <w:p>
      <w:pPr>
        <w:spacing w:after="0" w:line="18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Obligations</w:t>
      </w:r>
      <w:r>
        <w:rPr>
          <w:rFonts w:ascii="Times New Roman" w:cs="Times New Roman" w:eastAsia="Times New Roman" w:hAnsi="Times New Roman"/>
          <w:sz w:val="22"/>
          <w:szCs w:val="22"/>
          <w:color w:val="auto"/>
        </w:rPr>
        <w:t>” means, with respect to any Person, any obligation of such Person guaranteeing in any manner, whether directly or indirectly, any Non-Financing Lease Obligation, dividend or other obligation that does not constitute Indebtedness (“</w:t>
      </w:r>
      <w:r>
        <w:rPr>
          <w:rFonts w:ascii="Times New Roman" w:cs="Times New Roman" w:eastAsia="Times New Roman" w:hAnsi="Times New Roman"/>
          <w:sz w:val="22"/>
          <w:szCs w:val="22"/>
          <w:u w:val="single" w:color="auto"/>
          <w:color w:val="auto"/>
        </w:rPr>
        <w:t>primary obligations</w:t>
      </w:r>
      <w:r>
        <w:rPr>
          <w:rFonts w:ascii="Times New Roman" w:cs="Times New Roman" w:eastAsia="Times New Roman" w:hAnsi="Times New Roman"/>
          <w:sz w:val="22"/>
          <w:szCs w:val="22"/>
          <w:color w:val="auto"/>
        </w:rPr>
        <w:t>”)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including any obligation of such Person, whether or not contingent:</w:t>
      </w:r>
    </w:p>
    <w:p>
      <w:pPr>
        <w:spacing w:after="0" w:line="180" w:lineRule="exact"/>
        <w:rPr>
          <w:sz w:val="20"/>
          <w:szCs w:val="20"/>
          <w:color w:val="auto"/>
        </w:rPr>
      </w:pPr>
    </w:p>
    <w:p>
      <w:pPr>
        <w:ind w:left="1600" w:hanging="296"/>
        <w:spacing w:after="0"/>
        <w:tabs>
          <w:tab w:leader="none" w:pos="16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any such primary obligation or any property constituting direct or indirect security therefor;</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w:t>
      </w:r>
    </w:p>
    <w:p>
      <w:pPr>
        <w:spacing w:after="0" w:line="224" w:lineRule="exact"/>
        <w:rPr>
          <w:rFonts w:ascii="Times New Roman" w:cs="Times New Roman" w:eastAsia="Times New Roman" w:hAnsi="Times New Roman"/>
          <w:sz w:val="22"/>
          <w:szCs w:val="22"/>
          <w:color w:val="auto"/>
        </w:rPr>
      </w:pPr>
    </w:p>
    <w:p>
      <w:pPr>
        <w:ind w:left="2220" w:hanging="268"/>
        <w:spacing w:after="0"/>
        <w:tabs>
          <w:tab w:leader="none" w:pos="222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purchase or payment of any such primary obligation; or</w:t>
      </w:r>
    </w:p>
    <w:p>
      <w:pPr>
        <w:spacing w:after="0" w:line="229" w:lineRule="exact"/>
        <w:rPr>
          <w:rFonts w:ascii="Times New Roman" w:cs="Times New Roman" w:eastAsia="Times New Roman" w:hAnsi="Times New Roman"/>
          <w:sz w:val="20"/>
          <w:szCs w:val="20"/>
          <w:color w:val="auto"/>
        </w:rPr>
      </w:pPr>
    </w:p>
    <w:p>
      <w:pPr>
        <w:ind w:left="1300" w:right="20" w:firstLine="652"/>
        <w:spacing w:after="0" w:line="255" w:lineRule="auto"/>
        <w:tabs>
          <w:tab w:leader="none" w:pos="2422"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the working capital or equity capital of the primary obligor or otherwise to maintain the net worth or solvency of the primary obligor;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080" w:right="339" w:bottom="1440" w:gutter="0" w:footer="0" w:header="0"/>
        </w:sectPr>
      </w:pPr>
    </w:p>
    <w:bookmarkStart w:id="125" w:name="page126"/>
    <w:bookmarkEnd w:id="125"/>
    <w:p>
      <w:pPr>
        <w:jc w:val="both"/>
        <w:ind w:left="660" w:firstLine="644"/>
        <w:spacing w:after="0" w:line="282" w:lineRule="auto"/>
        <w:tabs>
          <w:tab w:leader="none" w:pos="161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Consideration</w:t>
      </w:r>
      <w:r>
        <w:rPr>
          <w:rFonts w:ascii="Times New Roman" w:cs="Times New Roman" w:eastAsia="Times New Roman" w:hAnsi="Times New Roman"/>
          <w:sz w:val="22"/>
          <w:szCs w:val="22"/>
          <w:color w:val="auto"/>
        </w:rPr>
        <w:t>” has the meaning specified in the definition of “Excess Cash Flow.”</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has the meaning specified in the definition of “Affiliate.”</w:t>
      </w:r>
    </w:p>
    <w:p>
      <w:pPr>
        <w:spacing w:after="0" w:line="19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Investment Affiliate</w:t>
      </w:r>
      <w:r>
        <w:rPr>
          <w:rFonts w:ascii="Times New Roman" w:cs="Times New Roman" w:eastAsia="Times New Roman" w:hAnsi="Times New Roman"/>
          <w:sz w:val="22"/>
          <w:szCs w:val="22"/>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2600" w:hanging="510"/>
        <w:spacing w:after="0" w:line="258" w:lineRule="auto"/>
        <w:tabs>
          <w:tab w:leader="none" w:pos="26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entity” as that term is defined in, and interpreted in accordance with, 12 C.F.R. §252.82(b);</w:t>
      </w:r>
    </w:p>
    <w:p>
      <w:pPr>
        <w:spacing w:after="0" w:line="158" w:lineRule="exact"/>
        <w:rPr>
          <w:rFonts w:ascii="Times New Roman" w:cs="Times New Roman" w:eastAsia="Times New Roman" w:hAnsi="Times New Roman"/>
          <w:sz w:val="20"/>
          <w:szCs w:val="20"/>
          <w:color w:val="auto"/>
        </w:rPr>
      </w:pPr>
    </w:p>
    <w:p>
      <w:pPr>
        <w:ind w:left="2600" w:right="20" w:hanging="566"/>
        <w:spacing w:after="0" w:line="258" w:lineRule="auto"/>
        <w:tabs>
          <w:tab w:leader="none" w:pos="26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bank” as that term is defined in, and interpreted in accordance with, 12 C.F.R. §47.3(b); or</w:t>
      </w:r>
    </w:p>
    <w:p>
      <w:pPr>
        <w:spacing w:after="0" w:line="158" w:lineRule="exact"/>
        <w:rPr>
          <w:rFonts w:ascii="Times New Roman" w:cs="Times New Roman" w:eastAsia="Times New Roman" w:hAnsi="Times New Roman"/>
          <w:sz w:val="20"/>
          <w:szCs w:val="20"/>
          <w:color w:val="auto"/>
        </w:rPr>
      </w:pPr>
    </w:p>
    <w:p>
      <w:pPr>
        <w:ind w:left="1300" w:right="80" w:firstLine="680"/>
        <w:spacing w:after="0" w:line="429" w:lineRule="auto"/>
        <w:tabs>
          <w:tab w:leader="none" w:pos="259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FSI” as that term is defined in, and interpreted in accordance with, 12 C.F.R. §382.2(b).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shall have the meaning provided in Section </w:t>
      </w:r>
      <w:r>
        <w:rPr>
          <w:rFonts w:ascii="Times New Roman" w:cs="Times New Roman" w:eastAsia="Times New Roman" w:hAnsi="Times New Roman"/>
          <w:sz w:val="22"/>
          <w:szCs w:val="22"/>
          <w:u w:val="single" w:color="auto"/>
          <w:color w:val="auto"/>
        </w:rPr>
        <w:t>10.21</w:t>
      </w:r>
      <w:r>
        <w:rPr>
          <w:rFonts w:ascii="Times New Roman" w:cs="Times New Roman" w:eastAsia="Times New Roman" w:hAnsi="Times New Roman"/>
          <w:sz w:val="22"/>
          <w:szCs w:val="22"/>
          <w:color w:val="auto"/>
        </w:rPr>
        <w:t>.</w:t>
      </w: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Jurisdiction</w:t>
      </w:r>
      <w:r>
        <w:rPr>
          <w:rFonts w:ascii="Times New Roman" w:cs="Times New Roman" w:eastAsia="Times New Roman" w:hAnsi="Times New Roman"/>
          <w:sz w:val="22"/>
          <w:szCs w:val="22"/>
          <w:color w:val="auto"/>
        </w:rPr>
        <w:t>” means the United States (and each State thereof and the District of Columbia) and the jurisdiction of organization of any Restricted Subsidiary that becomes a Guarantor pursuant to the last sentence of the definition of “Guarantor.”</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 Refinanced Debt</w:t>
      </w:r>
      <w:r>
        <w:rPr>
          <w:rFonts w:ascii="Times New Roman" w:cs="Times New Roman" w:eastAsia="Times New Roman" w:hAnsi="Times New Roman"/>
          <w:sz w:val="22"/>
          <w:szCs w:val="22"/>
          <w:color w:val="auto"/>
        </w:rPr>
        <w:t>” has the meaning specified in the definition of “Credit Agreement Refinancing Indebtedness.”</w:t>
      </w:r>
    </w:p>
    <w:p>
      <w:pPr>
        <w:spacing w:after="0" w:line="158"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Agreement Refinancing Indebtedness</w:t>
      </w:r>
      <w:r>
        <w:rPr>
          <w:rFonts w:ascii="Times New Roman" w:cs="Times New Roman" w:eastAsia="Times New Roman" w:hAnsi="Times New Roman"/>
          <w:sz w:val="21"/>
          <w:szCs w:val="21"/>
          <w:color w:val="auto"/>
        </w:rPr>
        <w:t>” means (a) Permitted Pari Passu Refinancing Debt, (b) Permitted Junior Refinancing Debt, or (c) Permitted Unsecured Refinancing Debt obtained pursuant to a Refinancing Amendment, in each case, issued, incurred or otherwise obtained (including by means of the extension or renewal of existing Indebtedness) in exchange for, or to extend, renew, replace or refinance, in whole or part, existing Term Loans, Incremental Term Loans, Refinancing Term Loans, Revolving Credit Loans, Incremental Revolving Credit Commitments or Refinancing Revolving Credit Loans hereunder (including any successive Credit Agreement Refinancing Indebtedness) (“</w:t>
      </w:r>
      <w:r>
        <w:rPr>
          <w:rFonts w:ascii="Times New Roman" w:cs="Times New Roman" w:eastAsia="Times New Roman" w:hAnsi="Times New Roman"/>
          <w:sz w:val="21"/>
          <w:szCs w:val="21"/>
          <w:u w:val="single" w:color="auto"/>
          <w:color w:val="auto"/>
        </w:rPr>
        <w:t>Credit Agreement Refinanced 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 such extending, renewing or refinancing Indebtedness is in an original aggregate principal amount not greater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than (A) the aggregate principal amount of the Credit Agreement Refinanced Debt, plus (B) accrued, capitalized and unpaid interest thereon, any fees, premiums (including any makewhole), accrued interest associated therewith, or other reasonable amount paid, and fees, costs and expenses, commissions or underwriting discounts incurred in connection therewith, (ii) the terms applicable to such Credit Agreement Refinancing Indebtedness comply with the Required Debt Terms and (iii) such Credit Agreement Refinanced Debt (other than contingent indemnification obligations not yet accrued and payable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084" w:right="339" w:bottom="1440" w:gutter="0" w:footer="0" w:header="0"/>
        </w:sectPr>
      </w:pPr>
    </w:p>
    <w:bookmarkStart w:id="126" w:name="page127"/>
    <w:bookmarkEnd w:id="126"/>
    <w:p>
      <w:pPr>
        <w:jc w:val="both"/>
        <w:spacing w:after="0" w:line="238" w:lineRule="auto"/>
        <w:rPr>
          <w:sz w:val="20"/>
          <w:szCs w:val="20"/>
          <w:color w:val="auto"/>
        </w:rPr>
      </w:pPr>
      <w:r>
        <w:rPr>
          <w:rFonts w:ascii="Times New Roman" w:cs="Times New Roman" w:eastAsia="Times New Roman" w:hAnsi="Times New Roman"/>
          <w:sz w:val="22"/>
          <w:szCs w:val="22"/>
          <w:color w:val="auto"/>
        </w:rPr>
        <w:t>Letters of Credit that have been Cash Collateralized or back-stopped or as to which other arrangements reasonably satisfactory to the Administrative Agent and the applicable L/C Issuer have been made) shall be repaid, defeased or satisfied and discharged, and (unless otherwise agreed by all Lenders holding such Credit Agreement Refinanced Debt) all accrued interest, fees and premiums (if any) in connection therewith shall be paid on the date such Credit Agreement Refinancing Indebtedness is issued, incurred or obtained.</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193" w:lineRule="exact"/>
        <w:rPr>
          <w:sz w:val="20"/>
          <w:szCs w:val="20"/>
          <w:color w:val="auto"/>
        </w:rPr>
      </w:pPr>
    </w:p>
    <w:p>
      <w:pPr>
        <w:jc w:val="both"/>
        <w:ind w:right="20" w:firstLine="1296"/>
        <w:spacing w:after="0" w:line="29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Cumulative Consolidated Net Income</w:t>
      </w:r>
      <w:r>
        <w:rPr>
          <w:rFonts w:ascii="Times New Roman" w:cs="Times New Roman" w:eastAsia="Times New Roman" w:hAnsi="Times New Roman"/>
          <w:sz w:val="20"/>
          <w:szCs w:val="20"/>
          <w:color w:val="auto"/>
        </w:rPr>
        <w:t>” means, for any period, Consolidated Net Income for such period, taken as a single accounting period. Cumulative Consolidated Net Income shall not be less than $0.</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xml:space="preserve">” has the meaning </w:t>
      </w:r>
      <w:r>
        <w:rPr>
          <w:rFonts w:ascii="Times New Roman" w:cs="Times New Roman" w:eastAsia="Times New Roman" w:hAnsi="Times New Roman"/>
          <w:sz w:val="19"/>
          <w:szCs w:val="19"/>
          <w:color w:val="auto"/>
        </w:rPr>
        <w:t>specified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xml:space="preserve">” has the meaning </w:t>
      </w:r>
      <w:r>
        <w:rPr>
          <w:rFonts w:ascii="Times New Roman" w:cs="Times New Roman" w:eastAsia="Times New Roman" w:hAnsi="Times New Roman"/>
          <w:sz w:val="19"/>
          <w:szCs w:val="19"/>
          <w:color w:val="auto"/>
        </w:rPr>
        <w:t>specified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8.05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xml:space="preserve">” has the meaning </w:t>
      </w:r>
      <w:r>
        <w:rPr>
          <w:rFonts w:ascii="Times New Roman" w:cs="Times New Roman" w:eastAsia="Times New Roman" w:hAnsi="Times New Roman"/>
          <w:sz w:val="19"/>
          <w:szCs w:val="19"/>
          <w:color w:val="auto"/>
        </w:rPr>
        <w:t>specified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Customary Intercreditor Agreement</w:t>
      </w:r>
      <w:r>
        <w:rPr>
          <w:rFonts w:ascii="Times New Roman" w:cs="Times New Roman" w:eastAsia="Times New Roman" w:hAnsi="Times New Roman"/>
          <w:sz w:val="21"/>
          <w:szCs w:val="21"/>
          <w:color w:val="auto"/>
        </w:rPr>
        <w:t>” means (a) to the extent executed in connection with any incurrence of Indebtedness secured by Liens on the Collateral that are intended to rank equal in priority to the Liens on the Collateral securing the Secured Obligations (but without regard to the control of remedies), a customary intercreditor agreement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21"/>
          <w:szCs w:val="21"/>
          <w:color w:val="auto"/>
        </w:rPr>
        <w:t xml:space="preserve"> may take the form of a “waterfall” or similar provision) (x) substantially in the form attached as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together with any changes thereto which are reasonably acceptable to the Administrative Agent or (y) in form and substance reasonably acceptable to the Administrative Agent and the Borrower, which agreement shall provide,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xml:space="preserve">, that the Liens on the Collateral securing such other Indebtedness to the extent validly perfected and not subject to other Liens ranking senior to the Liens securing such Indebtedness but junior to the Liens securing the Secured Obligations shall rank equal in priority to the Liens on the Collateral securing the Secured Obligations (but without regard to the control of remedies) and (b) to the extent executed in connection with the incurrence of Indebtedness secured by Liens on the Collateral which are intended to rank junior to the Liens on the Collateral securing the Secured Obligations, a customary intercreditor agreement (x) substantially in the form attached as </w:t>
      </w:r>
      <w:r>
        <w:rPr>
          <w:rFonts w:ascii="Times New Roman" w:cs="Times New Roman" w:eastAsia="Times New Roman" w:hAnsi="Times New Roman"/>
          <w:sz w:val="21"/>
          <w:szCs w:val="21"/>
          <w:u w:val="single" w:color="auto"/>
          <w:color w:val="auto"/>
        </w:rPr>
        <w:t>Exhibit M</w:t>
      </w:r>
      <w:r>
        <w:rPr>
          <w:rFonts w:ascii="Times New Roman" w:cs="Times New Roman" w:eastAsia="Times New Roman" w:hAnsi="Times New Roman"/>
          <w:sz w:val="21"/>
          <w:szCs w:val="21"/>
          <w:color w:val="auto"/>
        </w:rPr>
        <w:t>, together with any changes thereto which are reasonably acceptable to the Administrative Agent or (y) in form and substance reasonably acceptable to the Administrative Agent and the Borrower, which agreement shall provide that the Liens on the Collateral securing such Indebtedness shall rank junior to the Liens on the Collateral securing the Secured Obligations.</w:t>
      </w:r>
    </w:p>
    <w:p>
      <w:pPr>
        <w:spacing w:after="0" w:line="181"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0"/>
          <w:szCs w:val="20"/>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Daily SOFR Loan</w:t>
      </w:r>
      <w:r>
        <w:rPr>
          <w:rFonts w:ascii="Times New Roman" w:cs="Times New Roman" w:eastAsia="Times New Roman" w:hAnsi="Times New Roman"/>
          <w:sz w:val="20"/>
          <w:szCs w:val="20"/>
          <w:color w:val="auto"/>
        </w:rPr>
        <w:t>” means any Loan bearing interest at a rate determined by reference to Daily Simple SOFR.</w:t>
      </w:r>
    </w:p>
    <w:p>
      <w:pPr>
        <w:spacing w:after="0" w:line="21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Debt Fund Affiliate</w:t>
      </w:r>
      <w:r>
        <w:rPr>
          <w:rFonts w:ascii="Times New Roman" w:cs="Times New Roman" w:eastAsia="Times New Roman" w:hAnsi="Times New Roman"/>
          <w:sz w:val="20"/>
          <w:szCs w:val="20"/>
          <w:color w:val="auto"/>
        </w:rPr>
        <w:t>” means an Affiliated Lender that is a bona fide debt fund or investment vehicle that is primarily engaged in, or advises funds or other investment vehicles that are primarily engaged in, making, purchasing, holding or otherwise investing in commercial loans, bonds and similar extensions of credit in the ordinary course of its business, and whose managers have fiduciary duties to the investors in such fund or investment vehicle independent of, or in addition to, their fiduciary duties to Holdings and its Subsidiaries.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084" w:right="339" w:bottom="1440" w:gutter="0" w:footer="0" w:header="0"/>
        </w:sectPr>
      </w:pPr>
    </w:p>
    <w:bookmarkStart w:id="127" w:name="page128"/>
    <w:bookmarkEnd w:id="127"/>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Declined Proceeds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7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means, solely during the occurrence and continuance of an Event of Default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8.01(a)</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an interest rate equal, (a) with respect to any overdue principal for any Loan, the applicable interest rate for such Loan plus 2.0% per annum and (b) with respect to any other overdue amount (including overdue interest), the interest rate applicable to Base Rate Loans that are Term Loans plus 2.0% per annum, in each case, to the fullest extent permitted by applicable Laws and which shall be payable on demand by the Required Lenders.</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any Lender that (a) has failed, within two (2) Business Days of the date required to be funded or paid, to (i) fund any portion of its Loans required to be funded by it, (ii) fund any portion of its participations in Letters of Credit required to be funded by it or (iii) pay over to the Administrative Agent, the L/C Issuer or any other Lender any other amount required to be paid by it hereunder, unless,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the L/C Issuer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the L/C Issuer or any other Lender, acting in good faith, to provide a certification in writing from an authorized officer of such Lender that it will comply with its obligations to fund prospective Loans and participations in then outstanding Letters of Credit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such Administrative Agent’s, L/C Issuer’s or Lender’s receipt of such certification in form and substance satisfactory to it and the Administrative Agent, or (d) after the date of this Agreement, has become the subject of a Bankruptcy Event.</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Non-Cash Consideration</w:t>
      </w:r>
      <w:r>
        <w:rPr>
          <w:rFonts w:ascii="Times New Roman" w:cs="Times New Roman" w:eastAsia="Times New Roman" w:hAnsi="Times New Roman"/>
          <w:sz w:val="22"/>
          <w:szCs w:val="22"/>
          <w:color w:val="auto"/>
        </w:rPr>
        <w:t xml:space="preserve">” means the fair market value (as determined in good faith by the Borrower) of non-cash consideration received by Holdings or any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084" w:right="339" w:bottom="1440" w:gutter="0" w:footer="0" w:header="0"/>
        </w:sectPr>
      </w:pPr>
    </w:p>
    <w:bookmarkStart w:id="128" w:name="page129"/>
    <w:bookmarkEnd w:id="128"/>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Preferred Stock</w:t>
      </w:r>
      <w:r>
        <w:rPr>
          <w:rFonts w:ascii="Times New Roman" w:cs="Times New Roman" w:eastAsia="Times New Roman" w:hAnsi="Times New Roman"/>
          <w:sz w:val="22"/>
          <w:szCs w:val="22"/>
          <w:color w:val="auto"/>
        </w:rPr>
        <w:t>” means Preferred Stock of Holdings or a Parent Entity (other than Disqualified Stock) (a) that is issued for cash (other than to the Borrower or a Subsidiary of the Borrower or an employee stock ownership plan or trust established by the Borrower or any such Subsidiary for the benefit of their employees to the extent funded by the Borrower or such Subsidiary) and (b) that is designated as “Designated Preferred Stock” pursuant to an Officer’s Certificate of the Borrower at or prior to the issuance thereof, the Net Cash Proceeds of which are excluded from the calculation set forth in Section 7.06(a) hereof.</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Range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Prepayment Option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Voluntary Prepayment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Voluntary Prepayment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Disinterested Director</w:t>
      </w:r>
      <w:r>
        <w:rPr>
          <w:rFonts w:ascii="Times New Roman" w:cs="Times New Roman" w:eastAsia="Times New Roman" w:hAnsi="Times New Roman"/>
          <w:sz w:val="22"/>
          <w:szCs w:val="22"/>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Borrower or any options, warrants or other rights in respect of such Capital Stock.</w:t>
      </w:r>
    </w:p>
    <w:p>
      <w:pPr>
        <w:spacing w:after="0" w:line="18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Lenders</w:t>
      </w:r>
      <w:r>
        <w:rPr>
          <w:rFonts w:ascii="Times New Roman" w:cs="Times New Roman" w:eastAsia="Times New Roman" w:hAnsi="Times New Roman"/>
          <w:sz w:val="21"/>
          <w:szCs w:val="21"/>
          <w:color w:val="auto"/>
        </w:rPr>
        <w:t xml:space="preserve">” means (i) such banks, financial institutions, other institutional lenders (or related funds of such institutional lenders) or other Persons separately identified in writing by the Borrower to the Administrative Agent prior to September 23, 2020 (or identified in writing after September 23, 2020 and prior to the Closing Date, if the disqualification of such person is reasonably acceptable to the Lead Arrangers), (ii) competitors of the Borrower or any of its Subsidiaries identified in writing from time to time by email to the Administrative Agent, (iii) in the case of clauses (i) and (ii), any of their affiliates (other than affiliates that are bona fide debt investment funds primarily engaged in, or that advise funds or other investment vehicles that are engaged in, making, purchasing, holding or otherwise investing in commercial loans, notes, bonds or similar extensions of credit or securities in the ordinary course of its business and whose managers have fiduciary duties to the investors therein independent of or in addition to their duties to such bank, financial institution, other institutional lender or competitor, as applicable) that are (A) identified by you or, in the case of clause (i), the Sponsor in writing from time to time or (B) readily identifiable on the basis of such affiliates’ name or (iv) Excluded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any additional designation permitted by the foregoing shall not become effective until three (3) Business Days following delivery to the Administrative Agent by email;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in no event shall any notice given pursuant to this definition apply to retroactively disqualify any Person who previously acquired and continues to hold, any Loans, Commitments or participations prior to the receipt of such notice. For the avoidance of doubt, t</w:t>
      </w:r>
      <w:r>
        <w:rPr>
          <w:rFonts w:ascii="Times New Roman" w:cs="Times New Roman" w:eastAsia="Times New Roman" w:hAnsi="Times New Roman"/>
          <w:sz w:val="18"/>
          <w:szCs w:val="18"/>
          <w:color w:val="auto"/>
        </w:rPr>
        <w:t>he Administrative Agent shall not be responsible or have any liability for, or have any duty to</w:t>
      </w:r>
    </w:p>
    <w:p>
      <w:pPr>
        <w:spacing w:after="0" w:line="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ascertain, inquire into, monitor or enforce, compliance with the provisions hereof relating to Disqualified Lenders and shall not be obligated to ascertain, monitor or inquire as to whether any Lender or Participant or prospective Lender or Participant is a Disqualified Lender or have any liability with respect to or arising out of any assignment or participation to or disclosure of confidential information to, a Disqualified Lender</w:t>
      </w:r>
      <w:r>
        <w:rPr>
          <w:rFonts w:ascii="Times New Roman" w:cs="Times New Roman" w:eastAsia="Times New Roman" w:hAnsi="Times New Roman"/>
          <w:sz w:val="21"/>
          <w:szCs w:val="21"/>
          <w:color w:val="auto"/>
        </w:rPr>
        <w:t>. The Administrative Agent shall be permitted, upon request of any Lender or Participant,</w:t>
      </w:r>
      <w:r>
        <w:rPr>
          <w:rFonts w:ascii="Times New Roman" w:cs="Times New Roman" w:eastAsia="Times New Roman" w:hAnsi="Times New Roman"/>
          <w:sz w:val="20"/>
          <w:szCs w:val="20"/>
          <w:color w:val="auto"/>
        </w:rPr>
        <w:t xml:space="preserve"> to make available the list of Disqualified Lenders upon request by the inquiring Lender or disclose to such inquiring Lender or Participant whether such specific potential Assignee or Participant is on the list of Disqualified Lenders.</w:t>
      </w:r>
    </w:p>
    <w:p>
      <w:pPr>
        <w:spacing w:after="0" w:line="17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Stock</w:t>
      </w:r>
      <w:r>
        <w:rPr>
          <w:rFonts w:ascii="Times New Roman" w:cs="Times New Roman" w:eastAsia="Times New Roman" w:hAnsi="Times New Roman"/>
          <w:sz w:val="22"/>
          <w:szCs w:val="22"/>
          <w:color w:val="auto"/>
        </w:rPr>
        <w:t>” means, with respect to any Person, any Capital Stock of such Person which by its terms (or by the terms of any security into which it is convertible or for which it is exchangeable) or upon the happening of any event: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084" w:right="339" w:bottom="1440" w:gutter="0" w:footer="0" w:header="0"/>
        </w:sectPr>
      </w:pPr>
    </w:p>
    <w:bookmarkStart w:id="129" w:name="page130"/>
    <w:bookmarkEnd w:id="129"/>
    <w:p>
      <w:pPr>
        <w:ind w:firstLine="1304"/>
        <w:spacing w:after="0" w:line="258" w:lineRule="auto"/>
        <w:tabs>
          <w:tab w:leader="none" w:pos="16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matures or is mandatorily </w:t>
      </w:r>
      <w:r>
        <w:rPr>
          <w:rFonts w:ascii="Times New Roman" w:cs="Times New Roman" w:eastAsia="Times New Roman" w:hAnsi="Times New Roman"/>
          <w:sz w:val="19"/>
          <w:szCs w:val="19"/>
          <w:color w:val="auto"/>
        </w:rPr>
        <w:t>redeemable</w:t>
      </w:r>
      <w:r>
        <w:rPr>
          <w:rFonts w:ascii="Times New Roman" w:cs="Times New Roman" w:eastAsia="Times New Roman" w:hAnsi="Times New Roman"/>
          <w:sz w:val="22"/>
          <w:szCs w:val="22"/>
          <w:color w:val="auto"/>
        </w:rPr>
        <w:t xml:space="preserve"> for cash or in exchange for Indebtedness pursuant to a sinking fund obligation or otherwise; or</w:t>
      </w:r>
    </w:p>
    <w:p>
      <w:pPr>
        <w:spacing w:after="0" w:line="158" w:lineRule="exact"/>
        <w:rPr>
          <w:rFonts w:ascii="Times New Roman" w:cs="Times New Roman" w:eastAsia="Times New Roman" w:hAnsi="Times New Roman"/>
          <w:sz w:val="22"/>
          <w:szCs w:val="22"/>
          <w:color w:val="auto"/>
        </w:rPr>
      </w:pPr>
    </w:p>
    <w:p>
      <w:pPr>
        <w:ind w:firstLine="1304"/>
        <w:spacing w:after="0" w:line="282" w:lineRule="auto"/>
        <w:tabs>
          <w:tab w:leader="none" w:pos="160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35"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 xml:space="preserve">in each case on or prior to the earlier of (a) the Stated Maturity of the Loans or (b) the date on which there are no Loans outstanding;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Borrower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such Capital Stock is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Holdings, any of its Subsidiaries, any Parent Entity or any other entity in which Holdings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Holdings or its Subsidiaries or by any such plan to such employees (or their respective Controlled Investment Affiliates or Immediate Family Members), such Capital Stock shall not constitute Disqualified Stock solely because it may be required to be repurchased by Holdings or its Subsidiaries in order to satisfy applicable statutory or regulatory obligations.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xml:space="preserve">” means, on any date of determination, (a) with respect to any amount denominated in Dollars, such amount, and (b) with respect to any amount in any other currency, the equivalent in Dollars of such amount, determined by the Administrative Agent or the L/C Issuer, as applicable, pursuant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using the Exchange Rate with respect to such currency at the time in effect under the provisions of such Section.</w:t>
      </w:r>
    </w:p>
    <w:p>
      <w:pPr>
        <w:spacing w:after="0" w:line="18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Foreign Holding Company</w:t>
      </w:r>
      <w:r>
        <w:rPr>
          <w:rFonts w:ascii="Times New Roman" w:cs="Times New Roman" w:eastAsia="Times New Roman" w:hAnsi="Times New Roman"/>
          <w:sz w:val="22"/>
          <w:szCs w:val="22"/>
          <w:color w:val="auto"/>
        </w:rPr>
        <w:t>” means any Domestic Subsidiary substantially all the assets of which consist (directly or indirectly through disregarded entities or partnerships) of Capital Stock (including, for this purpose, any debt or other instrument treated as equity for U.S. federal income tax purposes) and/or indebtedness (as determined for U.S. tax purposes) of one or more Foreign Subsidiaries that are CFCs or other entities described in this definition and pledged cash and Cash Equivalents and incidental assets related thereto.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xml:space="preserve"> means any Subsidiary that is not a Foreign Subsidiary.</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084" w:right="339" w:bottom="1440" w:gutter="0" w:footer="0" w:header="0"/>
        </w:sectPr>
      </w:pPr>
    </w:p>
    <w:bookmarkStart w:id="130" w:name="page131"/>
    <w:bookmarkEnd w:id="13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Yield</w:t>
      </w:r>
      <w:r>
        <w:rPr>
          <w:rFonts w:ascii="Times New Roman" w:cs="Times New Roman" w:eastAsia="Times New Roman" w:hAnsi="Times New Roman"/>
          <w:sz w:val="22"/>
          <w:szCs w:val="22"/>
          <w:color w:val="auto"/>
        </w:rPr>
        <w:t xml:space="preserve">” means, with respect to any term loan facility or other term loans, as of any date of determination, the sum of (i) the higher of (A) Adjusted Term SOFR on such date for a deposit in Dollars or Euros, as applicable, with a maturity of three months and (B) the Adjusted Term SOFR “floor,” if any, with respect thereto as of such date, (ii) the Applicable Rate (or other applicable margin) as of such date for SOFR Loans (or other loans that accrue interest by reference to a similar reference rate) without giving effect to any pricing step-downs and (iii) the amount of original issue discount and upfront fees thereon (converted to yield assuming a four-year average life and without any present value discount or, if less, the remaining life to maturity, and assuming that the commitments under any such facility that is a revolving facility are fully drawn), but excluding the effect of any amendment, arrangement, structuring, commitment, underwriting, syndication and any similar fees payable to any lead arranger (or its Affiliates) in connection with the commitment or syndication of such Indebtedness, consent fees paid to consenting lenders, ticking fees on undrawn commitments, call protection and any other fees not paid or payable generally to all lenders in the primary syndication of such term loan facility or other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amounts set forth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for any term loans that are not incurred under this Agreement shall be based on the stated interest rate basis for such term loans.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7.06(b)(e)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Assignee permitted by and consented to in accordance with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groundwater, drinking water, soil, surface and subsurface strata, and natural resources such as wetlands, flora and fauna.</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applicable Laws relating to pollution, the protection of the environment, natural resources or to the generation, transport, storage, use, treatment, Release or threat of Release of any hazardous materials or, to the extent relating to exposure to hazardous materials, human health.</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any Loan Party or any of its respective Subsidiaries directly or indirectly resulting from or based upon (a) violation of any Environmental Law, (b) the generation, use, handling, transportation, storage or treatment of any Hazardous Materials, (c) exposure of any Person to any Hazardous Materials, (d) the Release or threatened Release of any Hazardous Materials into the Environment or (e) any contract, agreement or other consensual arrangement to the extent liability is assumed or imposed with respect to any of the foregoing.</w:t>
      </w:r>
    </w:p>
    <w:p>
      <w:pPr>
        <w:spacing w:after="0" w:line="181" w:lineRule="exact"/>
        <w:rPr>
          <w:sz w:val="20"/>
          <w:szCs w:val="20"/>
          <w:color w:val="auto"/>
        </w:rPr>
      </w:pPr>
    </w:p>
    <w:p>
      <w:pPr>
        <w:jc w:val="both"/>
        <w:ind w:firstLine="1296"/>
        <w:spacing w:after="0" w:line="25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Offering</w:t>
      </w:r>
      <w:r>
        <w:rPr>
          <w:rFonts w:ascii="Times New Roman" w:cs="Times New Roman" w:eastAsia="Times New Roman" w:hAnsi="Times New Roman"/>
          <w:sz w:val="22"/>
          <w:szCs w:val="22"/>
          <w:color w:val="auto"/>
        </w:rPr>
        <w:t>” means (x) a sale of Capital Stock (other than through the issuance of Disqualified Stock or Designated Preferred Stock or an Excluded Contribution) other than (a) offerings registered on Form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 (or any successor form) under the Securities Act or any similar offering in other jurisdictions or other equity securities of Holdings or any Parent Entity and (b) issuances of Capital Stock to any Subsidiary of Holdings or Holdings or (y) a cash equity contribution to Holdings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084" w:right="339" w:bottom="1440" w:gutter="0" w:footer="0" w:header="0"/>
        </w:sectPr>
      </w:pPr>
    </w:p>
    <w:bookmarkStart w:id="131" w:name="page132"/>
    <w:bookmarkEnd w:id="13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is under common control with any Loan Party and is treated as a single employer within the meaning of Section 414 of the Code or Section 4001 of ERISA.</w:t>
      </w:r>
    </w:p>
    <w:p>
      <w:pPr>
        <w:spacing w:after="0" w:line="158"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failure to satisfy the minimum funding standard under Section 412 of the Code or Section 302 of ERISA with respect to a Pension Plan, whether or not waived, or a failure to make any required contribution to a Multiemployer Plan; (d) a complete or partial withdrawal by any Loan Party or any ERISA Affiliate from a Multiemployer Plan, notification of any Loan Party or ERISA Affiliate concerning the imposition of Withdrawal Liability or notification that a Multiemployer Plan is insolvent or in reorganization within the meaning of Title IV of ERISA or in endangered or critical status, within the meaning of Section 305 of ERISA; (e) the filing of a notice of intent to terminate, the treatment of a Pension Plan or Multiemployer Plan amendment as a termination under Section 4041 or 4041A of ERISA, or the commencement of proceedings by the PBGC to terminate a Pension Plan or Multiemployer Plan; (f) an event or condition which constitutes grounds under Section 4042 of ERISA for the termination of, or the appointment of a trustee to administer, any Pension Plan or Multiemployer Plan; (g) the imposition of any liability under Title IV of ERISA, other than for PBGC premiums due but not delinquent under Section 4007 of ERISA, upon any Loan Party or any ERISA Affiliate; (h) a determination that any Pension Plan is, or is expected to be, in “at-risk” status (within the meaning of Section 303(i)(4)(A) of ERISA or Section 430(i)(4)(A) of the Code); or (i) the occurrence of a non-exempt prohibited transaction with respect to any Pension Plan maintained or contributed to by any Loan Party (within the meaning of Section 4975 of the Code or Section 406 of ERISA) which could result in liability to any Loan Party.</w:t>
      </w:r>
    </w:p>
    <w:p>
      <w:pPr>
        <w:spacing w:after="0" w:line="181"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Cash Flow</w:t>
      </w:r>
      <w:r>
        <w:rPr>
          <w:rFonts w:ascii="Times New Roman" w:cs="Times New Roman" w:eastAsia="Times New Roman" w:hAnsi="Times New Roman"/>
          <w:sz w:val="22"/>
          <w:szCs w:val="22"/>
          <w:color w:val="auto"/>
        </w:rPr>
        <w:t>” means, with respect to Holdings, the Borrower and the Restricted Subsidiaries, for any period, an amount equal to the excess of:</w:t>
      </w:r>
    </w:p>
    <w:p>
      <w:pPr>
        <w:spacing w:after="0" w:line="158" w:lineRule="exact"/>
        <w:rPr>
          <w:sz w:val="20"/>
          <w:szCs w:val="20"/>
          <w:color w:val="auto"/>
        </w:rPr>
      </w:pPr>
    </w:p>
    <w:p>
      <w:pPr>
        <w:ind w:left="1760" w:hanging="456"/>
        <w:spacing w:after="0"/>
        <w:tabs>
          <w:tab w:leader="none" w:pos="1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6" w:lineRule="exact"/>
        <w:rPr>
          <w:rFonts w:ascii="Times New Roman" w:cs="Times New Roman" w:eastAsia="Times New Roman" w:hAnsi="Times New Roman"/>
          <w:sz w:val="22"/>
          <w:szCs w:val="22"/>
          <w:color w:val="auto"/>
        </w:rPr>
      </w:pPr>
    </w:p>
    <w:p>
      <w:pPr>
        <w:ind w:left="2200" w:hanging="248"/>
        <w:spacing w:after="0"/>
        <w:tabs>
          <w:tab w:leader="none" w:pos="22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Income of Holdings, the Borrower and the Restricted Subsidiaries for such period;</w:t>
      </w:r>
    </w:p>
    <w:p>
      <w:pPr>
        <w:spacing w:after="0" w:line="192" w:lineRule="exact"/>
        <w:rPr>
          <w:rFonts w:ascii="Times New Roman" w:cs="Times New Roman" w:eastAsia="Times New Roman" w:hAnsi="Times New Roman"/>
          <w:sz w:val="22"/>
          <w:szCs w:val="22"/>
          <w:color w:val="auto"/>
        </w:rPr>
      </w:pPr>
    </w:p>
    <w:p>
      <w:pPr>
        <w:ind w:right="20" w:firstLine="1952"/>
        <w:spacing w:after="0" w:line="258" w:lineRule="auto"/>
        <w:tabs>
          <w:tab w:leader="none" w:pos="226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amount of all non-cash charges (including depreciation and amortization) to the extent deducted in arriving at such Consolidated Net Income;</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32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decreases in Consolidated Working Capital for such period (other than any such decreases arising from acquisitions by Holdings, the Borrower and the Restricted Subsidiaries completed during such period or the application of purchase accounting);</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33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net non-cash loss on Asset Dispositions or other dispositions of property or assets by Holdings, the Borrower and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084" w:right="339" w:bottom="1440" w:gutter="0" w:footer="0" w:header="0"/>
        </w:sectPr>
      </w:pPr>
    </w:p>
    <w:bookmarkStart w:id="132" w:name="page133"/>
    <w:bookmarkEnd w:id="132"/>
    <w:p>
      <w:pPr>
        <w:spacing w:after="0" w:line="258" w:lineRule="auto"/>
        <w:rPr>
          <w:sz w:val="20"/>
          <w:szCs w:val="20"/>
          <w:color w:val="auto"/>
        </w:rPr>
      </w:pPr>
      <w:r>
        <w:rPr>
          <w:rFonts w:ascii="Times New Roman" w:cs="Times New Roman" w:eastAsia="Times New Roman" w:hAnsi="Times New Roman"/>
          <w:sz w:val="22"/>
          <w:szCs w:val="22"/>
          <w:color w:val="auto"/>
        </w:rPr>
        <w:t>during such period (other than Asset Dispositions in the ordinary course of business) to the extent deducted in arriving at such Consolidated Net Income; and</w:t>
      </w:r>
    </w:p>
    <w:p>
      <w:pPr>
        <w:spacing w:after="0" w:line="158" w:lineRule="exact"/>
        <w:rPr>
          <w:sz w:val="20"/>
          <w:szCs w:val="20"/>
          <w:color w:val="auto"/>
        </w:rPr>
      </w:pPr>
    </w:p>
    <w:p>
      <w:pPr>
        <w:ind w:right="20" w:firstLine="1952"/>
        <w:spacing w:after="0" w:line="258" w:lineRule="auto"/>
        <w:tabs>
          <w:tab w:leader="none" w:pos="226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receipts in respect of Swap Contracts during such period to the extent not otherwise included in Consolidated Net Income; </w:t>
      </w:r>
      <w:r>
        <w:rPr>
          <w:rFonts w:ascii="Times New Roman" w:cs="Times New Roman" w:eastAsia="Times New Roman" w:hAnsi="Times New Roman"/>
          <w:sz w:val="22"/>
          <w:szCs w:val="22"/>
          <w:u w:val="single" w:color="auto"/>
          <w:color w:val="auto"/>
        </w:rPr>
        <w:t>over</w:t>
      </w:r>
    </w:p>
    <w:p>
      <w:pPr>
        <w:spacing w:after="0" w:line="158"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without duplication, of:</w:t>
      </w:r>
    </w:p>
    <w:p>
      <w:pPr>
        <w:spacing w:after="0" w:line="206" w:lineRule="exact"/>
        <w:rPr>
          <w:rFonts w:ascii="Times New Roman" w:cs="Times New Roman" w:eastAsia="Times New Roman" w:hAnsi="Times New Roman"/>
          <w:sz w:val="22"/>
          <w:szCs w:val="22"/>
          <w:color w:val="auto"/>
        </w:rPr>
      </w:pPr>
    </w:p>
    <w:p>
      <w:pPr>
        <w:ind w:right="20" w:firstLine="1952"/>
        <w:spacing w:after="0" w:line="245" w:lineRule="auto"/>
        <w:tabs>
          <w:tab w:leader="none" w:pos="221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amount of all non-cash credits included in arriving at such Consolidated Net Income and cash charges to the extent included in arriving at such Consolidated Net Income;</w:t>
      </w:r>
    </w:p>
    <w:p>
      <w:pPr>
        <w:spacing w:after="0" w:line="172" w:lineRule="exact"/>
        <w:rPr>
          <w:sz w:val="20"/>
          <w:szCs w:val="20"/>
          <w:color w:val="auto"/>
        </w:rPr>
      </w:pPr>
    </w:p>
    <w:p>
      <w:pPr>
        <w:jc w:val="both"/>
        <w:ind w:firstLine="1952"/>
        <w:spacing w:after="0" w:line="239" w:lineRule="auto"/>
        <w:tabs>
          <w:tab w:leader="none" w:pos="226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duplication of amounts deducted pursuant to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below in prior fiscal years, the amount of capital expenditures or acquisitions made in cash during such period, except to the extent that such capital expenditures or acquisitions were financed with the proceeds of an incurrence or issuance of Funded Debt (other than a revolving line of credit) of Holdings or its Restricted Subsidiaries;</w:t>
      </w:r>
    </w:p>
    <w:p>
      <w:pPr>
        <w:spacing w:after="0" w:line="180" w:lineRule="exact"/>
        <w:rPr>
          <w:rFonts w:ascii="Times New Roman" w:cs="Times New Roman" w:eastAsia="Times New Roman" w:hAnsi="Times New Roman"/>
          <w:sz w:val="22"/>
          <w:szCs w:val="22"/>
          <w:color w:val="auto"/>
        </w:rPr>
      </w:pPr>
    </w:p>
    <w:p>
      <w:pPr>
        <w:jc w:val="both"/>
        <w:ind w:firstLine="1952"/>
        <w:spacing w:after="0" w:line="233" w:lineRule="auto"/>
        <w:tabs>
          <w:tab w:leader="none" w:pos="237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all principal payments of Indebtedness of Holdings and its Restricted Subsidiaries (including (A) the principal component of Capitalized Lease Obligations and (B) the amount of repayments of Term Loans pursuant to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xml:space="preserve"> and any mandatory prepayment of Term Loans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to the extent required due to an Asset Disposition that resulted in an increase to such Consolidated Net Income and not in excess of the amount of such increase but excluding (X) all other prepayments of Term Loans, (Y) all prepayments under the Revolving Credit Facility and (Z) all prepayments in respect of any other revolving credit facility, except, in the case of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to the extent there is an equivalent permanent reduction in commitments thereunder) made during such period, except to the extent financed with the proceeds of an incurrence or issuance of other Funded Debt (other than a revolving line of credit) of Holdings or its Restricted Subsidiaries;</w:t>
      </w:r>
    </w:p>
    <w:p>
      <w:pPr>
        <w:spacing w:after="0" w:line="179" w:lineRule="exact"/>
        <w:rPr>
          <w:rFonts w:ascii="Times New Roman" w:cs="Times New Roman" w:eastAsia="Times New Roman" w:hAnsi="Times New Roman"/>
          <w:sz w:val="22"/>
          <w:szCs w:val="22"/>
          <w:color w:val="auto"/>
        </w:rPr>
      </w:pPr>
    </w:p>
    <w:p>
      <w:pPr>
        <w:jc w:val="both"/>
        <w:ind w:firstLine="1952"/>
        <w:spacing w:after="0" w:line="244" w:lineRule="auto"/>
        <w:tabs>
          <w:tab w:leader="none" w:pos="235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aggregate net non-cash gain on Asset Dispositions by Holdings and its Restricted Subsidiaries during such period (other than Asset Dispositions in the ordinary course of business) to the extent included in arriving at such Consolidated Net Income;</w:t>
      </w:r>
    </w:p>
    <w:p>
      <w:pPr>
        <w:spacing w:after="0" w:line="173" w:lineRule="exact"/>
        <w:rPr>
          <w:rFonts w:ascii="Times New Roman" w:cs="Times New Roman" w:eastAsia="Times New Roman" w:hAnsi="Times New Roman"/>
          <w:sz w:val="22"/>
          <w:szCs w:val="22"/>
          <w:color w:val="auto"/>
        </w:rPr>
      </w:pPr>
    </w:p>
    <w:p>
      <w:pPr>
        <w:jc w:val="both"/>
        <w:ind w:firstLine="1952"/>
        <w:spacing w:after="0" w:line="282" w:lineRule="auto"/>
        <w:tabs>
          <w:tab w:leader="none" w:pos="225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increases in Consolidated Working Capital for such period (other than any such increases arising from acquisitions by Holdings and its Restricted Subsidiaries completed during such period or the application of purchase accounting);</w:t>
      </w:r>
    </w:p>
    <w:p>
      <w:pPr>
        <w:spacing w:after="0" w:line="134" w:lineRule="exact"/>
        <w:rPr>
          <w:rFonts w:ascii="Times New Roman" w:cs="Times New Roman" w:eastAsia="Times New Roman" w:hAnsi="Times New Roman"/>
          <w:sz w:val="21"/>
          <w:szCs w:val="21"/>
          <w:color w:val="auto"/>
        </w:rPr>
      </w:pPr>
    </w:p>
    <w:p>
      <w:pPr>
        <w:jc w:val="both"/>
        <w:ind w:firstLine="1952"/>
        <w:spacing w:after="0" w:line="246" w:lineRule="auto"/>
        <w:tabs>
          <w:tab w:leader="none" w:pos="231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cash payments by Holdings and its Restricted Subsidiaries during such period in respect of long-term liabilities of Holdings and its Restricted Subsidiaries other than Indebtedness (including such Indebtedness specified in </w:t>
      </w:r>
      <w:r>
        <w:rPr>
          <w:rFonts w:ascii="Times New Roman" w:cs="Times New Roman" w:eastAsia="Times New Roman" w:hAnsi="Times New Roman"/>
          <w:sz w:val="21"/>
          <w:szCs w:val="21"/>
          <w:u w:val="single" w:color="auto"/>
          <w:color w:val="auto"/>
        </w:rPr>
        <w:t>clause (b)</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u w:val="single" w:color="auto"/>
          <w:color w:val="auto"/>
        </w:rPr>
      </w:pPr>
    </w:p>
    <w:p>
      <w:pPr>
        <w:jc w:val="both"/>
        <w:ind w:firstLine="1952"/>
        <w:spacing w:after="0" w:line="255" w:lineRule="auto"/>
        <w:tabs>
          <w:tab w:leader="none" w:pos="237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duplication of amounts deducted pursuant to </w:t>
      </w:r>
      <w:r>
        <w:rPr>
          <w:rFonts w:ascii="Times New Roman" w:cs="Times New Roman" w:eastAsia="Times New Roman" w:hAnsi="Times New Roman"/>
          <w:sz w:val="21"/>
          <w:szCs w:val="21"/>
          <w:u w:val="single" w:color="auto"/>
          <w:color w:val="auto"/>
        </w:rPr>
        <w:t>clause (xi)</w:t>
      </w:r>
      <w:r>
        <w:rPr>
          <w:rFonts w:ascii="Times New Roman" w:cs="Times New Roman" w:eastAsia="Times New Roman" w:hAnsi="Times New Roman"/>
          <w:sz w:val="21"/>
          <w:szCs w:val="21"/>
          <w:color w:val="auto"/>
        </w:rPr>
        <w:t xml:space="preserve"> below in prior periods, the amount of Investments made during such period pursuant to </w:t>
      </w:r>
      <w:r>
        <w:rPr>
          <w:rFonts w:ascii="Times New Roman" w:cs="Times New Roman" w:eastAsia="Times New Roman" w:hAnsi="Times New Roman"/>
          <w:sz w:val="21"/>
          <w:szCs w:val="21"/>
          <w:u w:val="single" w:color="auto"/>
          <w:color w:val="auto"/>
        </w:rPr>
        <w:t>Section 7.06(b)</w:t>
      </w:r>
      <w:r>
        <w:rPr>
          <w:rFonts w:ascii="Times New Roman" w:cs="Times New Roman" w:eastAsia="Times New Roman" w:hAnsi="Times New Roman"/>
          <w:sz w:val="21"/>
          <w:szCs w:val="21"/>
          <w:color w:val="auto"/>
        </w:rPr>
        <w:t xml:space="preserve"> (other than those under clauses (a), (c), (d) or (e) of the definition of Permitted Investments) except to the extent that such Investments and acquisitions were financed with the proceeds of an incurrence or issuance of Funded Debt (other than a revolving line of credit) of Holdings or its Restricted Subsidiaries;</w:t>
      </w:r>
    </w:p>
    <w:p>
      <w:pPr>
        <w:spacing w:after="0" w:line="161" w:lineRule="exact"/>
        <w:rPr>
          <w:rFonts w:ascii="Times New Roman" w:cs="Times New Roman" w:eastAsia="Times New Roman" w:hAnsi="Times New Roman"/>
          <w:sz w:val="21"/>
          <w:szCs w:val="21"/>
          <w:color w:val="auto"/>
        </w:rPr>
      </w:pPr>
    </w:p>
    <w:p>
      <w:pPr>
        <w:jc w:val="both"/>
        <w:ind w:firstLine="1952"/>
        <w:spacing w:after="0" w:line="239" w:lineRule="auto"/>
        <w:tabs>
          <w:tab w:leader="none" w:pos="2443"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Restricted Payments paid during such period (A) pursuant to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xml:space="preserve"> (other than those under </w:t>
      </w:r>
      <w:r>
        <w:rPr>
          <w:rFonts w:ascii="Times New Roman" w:cs="Times New Roman" w:eastAsia="Times New Roman" w:hAnsi="Times New Roman"/>
          <w:sz w:val="22"/>
          <w:szCs w:val="22"/>
          <w:u w:val="single" w:color="auto"/>
          <w:color w:val="auto"/>
        </w:rPr>
        <w:t>Section 7.06(b)(xvii)</w:t>
      </w:r>
      <w:r>
        <w:rPr>
          <w:rFonts w:ascii="Times New Roman" w:cs="Times New Roman" w:eastAsia="Times New Roman" w:hAnsi="Times New Roman"/>
          <w:sz w:val="22"/>
          <w:szCs w:val="22"/>
          <w:color w:val="auto"/>
        </w:rPr>
        <w:t xml:space="preserve"> or clauses (a), (c), (d) or (e) of the definition of Permitted Investments) and (B) with amounts available for Restricted Payments pursuant to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except to the extent that such Restricted Payments were financed with the proceeds of</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08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an incurrence or issuance of Funded Debt (other than a revolving line of credit) of Holdings or its Restricted Subsidiaries;</w:t>
      </w:r>
    </w:p>
    <w:p>
      <w:pPr>
        <w:spacing w:after="0" w:line="206" w:lineRule="exact"/>
        <w:rPr>
          <w:sz w:val="20"/>
          <w:szCs w:val="20"/>
          <w:color w:val="auto"/>
        </w:rPr>
      </w:pPr>
    </w:p>
    <w:p>
      <w:pPr>
        <w:jc w:val="both"/>
        <w:ind w:firstLine="1952"/>
        <w:spacing w:after="0" w:line="239" w:lineRule="auto"/>
        <w:tabs>
          <w:tab w:leader="none" w:pos="233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any premium, make-whole or penalty payments actually paid in cash by Holdings and its Restricted Subsidiaries during such period that are required to be made in connection with any prepayment of Indebtedness except to the extent that such amounts were financed with the proceeds of an incurrence or issuance of Funded Debt (other than a revolving line of credit) of Holdings or its Restricted Subsidiaries;</w:t>
      </w:r>
    </w:p>
    <w:p>
      <w:pPr>
        <w:spacing w:after="0" w:line="180" w:lineRule="exact"/>
        <w:rPr>
          <w:rFonts w:ascii="Times New Roman" w:cs="Times New Roman" w:eastAsia="Times New Roman" w:hAnsi="Times New Roman"/>
          <w:sz w:val="22"/>
          <w:szCs w:val="22"/>
          <w:color w:val="auto"/>
        </w:rPr>
      </w:pPr>
    </w:p>
    <w:p>
      <w:pPr>
        <w:jc w:val="both"/>
        <w:ind w:firstLine="1952"/>
        <w:spacing w:after="0" w:line="235" w:lineRule="auto"/>
        <w:tabs>
          <w:tab w:leader="none" w:pos="225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expenditures actually made by Holdings and its Restricted Subsidiaries in cash during such period (including expenditures for the payment of financing fees) to the extent that such expenditures are not expensed during such period or otherwise were not deducted or added back in determining Consolidated Net Income for such period and were not financed with the proceeds of an incurrence or issuance of Indebtedness for borrowed money (other than a revolving line of credit) of Holdings or its Restricted Subsidiaries;</w:t>
      </w:r>
    </w:p>
    <w:p>
      <w:pPr>
        <w:spacing w:after="0" w:line="197" w:lineRule="exact"/>
        <w:rPr>
          <w:rFonts w:ascii="Times New Roman" w:cs="Times New Roman" w:eastAsia="Times New Roman" w:hAnsi="Times New Roman"/>
          <w:sz w:val="22"/>
          <w:szCs w:val="22"/>
          <w:color w:val="auto"/>
        </w:rPr>
      </w:pPr>
    </w:p>
    <w:p>
      <w:pPr>
        <w:jc w:val="both"/>
        <w:ind w:firstLine="1952"/>
        <w:spacing w:after="0" w:line="243" w:lineRule="auto"/>
        <w:tabs>
          <w:tab w:leader="none" w:pos="229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from Excess Cash Flow in prior periods, the aggregate consideration required to be paid in cash by Holdings or any of the Restricted Subsidiaries pursuant to binding contracts, commitments, letters of intent or purchase orders (the “</w:t>
      </w:r>
      <w:r>
        <w:rPr>
          <w:rFonts w:ascii="Times New Roman" w:cs="Times New Roman" w:eastAsia="Times New Roman" w:hAnsi="Times New Roman"/>
          <w:sz w:val="21"/>
          <w:szCs w:val="21"/>
          <w:u w:val="single" w:color="auto"/>
          <w:color w:val="auto"/>
        </w:rPr>
        <w:t>Contract Consideration</w:t>
      </w:r>
      <w:r>
        <w:rPr>
          <w:rFonts w:ascii="Times New Roman" w:cs="Times New Roman" w:eastAsia="Times New Roman" w:hAnsi="Times New Roman"/>
          <w:sz w:val="20"/>
          <w:szCs w:val="20"/>
          <w:color w:val="auto"/>
        </w:rPr>
        <w:t xml:space="preserve">”) entered into during such period, </w:t>
      </w:r>
      <w:r>
        <w:rPr>
          <w:rFonts w:ascii="Times New Roman" w:cs="Times New Roman" w:eastAsia="Times New Roman" w:hAnsi="Times New Roman"/>
          <w:sz w:val="21"/>
          <w:szCs w:val="21"/>
          <w:color w:val="auto"/>
        </w:rPr>
        <w:t>relating to Permitted Investments (other than those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under clauses (a), (d) or (e) of the definition of Permitted Investments, but including in joint ventures), capital expenditures or acquisitions to be consummated or made during the period of four consecutive fiscal quarters of Holdings following the end of such period except to the extent intended to be financed with the proceeds of an incurrence or issuance of other Indebtedness of Holdings or its Restricted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the aggregate amount utilized to finance such Permitted Investments, capital expenditures or acquisitions during such period of four consecutive fiscal quarters (excluding such payments financed with long term Indebtedness for borrowed money (other than a revolving line of credit)) is less than the Contract Consideration, the amount of such shortfall, shall be added to the calculation of Excess Cash Flow at the end of such period of four consecutive fiscal quarters;</w:t>
      </w:r>
    </w:p>
    <w:p>
      <w:pPr>
        <w:spacing w:after="0" w:line="200" w:lineRule="exact"/>
        <w:rPr>
          <w:sz w:val="20"/>
          <w:szCs w:val="20"/>
          <w:color w:val="auto"/>
        </w:rPr>
      </w:pPr>
    </w:p>
    <w:p>
      <w:pPr>
        <w:spacing w:after="0" w:line="222" w:lineRule="exact"/>
        <w:rPr>
          <w:sz w:val="20"/>
          <w:szCs w:val="20"/>
          <w:color w:val="auto"/>
        </w:rPr>
      </w:pPr>
    </w:p>
    <w:p>
      <w:pPr>
        <w:jc w:val="both"/>
        <w:ind w:firstLine="1952"/>
        <w:spacing w:after="0" w:line="238" w:lineRule="auto"/>
        <w:tabs>
          <w:tab w:leader="none" w:pos="24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cash taxes (including penalties and interest) paid or tax reserves set aside or payable (without duplication) in such period to the extent they exceed the amount of tax expense deducted in determining Consolidated Net Income for such period; and</w:t>
      </w:r>
    </w:p>
    <w:p>
      <w:pPr>
        <w:spacing w:after="0" w:line="178" w:lineRule="exact"/>
        <w:rPr>
          <w:rFonts w:ascii="Times New Roman" w:cs="Times New Roman" w:eastAsia="Times New Roman" w:hAnsi="Times New Roman"/>
          <w:sz w:val="22"/>
          <w:szCs w:val="22"/>
          <w:color w:val="auto"/>
        </w:rPr>
      </w:pPr>
    </w:p>
    <w:p>
      <w:pPr>
        <w:ind w:right="20" w:firstLine="1952"/>
        <w:spacing w:after="0" w:line="258" w:lineRule="auto"/>
        <w:tabs>
          <w:tab w:leader="none" w:pos="24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expenditures in respect of Swap Contracts during such fiscal year to the extent not deducted in arriving at such Consolidated Net Income.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06"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xml:space="preserve">” means, on any day, for purposes of determining the Dollar Equivalent of any currency other than Dollars, the rate at which such other currency may be exchanged into Dollars at the time of determination on such day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after determining that such rates shall be the basis for determining the Exchange Rate, on such date for the purchase of Dollars for delivery two Business Days later,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084" w:right="339" w:bottom="1440" w:gutter="0" w:footer="0" w:header="0"/>
        </w:sectPr>
      </w:pPr>
    </w:p>
    <w:bookmarkStart w:id="134" w:name="page135"/>
    <w:bookmarkEnd w:id="134"/>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Affiliate</w:t>
      </w:r>
      <w:r>
        <w:rPr>
          <w:rFonts w:ascii="Times New Roman" w:cs="Times New Roman" w:eastAsia="Times New Roman" w:hAnsi="Times New Roman"/>
          <w:sz w:val="22"/>
          <w:szCs w:val="22"/>
          <w:color w:val="auto"/>
        </w:rPr>
        <w:t>” means any Commitment Party’s (as defined in the Commitment Letter) or any of its affiliates’ deal teams that are engaged (x) primarily as principals in private equity or venture capital or (y) in the sale of the Borrower and its subsidiaries, including through the provision of advisory services.</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Contribution</w:t>
      </w:r>
      <w:r>
        <w:rPr>
          <w:rFonts w:ascii="Times New Roman" w:cs="Times New Roman" w:eastAsia="Times New Roman" w:hAnsi="Times New Roman"/>
          <w:sz w:val="21"/>
          <w:szCs w:val="21"/>
          <w:color w:val="auto"/>
        </w:rPr>
        <w:t>” means Net Cash Proceeds or property or assets received by Holdings as capital contributions to the equity (other than through the issuance of Disqualified Stock or Designated Preferred Stock) of Holdings after the Closing Date or from the issuance or sale (other than to a Restricted Subsidiary or an employee stock ownership plan or trust established by Holdings or any Subsidiary of Holdings for the benefit of their employees to the extent funded by Holdings or any Restricted Subsidiary) of Capital Stock (other than Disqualified Stock or Designated Preferred Stock) of Holdings.</w:t>
      </w:r>
    </w:p>
    <w:p>
      <w:pPr>
        <w:spacing w:after="0" w:line="170"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Equity</w:t>
      </w:r>
      <w:r>
        <w:rPr>
          <w:rFonts w:ascii="Times New Roman" w:cs="Times New Roman" w:eastAsia="Times New Roman" w:hAnsi="Times New Roman"/>
          <w:sz w:val="21"/>
          <w:szCs w:val="21"/>
          <w:color w:val="auto"/>
        </w:rPr>
        <w:t xml:space="preserve">” means Capital Stock (i) of any Unrestricted Subsidiary, any Immaterial Subsidiary and/or any non-Wholly Owned Subsidiary, (ii) of any Subsidiary acquired pursuant to a Permitted Investment financed with Indebtedness permitted pursuant to </w:t>
      </w:r>
      <w:r>
        <w:rPr>
          <w:rFonts w:ascii="Times New Roman" w:cs="Times New Roman" w:eastAsia="Times New Roman" w:hAnsi="Times New Roman"/>
          <w:sz w:val="21"/>
          <w:szCs w:val="21"/>
          <w:u w:val="single" w:color="auto"/>
          <w:color w:val="auto"/>
        </w:rPr>
        <w:t>Section 7.03(v)(x)</w:t>
      </w:r>
      <w:r>
        <w:rPr>
          <w:rFonts w:ascii="Times New Roman" w:cs="Times New Roman" w:eastAsia="Times New Roman" w:hAnsi="Times New Roman"/>
          <w:sz w:val="21"/>
          <w:szCs w:val="21"/>
          <w:color w:val="auto"/>
        </w:rPr>
        <w:t xml:space="preserve"> if such Capital Stock is pledged and/or mortgaged as security for such Indebtedness and if and for so long as the terms of such Indebtedness prohibit the creation of any other Lien on such Capital Stock, (iii) that is voting Capital Stock of any wholly-owned Foreign Subsidiary of the Borrower that is a CFC or Subsidiary of the Borrower that is a Domestic Foreign Holding Company, in excess of 65% of the issued and outstanding voting Capital Stock of such wholly-owned CFC or Domestic Foreign Holding Company, (iv) of any Subsidiary with respect to which the Administrative Agent and the Borrower have determined in their reasonable judgment and agreed in writing that the costs of providing a pledge of such Capital Stock or perfection thereof (including adverse tax consequences) outweighs the benefits to be obtained by the Secured Parties therefrom, (v) of any Captive Insurance Subsidiaries, not-for-profit subsidiaries, special purpose entities (including any special purpose entity used to effect a Qualified Securitization Financing) and (vi) of any Subsidiary organized outside the United States the pledge of which is prohibited by applicable Laws or which would reasonably be expected to result in a violation or breach of, or conflict with, fiduciary duties of such Subsidiary’s officers, directors or managers after giving effect to the applicable anti-assignment provisions of the Uniform Commercial Code of any applicable jurisdiction or other applicable law.</w:t>
      </w:r>
    </w:p>
    <w:p>
      <w:pPr>
        <w:spacing w:after="0" w:line="181"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means (i) any fee-owned real property that is not a Material Real Property and any leasehold interests in real property (it being understood and agreed that no action shall be required with respect to creation or perfection of security interests with respect to such leasehold interests, including to obtain landlord waivers, estoppels or collateral access letters)), (ii) motor vehicles and other assets subject to certificates of title, to the extent a Lien thereon cannot be perfected by the filing of a UCC financing statement (or analogous procedures under applicable Laws in the relevant Covered Jurisdiction), letter of credit rights to the extent a Lien thereon cannot be perfected by the filing of a UCC financing statement (or analogous procedures under applicable Laws in the relevant Covered Jurisdiction) and commercial tort claims with a value of less than $10.0 million, (iii) assets for which a pledge thereof or a security interest therein is prohibited by applicable law, rule or regulation, of any applicable jurisdiction or other applicable law or which would require governmental (including regulatory) consent, approval, license or authorization to provide such pledge thereof or security interest therein unless such consent, approval, license or authorization has been received, after giving effect to the applicable anti-assignment provisions of the Uniform Commercial Code, (iv) margin stock, (v) any cash, cash equivalents (including securities entitlements and related assets) held in payroll, healthcare, employee wage and benefits, tax (including sales tax) escrow, fiduciary and trust accounts (including any securities entitlements or related assets contained therein) or, except to the extent otherwise constituting proceeds of Collateral, deposit accounts, (vi) any segregated funds held in escrow for the benefit of an unaffiliated third party (other than the Borrower or a Guarantor), (vii) any lease, license or other agreements, or any property subject to a purchase money security interest, Capitalized Lease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084" w:right="339" w:bottom="1440" w:gutter="0" w:footer="0" w:header="0"/>
        </w:sectPr>
      </w:pPr>
    </w:p>
    <w:bookmarkStart w:id="135" w:name="page136"/>
    <w:bookmarkEnd w:id="135"/>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Obligation or similar arrangements, in each case to the extent permitted under the Loan Documents, to the extent that a pledge thereof or the grant of a security interest therein would violate or invalidate such lease, license or agreement, purchase money, capitalized lease or similar arrangement, or create a right of termination or payment in favor of any other party thereto (other than a Borrower or a Guarantor or a Subsidiary of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(viii) any intent-to-use trademark or service mark application in the United States prior to the filing of a “Statement of Use” or “Amendment to Allege Use” with respect thereto, only to the extent, if any, that, and solely during the period, if any, in which, the grant, attachment, or enforcement of a security interest therein would impair the validity or enforceability of such intent-to-use trademark or service mark application under applicable U.S. federal law, (ix) Excluded Equity, (x) [reserved], (xi) any governmental licenses or state or local franchises, charters or authorizations, to the extent a security interest in any such licenses, franchise, charter or authorization would be prohibited or restricted thereby (including any legally effective prohibition or restriction) after giving effect to the applicable anti-assignment provisions of the UCC or other similar applicable law, (xii) the assets of any CFC or Domestic Foreign Holding Company, (xiii) any assets to the extent a security interest in such assets would result in adverse tax consequences that are not </w:t>
      </w:r>
      <w:r>
        <w:rPr>
          <w:rFonts w:ascii="Times New Roman" w:cs="Times New Roman" w:eastAsia="Times New Roman" w:hAnsi="Times New Roman"/>
          <w:sz w:val="21"/>
          <w:szCs w:val="21"/>
          <w:i w:val="1"/>
          <w:iCs w:val="1"/>
          <w:color w:val="auto"/>
        </w:rPr>
        <w:t>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minimis </w:t>
      </w:r>
      <w:r>
        <w:rPr>
          <w:rFonts w:ascii="Times New Roman" w:cs="Times New Roman" w:eastAsia="Times New Roman" w:hAnsi="Times New Roman"/>
          <w:sz w:val="21"/>
          <w:szCs w:val="21"/>
          <w:color w:val="auto"/>
        </w:rPr>
        <w:t>as reasonably determined by the Borrower, in consultation with (but without the consent of) the Administrative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(xiv) any assets with respect to which the Borrower and the Administrative Agent reasonably agree in writing that the cost and/or burden of obtaining or perfecting such security are excessive in relation to the benefits to the Lenders afforded thereby.</w:t>
      </w:r>
    </w:p>
    <w:p>
      <w:pPr>
        <w:spacing w:after="0" w:line="163"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Subsidiary</w:t>
      </w:r>
      <w:r>
        <w:rPr>
          <w:rFonts w:ascii="Times New Roman" w:cs="Times New Roman" w:eastAsia="Times New Roman" w:hAnsi="Times New Roman"/>
          <w:sz w:val="21"/>
          <w:szCs w:val="21"/>
          <w:color w:val="auto"/>
        </w:rPr>
        <w:t xml:space="preserve">” means (a) each Subsidiary listed on </w:t>
      </w:r>
      <w:r>
        <w:rPr>
          <w:rFonts w:ascii="Times New Roman" w:cs="Times New Roman" w:eastAsia="Times New Roman" w:hAnsi="Times New Roman"/>
          <w:sz w:val="21"/>
          <w:szCs w:val="21"/>
          <w:u w:val="single" w:color="auto"/>
          <w:color w:val="auto"/>
        </w:rPr>
        <w:t>Schedule 1.01C</w:t>
      </w:r>
      <w:r>
        <w:rPr>
          <w:rFonts w:ascii="Times New Roman" w:cs="Times New Roman" w:eastAsia="Times New Roman" w:hAnsi="Times New Roman"/>
          <w:sz w:val="21"/>
          <w:szCs w:val="21"/>
          <w:color w:val="auto"/>
        </w:rPr>
        <w:t xml:space="preserve"> of the Closing Date Certificate, (b) any Subsidiary that is prohibited by applicable Law, rule or regulation or by any contractual obligation existing on the Closing Date or on the date such Subsidiary is acquired (so long as in respect of any such contractual obligation, such prohibition is not incurred in contemplation of such acquisition) from guaranteeing the Secured Obligations or which would require governmental (including regulatory) consent, approval, license or authorization to provide a Guarantee unless such consent, approval, license or authorization has been received, (c) [reserved], (d) any Foreign Subsidiary, (e) any Restricted Subsidiary acquired pursuant to a Permitted Investment that, at the time of such Permitted Investment, has assumed secured Indebtedness permitted under this Agreement not incurred in contemplation of such Permitted Investment and each Restricted Subsidiary that is a Subsidiary thereof that guarantees such Indebtedness, in each case, to the extent such secured Indebtedness prohibits such Subsidiary from becoming a Guarantor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such Restricted Subsidiary shall cease to be an Excluded Subsidiary under this </w:t>
      </w:r>
      <w:r>
        <w:rPr>
          <w:rFonts w:ascii="Times New Roman" w:cs="Times New Roman" w:eastAsia="Times New Roman" w:hAnsi="Times New Roman"/>
          <w:sz w:val="21"/>
          <w:szCs w:val="21"/>
          <w:u w:val="single" w:color="auto"/>
          <w:color w:val="auto"/>
        </w:rPr>
        <w:t>clause</w:t>
      </w:r>
    </w:p>
    <w:p>
      <w:pPr>
        <w:spacing w:after="0" w:line="6" w:lineRule="exact"/>
        <w:rPr>
          <w:sz w:val="20"/>
          <w:szCs w:val="20"/>
          <w:color w:val="auto"/>
        </w:rPr>
      </w:pPr>
    </w:p>
    <w:p>
      <w:pPr>
        <w:jc w:val="both"/>
        <w:ind w:firstLine="8"/>
        <w:spacing w:after="0" w:line="241" w:lineRule="auto"/>
        <w:tabs>
          <w:tab w:leader="none" w:pos="327" w:val="left"/>
        </w:tabs>
        <w:numPr>
          <w:ilvl w:val="0"/>
          <w:numId w:val="11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if such secured Indebtedness is repaid or becomes unsecured, if such Restricted Subsidiary ceases to be an obligor with respect to such secured Indebtedness or such prohibition no longer exists, as applicable), (f) any Immaterial Subsidiary or Unrestricted Subsidiary, (g) Captive Insurance Subsidiaries, (h) not-for-profit Subsidiaries, (i) special purpose entities (including any entity used to effect any Qualified Securitization Financing), (j) any non-Wholly Owned Subsidiary, (k)(i) any Domestic Subsidiary of a Foreign Subsidiary that is a CFC and (ii) any Domestic Foreign Holding Company, (l) JV Entities, (m) any Subsidiary that is an “investment company” under the Investment Company Act of 1940, as amended, (n) any Restricted Subsidiary, the provision of a Guarantee by which would reasonably be expected to result in adverse tax consequences to the Borrower or any of the Restricted Subsidiaries that are not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as reasonably determined by the Borrower, in consultation with (but without the consent of) the Administrative Agent and (o) any other Subsidiary with respect to which the Administrative Agent and the Borrower reasonably agree that the cost, burden or other consequences (including any tax consequences) of providing a Guarantee outweighs, or is excessive in relation to the value afforded thereby;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subject to the consent of the Administrative Agent (not to be unreasonably withheld, delayed or conditioned), 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084" w:right="339" w:bottom="1440" w:gutter="0" w:footer="0" w:header="0"/>
        </w:sectPr>
      </w:pPr>
    </w:p>
    <w:bookmarkStart w:id="136" w:name="page137"/>
    <w:bookmarkEnd w:id="13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Restricted Subsidiary that would otherwise constitute an Excluded Subsidiary hereunder that elects to become a Guarantor pursuant to the definition thereof shall no longer constitute an Excluded Subsidiary.</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Guarantor, any Swap Obligation if, and solely to the extent that, all or a portion of the Guarantee of such Guarantor of, or the grant by such Guarantor of a security interest pursuant to the Collateral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w:t>
      </w:r>
    </w:p>
    <w:p>
      <w:pPr>
        <w:spacing w:after="0" w:line="18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Recipient’s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 that is imposed on amounts payable to such Lender with respect to an applicable interest in a Loan or Commitment pursuant to a law in effect at the time such Lender acquires such interest in the Loan or Commitment (or designates a new lending office), except to the extent that such Lender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(c) Taxes attributable to such Recipient’s failure to comply with </w:t>
      </w:r>
      <w:r>
        <w:rPr>
          <w:rFonts w:ascii="Times New Roman" w:cs="Times New Roman" w:eastAsia="Times New Roman" w:hAnsi="Times New Roman"/>
          <w:sz w:val="22"/>
          <w:szCs w:val="22"/>
          <w:u w:val="single" w:color="auto"/>
          <w:color w:val="auto"/>
        </w:rPr>
        <w:t>Section 3.01(f)</w:t>
      </w:r>
      <w:r>
        <w:rPr>
          <w:rFonts w:ascii="Times New Roman" w:cs="Times New Roman" w:eastAsia="Times New Roman" w:hAnsi="Times New Roman"/>
          <w:sz w:val="22"/>
          <w:szCs w:val="22"/>
          <w:color w:val="auto"/>
        </w:rPr>
        <w:t xml:space="preserve"> and (d) any U.S. federal withholding Taxes imposed pursuant to FATCA.</w:t>
      </w:r>
    </w:p>
    <w:p>
      <w:pPr>
        <w:spacing w:after="0" w:line="18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Amended and Restated ABL Credit and Guarantee Agreement, dated as of March 23, 2020, as amended, by and among the Borrower, Holdings, ATI Investment Holdings, Inc., the subsidiary guarantors from time to time party thereto, the lenders party thereto from time to time and Wells Fargo Bank National Association, as collateral and administrative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Credit Commitment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a Class of Term Loans or a Revolving Credit Facility, as the context may require.</w:t>
      </w:r>
    </w:p>
    <w:p>
      <w:pPr>
        <w:spacing w:after="0" w:line="20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current Sections 1471 through 1474 of the Code (and any amended or successor version to the extent such version is substantively comparable and not materially more onerous to comply with) or any current or future Treasury regulations promulgated thereunder or other official administrative interpretations thereof, any agreements entered into pursuant to current Section 1471(b)(1) of the Code (or any amended or successor version described above) and any fiscal 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084"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22"/>
          <w:szCs w:val="22"/>
          <w:color w:val="auto"/>
        </w:rPr>
        <w:t>regulatory legislation, rules or practices adopted pursuant to any intergovernmental agreement, treaty or convention among Governmental Authorities and implementing such Section of the Code.</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the purposes of this Agreement.</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“Fee Letter” </w:t>
      </w:r>
      <w:r>
        <w:rPr>
          <w:rFonts w:ascii="Times New Roman" w:cs="Times New Roman" w:eastAsia="Times New Roman" w:hAnsi="Times New Roman"/>
          <w:sz w:val="22"/>
          <w:szCs w:val="22"/>
          <w:color w:val="FF0000"/>
          <w:strike w:val="1"/>
        </w:rPr>
        <w:t>means the</w:t>
      </w:r>
      <w:r>
        <w:rPr>
          <w:rFonts w:ascii="Times New Roman" w:cs="Times New Roman" w:eastAsia="Times New Roman" w:hAnsi="Times New Roman"/>
          <w:sz w:val="22"/>
          <w:szCs w:val="22"/>
          <w:color w:val="auto"/>
        </w:rPr>
        <w:t xml:space="preserve"> means the Amended and Restated Fee Letter dated September 23, 2020 by and among the Borrower, Goldman Sachs, Barclays, CS, Guggenheim Securities and each of the Financing Sources, MUFG, Nomura, UBS and 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means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Event of 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means</w:t>
      </w:r>
      <w:r>
        <w:rPr>
          <w:rFonts w:ascii="Times New Roman" w:cs="Times New Roman" w:eastAsia="Times New Roman" w:hAnsi="Times New Roman"/>
          <w:sz w:val="22"/>
          <w:szCs w:val="22"/>
          <w:u w:val="single" w:color="auto"/>
          <w:color w:val="0000FF"/>
        </w:rPr>
        <w:t>has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FF0000"/>
          <w:strike w:val="1"/>
        </w:rPr>
        <w:t>covenant</w:t>
      </w:r>
      <w:r>
        <w:rPr>
          <w:rFonts w:ascii="Times New Roman" w:cs="Times New Roman" w:eastAsia="Times New Roman" w:hAnsi="Times New Roman"/>
          <w:sz w:val="22"/>
          <w:szCs w:val="22"/>
          <w:u w:val="single" w:color="auto"/>
          <w:color w:val="0000FF"/>
        </w:rPr>
        <w:t>meaning</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7.09</w:t>
      </w:r>
      <w:r>
        <w:rPr>
          <w:rFonts w:ascii="Times New Roman" w:cs="Times New Roman" w:eastAsia="Times New Roman" w:hAnsi="Times New Roman"/>
          <w:sz w:val="22"/>
          <w:szCs w:val="22"/>
          <w:u w:val="single" w:color="auto"/>
          <w:color w:val="0000FF"/>
        </w:rPr>
        <w:t>8.01</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Charges</w:t>
      </w:r>
      <w:r>
        <w:rPr>
          <w:rFonts w:ascii="Times New Roman" w:cs="Times New Roman" w:eastAsia="Times New Roman" w:hAnsi="Times New Roman"/>
          <w:sz w:val="22"/>
          <w:szCs w:val="22"/>
          <w:color w:val="auto"/>
        </w:rPr>
        <w:t>” means, with respect to any Person for any period, the sum of: (without duplication)</w:t>
      </w:r>
    </w:p>
    <w:p>
      <w:pPr>
        <w:spacing w:after="0" w:line="193" w:lineRule="exact"/>
        <w:rPr>
          <w:sz w:val="20"/>
          <w:szCs w:val="20"/>
          <w:color w:val="auto"/>
        </w:rPr>
      </w:pPr>
    </w:p>
    <w:p>
      <w:pPr>
        <w:ind w:left="1600" w:hanging="296"/>
        <w:spacing w:after="0"/>
        <w:tabs>
          <w:tab w:leader="none" w:pos="16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Consolidated Interest Expense of such Person for such period; </w:t>
      </w:r>
      <w:r>
        <w:rPr>
          <w:rFonts w:ascii="Times New Roman" w:cs="Times New Roman" w:eastAsia="Times New Roman" w:hAnsi="Times New Roman"/>
          <w:sz w:val="22"/>
          <w:szCs w:val="22"/>
          <w:u w:val="single" w:color="auto"/>
          <w:color w:val="auto"/>
        </w:rPr>
        <w:t>plus</w:t>
      </w:r>
    </w:p>
    <w:p>
      <w:pPr>
        <w:spacing w:after="0" w:line="206" w:lineRule="exact"/>
        <w:rPr>
          <w:rFonts w:ascii="Times New Roman" w:cs="Times New Roman" w:eastAsia="Times New Roman" w:hAnsi="Times New Roman"/>
          <w:sz w:val="22"/>
          <w:szCs w:val="22"/>
          <w:color w:val="auto"/>
        </w:rPr>
      </w:pPr>
    </w:p>
    <w:p>
      <w:pPr>
        <w:ind w:left="900" w:firstLine="404"/>
        <w:spacing w:after="0" w:line="258" w:lineRule="auto"/>
        <w:tabs>
          <w:tab w:leader="none" w:pos="162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cash dividends or other distributions paid (excluding items eliminated in consolidation) on any series of Preferred Stock of any Restricted Subsidiary of such Person during such period; </w:t>
      </w:r>
      <w:r>
        <w:rPr>
          <w:rFonts w:ascii="Times New Roman" w:cs="Times New Roman" w:eastAsia="Times New Roman" w:hAnsi="Times New Roman"/>
          <w:sz w:val="22"/>
          <w:szCs w:val="22"/>
          <w:u w:val="single" w:color="auto"/>
          <w:color w:val="auto"/>
        </w:rPr>
        <w:t>plus</w:t>
      </w:r>
    </w:p>
    <w:p>
      <w:pPr>
        <w:spacing w:after="0" w:line="158" w:lineRule="exact"/>
        <w:rPr>
          <w:rFonts w:ascii="Times New Roman" w:cs="Times New Roman" w:eastAsia="Times New Roman" w:hAnsi="Times New Roman"/>
          <w:sz w:val="22"/>
          <w:szCs w:val="22"/>
          <w:color w:val="auto"/>
        </w:rPr>
      </w:pPr>
    </w:p>
    <w:p>
      <w:pPr>
        <w:ind w:left="900" w:firstLine="404"/>
        <w:spacing w:after="0" w:line="258" w:lineRule="auto"/>
        <w:tabs>
          <w:tab w:leader="none" w:pos="161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dividends, or other distributions paid (excluding items eliminated in consolidation) on any series of Disqualified Stock of such Person during such period.</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Insurance Laws</w:t>
      </w:r>
      <w:r>
        <w:rPr>
          <w:rFonts w:ascii="Times New Roman" w:cs="Times New Roman" w:eastAsia="Times New Roman" w:hAnsi="Times New Roman"/>
          <w:sz w:val="22"/>
          <w:szCs w:val="22"/>
          <w:color w:val="auto"/>
        </w:rPr>
        <w:t>”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63"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 means any employee benefit plan, program, policy, arrangement or agreement maintained or contributed to or by, or entered into with, any Loan Party or any Restricted Subsidiary with respect to employees outside the United States.</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 Subsidiary (which may be a corporation, limited liability company, partnership or other legal entity) organized under the laws of a jurisdiction outside the United States, other than any such entity that is (whether as a matter of law, pursuant to an election by such entity or otherwise) treated as a partnership in which any Loan Party is a partner or as a branch of any Loan Party for United States income tax purposes.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084" w:right="339"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engaged in making, purchasing, holding or otherwise investing in commercial loans and similar extensions of credit in the ordinary course of its activities.</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Debt</w:t>
      </w:r>
      <w:r>
        <w:rPr>
          <w:rFonts w:ascii="Times New Roman" w:cs="Times New Roman" w:eastAsia="Times New Roman" w:hAnsi="Times New Roman"/>
          <w:sz w:val="22"/>
          <w:szCs w:val="22"/>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9"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of America as in effect on the date of any calculation or determination required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amendment of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any such election, once made, shall be irrevocable.</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If there occurs a change in GAAP and such change would cause a change in the method of calculation of any standards, terms or measures (including all computations of amounts and ratios) used in this Agreement (an “</w:t>
      </w: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then the Borrower may elect that such standards, terms or measures shall be calculated as if such Accounting Change had not occurred.</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Intercompany Note</w:t>
      </w:r>
      <w:r>
        <w:rPr>
          <w:rFonts w:ascii="Times New Roman" w:cs="Times New Roman" w:eastAsia="Times New Roman" w:hAnsi="Times New Roman"/>
          <w:sz w:val="22"/>
          <w:szCs w:val="22"/>
          <w:color w:val="auto"/>
        </w:rPr>
        <w:t>” collectively, (a) that certain Global Intercompany Note and Subordination Agreement, dated as of the Closing Date, by and among Holdings, the Borrower and the other Restricted Subsidiaries party thereto and (b) each other supplement delivered in connection therewith.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Goldman Sachs</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any other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(includes any supra-national bodies such as the European Union or the European Central Bank).</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means any authorization, approval, consent, franchise, license, covenant, order, ruling, permit, certification, exemption, notice, declaration or similar right, undertaking or other action of, to or by, or any filing, qualification or registration with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084" w:right="339" w:bottom="1440" w:gutter="0" w:footer="0" w:header="0"/>
        </w:sectPr>
      </w:pPr>
    </w:p>
    <w:bookmarkStart w:id="139" w:name="page140"/>
    <w:bookmarkEnd w:id="13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any obligation, contingent or otherwise, of any Person directly or indirectly guaranteeing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 of any other Person, including any such obligation, direct or indirect, contingent or otherwise, of such Person:</w:t>
      </w:r>
    </w:p>
    <w:p>
      <w:pPr>
        <w:spacing w:after="0" w:line="182" w:lineRule="exact"/>
        <w:rPr>
          <w:sz w:val="20"/>
          <w:szCs w:val="20"/>
          <w:color w:val="auto"/>
        </w:rPr>
      </w:pPr>
    </w:p>
    <w:p>
      <w:pPr>
        <w:jc w:val="both"/>
        <w:ind w:firstLine="1304"/>
        <w:spacing w:after="0" w:line="244" w:lineRule="auto"/>
        <w:tabs>
          <w:tab w:leader="none" w:pos="161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59"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primarily for purposes of assuring in any other manner the obligee of such Indebtedness of the payment thereof or to protect such obligee against loss in respect thereof (in whole or in part);</w:t>
      </w:r>
    </w:p>
    <w:p>
      <w:pPr>
        <w:spacing w:after="0" w:line="15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term “Guarantee” will not include (x) endorsements for collection or deposit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ordinary course of business or consistent with past practice and (y) standard contractual indemnities or product warranties provided in the ordinary course of business,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6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has the meaning specified in the definition of “Collateral and Guarantee Requirement.” For avoidance of doubt, the Borrower in its sole discretion may cause any Restricted Subsidiary that is not a Guarantor to Guarantee the Secured Obligations by causing such Restricted Subsidiary to execute and deliver to the Administrative Agent a Guaranty Supplement (as defined in the Guaranty and to satisfy the Collateral and Guarantee Requirement), and any such Restricted Subsidiary shall thereafter be a Guarantor, Loan Party and Subsidiary Guarantor (and not an Excluded Subsidiary) hereunder for all purposes;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Restricted Subsidiary is not organized in an existing Covered Jurisdiction, the jurisdiction or organization of such Restricted Subsidiary shall be reasonably satisfactory to the Collateral Agent including taking into account imposition of fiduciary duties and/or if acting as Collateral Agent or entering into Loan Documents with Subsidiaries in such jurisdiction is prohibited by applicable Law or would expose the Collateral Agent, in its capacity as such, to material additional liabilities or political risk.</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collectively, (a) the Guaranty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and (b) each other guaranty and guaranty supplement delivered pursuant to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other chemicals, pollutants, contaminants, substances or wastes of any nature regulated pursuant to any Environmental Law due to their dangerous or deleterious properties or characteristics, including petroleum or petroleum distillates, friable asbestos or asbestos-containing materials, polychlorinated biphenyls, radon gas and toxic mold.</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Bank</w:t>
      </w:r>
      <w:r>
        <w:rPr>
          <w:rFonts w:ascii="Times New Roman" w:cs="Times New Roman" w:eastAsia="Times New Roman" w:hAnsi="Times New Roman"/>
          <w:sz w:val="22"/>
          <w:szCs w:val="22"/>
          <w:color w:val="auto"/>
        </w:rPr>
        <w:t>” means (x) any Person that is a Lender, an Agent or an Affiliate of the foregoing on the Closing Date, or at the time it enters into a Swap Contract with a Loan Party or any Restricted Subsidiary and (y) any other Person designated by the Borrower with notice to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084" w:right="339" w:bottom="1440" w:gutter="0" w:footer="0" w:header="0"/>
        </w:sectPr>
      </w:pPr>
    </w:p>
    <w:bookmarkStart w:id="140" w:name="page141"/>
    <w:bookmarkEnd w:id="140"/>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Administrative Agent that enters into a Swap Contract with a Loan Party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this clause (y), such Person shall have appointed the Administrative Agent and the Collateral Agent as its agents under the applicable Loan Documents and agreed to be bound by the provisions of Article IX in favor of the Agent as if it were a Lender and shall have been deemed to have made the representations and warranties set forth in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 xml:space="preserve"> in favor of the Agents, in each case, pursuant to a writing substantially in the form of Exhibit O or otherwise reasonably satisfactory to the Borrower and the Administrative Agent.</w:t>
      </w:r>
    </w:p>
    <w:p>
      <w:pPr>
        <w:spacing w:after="0" w:line="16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Obligations</w:t>
      </w:r>
      <w:r>
        <w:rPr>
          <w:rFonts w:ascii="Times New Roman" w:cs="Times New Roman" w:eastAsia="Times New Roman" w:hAnsi="Times New Roman"/>
          <w:sz w:val="21"/>
          <w:szCs w:val="21"/>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16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 Company</w:t>
      </w:r>
      <w:r>
        <w:rPr>
          <w:rFonts w:ascii="Times New Roman" w:cs="Times New Roman" w:eastAsia="Times New Roman" w:hAnsi="Times New Roman"/>
          <w:sz w:val="22"/>
          <w:szCs w:val="22"/>
          <w:color w:val="auto"/>
        </w:rPr>
        <w:t>” means any Person so long as such Person directly or indirectly holds 100% of the total voting power of the Voting Stock of Holdings,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has the meaning specified in the introductory paragraph to this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Honor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means, at any date of determination, each Restricted Subsidiary of the Borrower that (i) has not guaranteed any other Indebtedness of the Borrower and (ii) has Total Assets and total revenues of less than 5.0% of Total Assets and, together with all other </w:t>
      </w:r>
      <w:r>
        <w:rPr>
          <w:rFonts w:ascii="Times New Roman" w:cs="Times New Roman" w:eastAsia="Times New Roman" w:hAnsi="Times New Roman"/>
          <w:sz w:val="22"/>
          <w:szCs w:val="22"/>
          <w:color w:val="FF0000"/>
          <w:strike w:val="1"/>
        </w:rPr>
        <w:t>Borrower</w:t>
      </w:r>
      <w:r>
        <w:rPr>
          <w:rFonts w:ascii="Times New Roman" w:cs="Times New Roman" w:eastAsia="Times New Roman" w:hAnsi="Times New Roman"/>
          <w:sz w:val="22"/>
          <w:szCs w:val="22"/>
          <w:u w:val="single" w:color="auto"/>
          <w:color w:val="0000FF"/>
        </w:rPr>
        <w:t>Restricted Subsidiaries that are Immaterial</w:t>
      </w:r>
      <w:r>
        <w:rPr>
          <w:rFonts w:ascii="Times New Roman" w:cs="Times New Roman" w:eastAsia="Times New Roman" w:hAnsi="Times New Roman"/>
          <w:sz w:val="22"/>
          <w:szCs w:val="22"/>
          <w:color w:val="auto"/>
        </w:rPr>
        <w:t xml:space="preserve"> Subsidiaries (as determined in accordance with GAAP), has Total Assets and total revenues of less than 10.0% of Total Assets, in each case, measured at the end of the most recent fiscal period for which consolidated financial statements are available (which may be internal consolidated financial statements) and revenues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6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Immediate Family Members</w:t>
      </w:r>
      <w:r>
        <w:rPr>
          <w:rFonts w:ascii="Times New Roman" w:cs="Times New Roman" w:eastAsia="Times New Roman" w:hAnsi="Times New Roman"/>
          <w:sz w:val="22"/>
          <w:szCs w:val="22"/>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084" w:right="339" w:bottom="1440" w:gutter="0" w:footer="0" w:header="0"/>
        </w:sectPr>
      </w:pPr>
    </w:p>
    <w:bookmarkStart w:id="141" w:name="page142"/>
    <w:bookmarkEnd w:id="14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Closing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Incurrence Test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Credit Commitments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Incur</w:t>
      </w:r>
      <w:r>
        <w:rPr>
          <w:rFonts w:ascii="Times New Roman" w:cs="Times New Roman" w:eastAsia="Times New Roman" w:hAnsi="Times New Roman"/>
          <w:sz w:val="22"/>
          <w:szCs w:val="22"/>
          <w:color w:val="auto"/>
        </w:rPr>
        <w:t xml:space="preserve">” means issue, create, assume, enter into any Guarantee of, incur, extend or otherwise become liable 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any Indebtedness or Capital Stock of a Person existing at the time such Person becomes a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(whether by merger, amalgamation, consolidation, acquisition or otherwise) will be deemed to be Incurred by such Restricted Subsidiary at the time it becomes a Restricted Subsidiary and the terms “Incurred,” “</w:t>
      </w:r>
      <w:r>
        <w:rPr>
          <w:rFonts w:ascii="Times New Roman" w:cs="Times New Roman" w:eastAsia="Times New Roman" w:hAnsi="Times New Roman"/>
          <w:sz w:val="22"/>
          <w:szCs w:val="22"/>
          <w:u w:val="single" w:color="auto"/>
          <w:color w:val="auto"/>
        </w:rPr>
        <w:t>Incurring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Incurrence</w:t>
      </w:r>
      <w:r>
        <w:rPr>
          <w:rFonts w:ascii="Times New Roman" w:cs="Times New Roman" w:eastAsia="Times New Roman" w:hAnsi="Times New Roman"/>
          <w:sz w:val="22"/>
          <w:szCs w:val="22"/>
          <w:color w:val="auto"/>
        </w:rPr>
        <w:t>” have meanings correlative to the foregoing and any Indebtedness pursuant to any revolving credit or similar facility shall only be “Incurred” at the time any funds are borrowed thereunder.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on any date of determination (without duplication):</w:t>
      </w:r>
    </w:p>
    <w:p>
      <w:pPr>
        <w:spacing w:after="0" w:line="206" w:lineRule="exact"/>
        <w:rPr>
          <w:sz w:val="20"/>
          <w:szCs w:val="20"/>
          <w:color w:val="auto"/>
        </w:rPr>
      </w:pPr>
    </w:p>
    <w:p>
      <w:pPr>
        <w:ind w:left="1600" w:hanging="296"/>
        <w:spacing w:after="0"/>
        <w:tabs>
          <w:tab w:leader="none" w:pos="16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indebtedness of such Person for borrowed money;</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 obligations of such Person evidenced by bonds, debentures, notes or other similar instruments;</w:t>
      </w:r>
    </w:p>
    <w:p>
      <w:pPr>
        <w:spacing w:after="0" w:line="217" w:lineRule="exact"/>
        <w:rPr>
          <w:rFonts w:ascii="Times New Roman" w:cs="Times New Roman" w:eastAsia="Times New Roman" w:hAnsi="Times New Roman"/>
          <w:sz w:val="21"/>
          <w:szCs w:val="21"/>
          <w:color w:val="auto"/>
        </w:rPr>
      </w:pPr>
    </w:p>
    <w:p>
      <w:pPr>
        <w:jc w:val="both"/>
        <w:ind w:firstLine="1304"/>
        <w:spacing w:after="0" w:line="235" w:lineRule="auto"/>
        <w:tabs>
          <w:tab w:leader="none" w:pos="16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173"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Lease Obligations of such Person;</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4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1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amount of such Indebtedness will be the lesser of (a) the fair market value of such asset at such date of determination (as determined in good faith by the Borrower) and (b) the amount of such Indebtedness of such other Persons;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084" w:right="339" w:bottom="1440" w:gutter="0" w:footer="0" w:header="0"/>
        </w:sectPr>
      </w:pPr>
    </w:p>
    <w:bookmarkStart w:id="142" w:name="page143"/>
    <w:bookmarkEnd w:id="142"/>
    <w:p>
      <w:pPr>
        <w:ind w:left="1620" w:hanging="316"/>
        <w:spacing w:after="0"/>
        <w:tabs>
          <w:tab w:leader="none" w:pos="16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such Person of the principal component of Indebtedness of the type referred to in clauses (1),</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(3), (4), (5) and (9) hereof of other Persons to the extent guaranteed by such Person; and</w:t>
      </w:r>
    </w:p>
    <w:p>
      <w:pPr>
        <w:spacing w:after="0" w:line="18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5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6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with respect to clauses (1), (2), (3), (4), (5) and (9)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Codification Topic No. 815— Derivatives and Hedging and related pronouncements to the extent such effects would otherwise increase or decrease an amount of Indebtedness for any purpose under this Agreement as a result of accounting for any embedded derivatives created by the terms of such Indebtedness.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Notwithstanding the foregoing, in no event shall the following constitute Indebtedness:</w:t>
      </w:r>
    </w:p>
    <w:p>
      <w:pPr>
        <w:spacing w:after="0" w:line="224"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0"/>
          <w:szCs w:val="20"/>
          <w:color w:val="auto"/>
        </w:rPr>
        <w:t>(i) Contingent Obligations Incurred in the ordinary course of business or consistent with past practice, other than Guarantees or other assumptions of Indebtedness;</w:t>
      </w:r>
    </w:p>
    <w:p>
      <w:pPr>
        <w:spacing w:after="0" w:line="200" w:lineRule="exact"/>
        <w:rPr>
          <w:sz w:val="20"/>
          <w:szCs w:val="20"/>
          <w:color w:val="auto"/>
        </w:rPr>
      </w:pPr>
    </w:p>
    <w:p>
      <w:pPr>
        <w:spacing w:after="0" w:line="208" w:lineRule="exact"/>
        <w:rPr>
          <w:sz w:val="20"/>
          <w:szCs w:val="20"/>
          <w:color w:val="auto"/>
        </w:rPr>
      </w:pPr>
    </w:p>
    <w:p>
      <w:pPr>
        <w:ind w:left="1760" w:hanging="456"/>
        <w:spacing w:after="0"/>
        <w:tabs>
          <w:tab w:leader="none" w:pos="17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Obligations;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47" w:lineRule="auto"/>
        <w:tabs>
          <w:tab w:leader="none" w:pos="190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concession or license of property (or Guarantee thereof) which would be considered an operating lease under GAAP as in effect on December 31, 2018, Non-Financing Lease Obligations, Sale and Leaseback Transactions or any prepayments of deposits received from clients or customers in the ordinary course of business or consistent with past practice;</w:t>
      </w:r>
    </w:p>
    <w:p>
      <w:pPr>
        <w:spacing w:after="0" w:line="194"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85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any license, permit or other approval (or Guarantees given in respect of such obligations) incurred prior to the Closing Date or in the ordinary course of business or consistent with past practice;</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3" w:lineRule="auto"/>
        <w:tabs>
          <w:tab w:leader="none" w:pos="176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purchase by the Borrower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0"/>
          <w:szCs w:val="20"/>
          <w:color w:val="auto"/>
        </w:rPr>
        <w:t>, that, at the time of closing, the amount of any such payment is not determinable and, to the extent such payment thereafter becomes fixed and determined, the amount is paid in a timely manner;</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95" w:lineRule="auto"/>
        <w:tabs>
          <w:tab w:leader="none" w:pos="181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084" w:right="339" w:bottom="1440" w:gutter="0" w:footer="0" w:header="0"/>
        </w:sectPr>
      </w:pPr>
    </w:p>
    <w:bookmarkStart w:id="143" w:name="page144"/>
    <w:bookmarkEnd w:id="143"/>
    <w:p>
      <w:pPr>
        <w:ind w:left="1900" w:hanging="596"/>
        <w:spacing w:after="0"/>
        <w:tabs>
          <w:tab w:leader="none" w:pos="19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or in respect of Qualified Securitization Financing or Receivables Facilities;</w:t>
      </w:r>
    </w:p>
    <w:p>
      <w:pPr>
        <w:spacing w:after="0" w:line="215" w:lineRule="exact"/>
        <w:rPr>
          <w:rFonts w:ascii="Times New Roman" w:cs="Times New Roman" w:eastAsia="Times New Roman" w:hAnsi="Times New Roman"/>
          <w:sz w:val="20"/>
          <w:szCs w:val="20"/>
          <w:color w:val="auto"/>
        </w:rPr>
      </w:pPr>
    </w:p>
    <w:p>
      <w:pPr>
        <w:ind w:left="1980" w:hanging="676"/>
        <w:spacing w:after="0"/>
        <w:tabs>
          <w:tab w:leader="none" w:pos="19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obligations owing to the Permitted Holders pursuant to management agreements in effect on the Closing</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w:t>
      </w:r>
    </w:p>
    <w:p>
      <w:pPr>
        <w:spacing w:after="0" w:line="194" w:lineRule="exact"/>
        <w:rPr>
          <w:sz w:val="20"/>
          <w:szCs w:val="20"/>
          <w:color w:val="auto"/>
        </w:rPr>
      </w:pPr>
    </w:p>
    <w:p>
      <w:pPr>
        <w:ind w:left="660" w:firstLine="644"/>
        <w:spacing w:after="0" w:line="255" w:lineRule="auto"/>
        <w:tabs>
          <w:tab w:leader="none" w:pos="188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Parent Entity appearing on the balance sheet of the Borrower solely by reason of push down accounting under GAAP;</w:t>
      </w:r>
    </w:p>
    <w:p>
      <w:pPr>
        <w:spacing w:after="0" w:line="186" w:lineRule="exact"/>
        <w:rPr>
          <w:rFonts w:ascii="Times New Roman" w:cs="Times New Roman" w:eastAsia="Times New Roman" w:hAnsi="Times New Roman"/>
          <w:sz w:val="20"/>
          <w:szCs w:val="20"/>
          <w:color w:val="auto"/>
        </w:rPr>
      </w:pPr>
    </w:p>
    <w:p>
      <w:pPr>
        <w:ind w:left="1880" w:hanging="576"/>
        <w:spacing w:after="0"/>
        <w:tabs>
          <w:tab w:leader="none" w:pos="18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Stock (other than in the case of clause (6) above, Disqualified Stock or Preferred Stock of a Restricted</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or</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87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0"/>
          <w:szCs w:val="20"/>
          <w:color w:val="auto"/>
        </w:rPr>
        <w:t xml:space="preserve"> hereof.</w:t>
      </w:r>
    </w:p>
    <w:p>
      <w:pPr>
        <w:spacing w:after="0" w:line="3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all Taxes, other than Excluded Taxes, imposed on or in respect of any payment made by or on account of any Loan Party under any Loan Document and (b) to the extent not otherwise described in (a), Other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Financial Advisor</w:t>
      </w:r>
      <w:r>
        <w:rPr>
          <w:rFonts w:ascii="Times New Roman" w:cs="Times New Roman" w:eastAsia="Times New Roman" w:hAnsi="Times New Roman"/>
          <w:sz w:val="22"/>
          <w:szCs w:val="22"/>
          <w:color w:val="auto"/>
        </w:rPr>
        <w:t xml:space="preserve">” means an accounting, appraisal, investment banking firm or consultant to Persons engaged in Similar Businesses of nationally recognized standing;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firm or appraiser is not an Affiliate of the Borrower.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7.08(b)(xvi)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Revolving Borrowing</w:t>
      </w:r>
      <w:r>
        <w:rPr>
          <w:rFonts w:ascii="Times New Roman" w:cs="Times New Roman" w:eastAsia="Times New Roman" w:hAnsi="Times New Roman"/>
          <w:sz w:val="22"/>
          <w:szCs w:val="22"/>
          <w:color w:val="auto"/>
        </w:rPr>
        <w:t>” means one or more borrowings of Revolving Credit Loans or issuances or deemed issuances of Letters of Credit on the Closing Date as specified in the definition of the term “Permitted Initial Revolving Borrowing.”</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Commitment</w:t>
      </w:r>
      <w:r>
        <w:rPr>
          <w:rFonts w:ascii="Times New Roman" w:cs="Times New Roman" w:eastAsia="Times New Roman" w:hAnsi="Times New Roman"/>
          <w:sz w:val="22"/>
          <w:szCs w:val="22"/>
          <w:color w:val="auto"/>
        </w:rPr>
        <w:t xml:space="preserve">” means, as to any Lender, its obligation to make an Initial Term Loan to the Borrower on the Closing Date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in an aggregate principal amount not to exceed the amount set forth opposite such Lender’s name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xml:space="preserve"> under the caption “Initial Term Commitment” or in the Assignment and Assumption pursuant to which such Lender becomes a party hereto, as applicable. The initial aggregate amount of the Initial Term Commitments is $575.0 million.</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Lender</w:t>
      </w:r>
      <w:r>
        <w:rPr>
          <w:rFonts w:ascii="Times New Roman" w:cs="Times New Roman" w:eastAsia="Times New Roman" w:hAnsi="Times New Roman"/>
          <w:sz w:val="22"/>
          <w:szCs w:val="22"/>
          <w:color w:val="auto"/>
        </w:rPr>
        <w:t>” means, at any time, any Lender that has an Initial Term Commitment or an Initial Term Loan at such time.</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 Loan</w:t>
      </w:r>
      <w:r>
        <w:rPr>
          <w:rFonts w:ascii="Times New Roman" w:cs="Times New Roman" w:eastAsia="Times New Roman" w:hAnsi="Times New Roman"/>
          <w:sz w:val="22"/>
          <w:szCs w:val="22"/>
          <w:color w:val="auto"/>
        </w:rPr>
        <w:t xml:space="preserve">” means (i) a Loan made pursuant to </w:t>
      </w:r>
      <w:r>
        <w:rPr>
          <w:rFonts w:ascii="Times New Roman" w:cs="Times New Roman" w:eastAsia="Times New Roman" w:hAnsi="Times New Roman"/>
          <w:sz w:val="22"/>
          <w:szCs w:val="22"/>
          <w:u w:val="single" w:color="auto"/>
          <w:color w:val="auto"/>
        </w:rPr>
        <w:t>Section 2.01(a)(i)</w:t>
      </w:r>
      <w:r>
        <w:rPr>
          <w:rFonts w:ascii="Times New Roman" w:cs="Times New Roman" w:eastAsia="Times New Roman" w:hAnsi="Times New Roman"/>
          <w:sz w:val="22"/>
          <w:szCs w:val="22"/>
          <w:color w:val="auto"/>
        </w:rPr>
        <w:t xml:space="preserve">. Initial Term Loans made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on the Closing Date shall be deemed to constitute one Class of Loans for all purposes hereunder.</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0"/>
          <w:szCs w:val="20"/>
          <w:color w:val="auto"/>
        </w:rPr>
        <w:t xml:space="preserve">” means all U.S. and non-U.S.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patents and patent applications, </w:t>
      </w:r>
      <w:r>
        <w:rPr>
          <w:rFonts w:ascii="Times New Roman" w:cs="Times New Roman" w:eastAsia="Times New Roman" w:hAnsi="Times New Roman"/>
          <w:sz w:val="21"/>
          <w:szCs w:val="21"/>
          <w:color w:val="auto"/>
        </w:rPr>
        <w:t>(b)</w:t>
      </w:r>
      <w:r>
        <w:rPr>
          <w:rFonts w:ascii="Times New Roman" w:cs="Times New Roman" w:eastAsia="Times New Roman" w:hAnsi="Times New Roman"/>
          <w:sz w:val="20"/>
          <w:szCs w:val="20"/>
          <w:color w:val="auto"/>
        </w:rPr>
        <w:t xml:space="preserve"> trademarks, service marks, trade names, trade dress, and other source identifiers, designs and domain names, </w:t>
      </w:r>
      <w:r>
        <w:rPr>
          <w:rFonts w:ascii="Times New Roman" w:cs="Times New Roman" w:eastAsia="Times New Roman" w:hAnsi="Times New Roman"/>
          <w:sz w:val="21"/>
          <w:szCs w:val="21"/>
          <w:color w:val="auto"/>
        </w:rPr>
        <w:t>(c)</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1240"/>
          </w:cols>
          <w:pgMar w:left="320" w:top="1089" w:right="339" w:bottom="1440" w:gutter="0" w:footer="0" w:header="0"/>
          <w:type w:val="continuous"/>
        </w:sectPr>
      </w:pPr>
    </w:p>
    <w:bookmarkStart w:id="144" w:name="page145"/>
    <w:bookmarkEnd w:id="144"/>
    <w:p>
      <w:pPr>
        <w:jc w:val="both"/>
        <w:spacing w:after="0" w:line="308" w:lineRule="auto"/>
        <w:rPr>
          <w:sz w:val="20"/>
          <w:szCs w:val="20"/>
          <w:color w:val="auto"/>
        </w:rPr>
      </w:pPr>
      <w:r>
        <w:rPr>
          <w:rFonts w:ascii="Times New Roman" w:cs="Times New Roman" w:eastAsia="Times New Roman" w:hAnsi="Times New Roman"/>
          <w:sz w:val="19"/>
          <w:szCs w:val="19"/>
          <w:color w:val="auto"/>
        </w:rPr>
        <w:t xml:space="preserve">copyrights, </w:t>
      </w:r>
      <w:r>
        <w:rPr>
          <w:rFonts w:ascii="Times New Roman" w:cs="Times New Roman" w:eastAsia="Times New Roman" w:hAnsi="Times New Roman"/>
          <w:sz w:val="20"/>
          <w:szCs w:val="20"/>
          <w:color w:val="auto"/>
        </w:rPr>
        <w:t>(d)</w:t>
      </w:r>
      <w:r>
        <w:rPr>
          <w:rFonts w:ascii="Times New Roman" w:cs="Times New Roman" w:eastAsia="Times New Roman" w:hAnsi="Times New Roman"/>
          <w:sz w:val="19"/>
          <w:szCs w:val="19"/>
          <w:color w:val="auto"/>
        </w:rPr>
        <w:t xml:space="preserve"> design rights, inventions, original works of authorship, trade secrets, confidential information, know-how and all other intellectual property rights and interests, whether registered or unregistered and </w:t>
      </w:r>
      <w:r>
        <w:rPr>
          <w:rFonts w:ascii="Times New Roman" w:cs="Times New Roman" w:eastAsia="Times New Roman" w:hAnsi="Times New Roman"/>
          <w:sz w:val="20"/>
          <w:szCs w:val="20"/>
          <w:color w:val="auto"/>
        </w:rPr>
        <w:t>(e)</w:t>
      </w:r>
      <w:r>
        <w:rPr>
          <w:rFonts w:ascii="Times New Roman" w:cs="Times New Roman" w:eastAsia="Times New Roman" w:hAnsi="Times New Roman"/>
          <w:sz w:val="19"/>
          <w:szCs w:val="19"/>
          <w:color w:val="auto"/>
        </w:rPr>
        <w:t xml:space="preserve"> all registrations and applications for registration therefor.</w:t>
      </w:r>
    </w:p>
    <w:p>
      <w:pPr>
        <w:spacing w:after="0" w:line="112"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License Agreement</w:t>
      </w:r>
      <w:r>
        <w:rPr>
          <w:rFonts w:ascii="Times New Roman" w:cs="Times New Roman" w:eastAsia="Times New Roman" w:hAnsi="Times New Roman"/>
          <w:sz w:val="22"/>
          <w:szCs w:val="22"/>
          <w:color w:val="auto"/>
        </w:rPr>
        <w:t>” means any cost sharing agreement, commission or royalty agreement, license or sublicense agreement, distribution agreement, services agreement, IP Rights assignment or transfer agreement, any related agreements or similar agreements, in each case where all parties to such agreement are one or more of Holdings, the Borrower or a Restricted Subsidiary.</w:t>
      </w:r>
    </w:p>
    <w:p>
      <w:pPr>
        <w:spacing w:after="0" w:line="16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Coverage Ratio</w:t>
      </w:r>
      <w:r>
        <w:rPr>
          <w:rFonts w:ascii="Times New Roman" w:cs="Times New Roman" w:eastAsia="Times New Roman" w:hAnsi="Times New Roman"/>
          <w:sz w:val="22"/>
          <w:szCs w:val="22"/>
          <w:color w:val="auto"/>
        </w:rPr>
        <w:t>” means the ratio of (a) LTM EBITDA as of such date to (b) Consolidated Cash Interest Expense as of such date.</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SOFR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Interest Period for a SOFR Loan exceeds three months, the respective dates that fall every three months after the beginning of such Interest Period shall also be Interest Payment Dates; (b) as to any Daily SOFR Loan, each date that is on the numerically corresponding day in each calendar month that is one month (or, at the Borrower’s option, three months) after the borrowing date of such Daily SOFR Loan (or, if there is no such numerically corresponding day in such month, then the last day of such month) and the date on which such Daily SOFR Loan is repaid or converted in full; and (c) as to any Base Rate Loan, the last Business Day of each March, June, September and December and the Maturity Date of the Facility under which such Loan was made.</w:t>
      </w:r>
    </w:p>
    <w:p>
      <w:pPr>
        <w:spacing w:after="0" w:line="178"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each SOFR Loan, the period commencing on the date such Loan is disbursed or converted to or continued as a SOFR Loan and ending on the date one, three or six months thereafter;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w:t>
      </w:r>
    </w:p>
    <w:p>
      <w:pPr>
        <w:spacing w:after="0" w:line="172" w:lineRule="exact"/>
        <w:rPr>
          <w:sz w:val="20"/>
          <w:szCs w:val="20"/>
          <w:color w:val="auto"/>
        </w:rPr>
      </w:pPr>
    </w:p>
    <w:p>
      <w:pPr>
        <w:jc w:val="both"/>
        <w:ind w:left="660" w:firstLine="644"/>
        <w:spacing w:after="0" w:line="244" w:lineRule="auto"/>
        <w:tabs>
          <w:tab w:leader="none" w:pos="176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81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of the Facility under which such Loan was made.</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Notwithstanding the foregoing, the end of the initial Interest Period for the Term Loans following the Amendment No. 1 Effective Date shall be March 19, 2021.</w:t>
      </w:r>
    </w:p>
    <w:p>
      <w:pPr>
        <w:spacing w:after="0" w:line="14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Intermediate Holding Company</w:t>
      </w:r>
      <w:r>
        <w:rPr>
          <w:rFonts w:ascii="Times New Roman" w:cs="Times New Roman" w:eastAsia="Times New Roman" w:hAnsi="Times New Roman"/>
          <w:sz w:val="22"/>
          <w:szCs w:val="22"/>
          <w:color w:val="auto"/>
        </w:rPr>
        <w:t>” means any wholly-owned Subsidiary of Holdings that directly or indirectly through another Intermediate Holding Company, owns 100.0% of the issued and outstanding Capital Stock of the Borrower.</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 all investments by such Person in other Persons (including Affiliates) in the form of any advances, loans or other extensions of credit (excluding (i) accounts receivable, trade credit, advances or extensions of credit to customers, suppliers, future, present or former employees, directors, officers, managers, contractors, consultants or advisors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084" w:right="339" w:bottom="1440" w:gutter="0" w:footer="0" w:header="0"/>
        </w:sectPr>
      </w:pPr>
    </w:p>
    <w:bookmarkStart w:id="145" w:name="page146"/>
    <w:bookmarkEnd w:id="145"/>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and (b) any purchase or other acquisition (other than purchases or other acquisitions of inventory, materials and equipment in the ordinary course of business and capital expenditures), of all or substantially all of the property and assets or business of another Person or assets constituting a business unit, line of business or division of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endorsements of negotiable instruments and documents in the ordinary course of business or consistent with past practice will not be deemed to be an Investment.</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Sections 6.13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left="660" w:firstLine="644"/>
        <w:spacing w:after="0" w:line="233" w:lineRule="auto"/>
        <w:tabs>
          <w:tab w:leader="none" w:pos="161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will include the portion (proportionate to Holdings’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upon a redesignation of such Subsidiary as a Restricted Subsidiary, Holdings will be deemed to continue to have a permanent “Investment” in an Unrestricted Subsidiary in an amount (if positive) equal to (a) Holdings’ “Investment” in such Subsidiary at the time of such redesignation less (b) the portion (proportionate to Holdings’ equity interest in such Subsidiary) of the fair market value of the net assets (as determined by the Borrower in good faith) of such Subsidiary at the time that such Subsidiary is so re-designated a Restricted Subsidiary;</w:t>
      </w:r>
    </w:p>
    <w:p>
      <w:pPr>
        <w:spacing w:after="0" w:line="181" w:lineRule="exact"/>
        <w:rPr>
          <w:rFonts w:ascii="Times New Roman" w:cs="Times New Roman" w:eastAsia="Times New Roman" w:hAnsi="Times New Roman"/>
          <w:sz w:val="22"/>
          <w:szCs w:val="22"/>
          <w:color w:val="auto"/>
        </w:rPr>
      </w:pPr>
    </w:p>
    <w:p>
      <w:pPr>
        <w:ind w:left="660" w:firstLine="644"/>
        <w:spacing w:after="0" w:line="258" w:lineRule="auto"/>
        <w:tabs>
          <w:tab w:leader="none" w:pos="161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transferred to or from an Unrestricted Subsidiary will be valued at its fair market value at the time of such transfer, in each case as determined by the Borrower in good faith; and</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61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Holdings or any Restricted Subsidiary issues, sells or otherwise disposes of Capital Stock of a Person that is a Restricted Subsidiary such that, after giving effect thereto, such Person is no longer a Restricted Subsidiary, any investment by Holdings or any Restricted Subsidiary in such Person remaining after giving effect thereto shall not be deemed to be an Investment at such time.</w:t>
      </w:r>
    </w:p>
    <w:p>
      <w:pPr>
        <w:spacing w:after="0" w:line="16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amount of any Investment outstanding at any time shall be the original cost of such Investment, reduced by any dividend, distribution, interest payment, return of capital, repayment or other amount received in cash and Cash Equivalents by Holdings or a Restricted Subsidiary in respect of such Investment to the extent such amounts do not increase any other baskets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Securities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660" w:firstLine="644"/>
        <w:spacing w:after="0" w:line="258" w:lineRule="auto"/>
        <w:tabs>
          <w:tab w:leader="none" w:pos="162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or Canadian government or any agency or instrumentality thereof (other than Cash Equivalents);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Canadian, United Kingdom or Japanese governments, a member state of the European Union, or any agency or instrumentality thereof (other than Cash Equivalents);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084" w:right="339" w:bottom="1440" w:gutter="0" w:footer="0" w:header="0"/>
        </w:sectPr>
      </w:pPr>
    </w:p>
    <w:bookmarkStart w:id="146" w:name="page147"/>
    <w:bookmarkEnd w:id="146"/>
    <w:p>
      <w:pPr>
        <w:jc w:val="both"/>
        <w:ind w:left="660" w:firstLine="644"/>
        <w:spacing w:after="0" w:line="239" w:lineRule="auto"/>
        <w:tabs>
          <w:tab w:leader="none" w:pos="16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 Organization, but excluding any debt securities or instruments constituting loans or advances among Holdings and its Subsidiaries;</w:t>
      </w:r>
    </w:p>
    <w:p>
      <w:pPr>
        <w:spacing w:after="0" w:line="180" w:lineRule="exact"/>
        <w:rPr>
          <w:rFonts w:ascii="Times New Roman" w:cs="Times New Roman" w:eastAsia="Times New Roman" w:hAnsi="Times New Roman"/>
          <w:sz w:val="22"/>
          <w:szCs w:val="22"/>
          <w:color w:val="auto"/>
        </w:rPr>
      </w:pPr>
    </w:p>
    <w:p>
      <w:pPr>
        <w:ind w:left="660" w:firstLine="644"/>
        <w:spacing w:after="0" w:line="258" w:lineRule="auto"/>
        <w:tabs>
          <w:tab w:leader="none" w:pos="161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fund that invests exclusively in investments of the type described in clauses (1), (2) and (3) above which fund may also hold cash and Cash Equivalents pending investment or distribution; and</w:t>
      </w:r>
    </w:p>
    <w:p>
      <w:pPr>
        <w:spacing w:after="0" w:line="144" w:lineRule="exact"/>
        <w:rPr>
          <w:rFonts w:ascii="Times New Roman" w:cs="Times New Roman" w:eastAsia="Times New Roman" w:hAnsi="Times New Roman"/>
          <w:sz w:val="22"/>
          <w:szCs w:val="22"/>
          <w:color w:val="auto"/>
        </w:rPr>
      </w:pPr>
    </w:p>
    <w:p>
      <w:pPr>
        <w:ind w:left="660" w:firstLine="644"/>
        <w:spacing w:after="0" w:line="258" w:lineRule="auto"/>
        <w:tabs>
          <w:tab w:leader="none" w:pos="165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corresponding instruments in countries other than the United States customarily utilized for high quality investments.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IPO</w:t>
      </w:r>
      <w:r>
        <w:rPr>
          <w:rFonts w:ascii="Times New Roman" w:cs="Times New Roman" w:eastAsia="Times New Roman" w:hAnsi="Times New Roman"/>
          <w:sz w:val="21"/>
          <w:szCs w:val="21"/>
          <w:color w:val="auto"/>
        </w:rPr>
        <w:t xml:space="preserve"> ” means any transaction whereby, or upon the consummation of which, a Parent Entity of Holdings’ or Holdings’ common Equity Interests are, or may thereafter be, offered or sold (whether through an initial primary underwritten public offering or otherwise) pursuant to an effective registration statement filed with the SEC in accordance with the Securities Act, or to the equivalent registration documents filed with the equivalent authority in the applicable foreign jurisdiction.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CDS Definitions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Indebtedness</w:t>
      </w:r>
      <w:r>
        <w:rPr>
          <w:rFonts w:ascii="Times New Roman" w:cs="Times New Roman" w:eastAsia="Times New Roman" w:hAnsi="Times New Roman"/>
          <w:sz w:val="22"/>
          <w:szCs w:val="22"/>
          <w:color w:val="auto"/>
        </w:rPr>
        <w:t>” means Indebtedness of the Borrower and/or the Guarantors that is secured by Liens on the Collateral ranking junior in priority to the Liens securing the Secured Obligations of the Borrower and/or the Guarantors as permitted by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JV Entity</w:t>
      </w:r>
      <w:r>
        <w:rPr>
          <w:rFonts w:ascii="Times New Roman" w:cs="Times New Roman" w:eastAsia="Times New Roman" w:hAnsi="Times New Roman"/>
          <w:sz w:val="22"/>
          <w:szCs w:val="22"/>
          <w:color w:val="auto"/>
        </w:rPr>
        <w:t>” means any joint venture of Holdings or any Restricted Subsidiary that is not a Subsidiary.</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Advance</w:t>
      </w:r>
      <w:r>
        <w:rPr>
          <w:rFonts w:ascii="Times New Roman" w:cs="Times New Roman" w:eastAsia="Times New Roman" w:hAnsi="Times New Roman"/>
          <w:sz w:val="22"/>
          <w:szCs w:val="22"/>
          <w:color w:val="auto"/>
        </w:rPr>
        <w:t>” means, with respect to each Revolving Credit Lender, such Lender’s funding of its participation in any L/C Borrowing in accordance with its Applicable Percentage.</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Borrowing</w:t>
      </w:r>
      <w:r>
        <w:rPr>
          <w:rFonts w:ascii="Times New Roman" w:cs="Times New Roman" w:eastAsia="Times New Roman" w:hAnsi="Times New Roman"/>
          <w:sz w:val="22"/>
          <w:szCs w:val="22"/>
          <w:color w:val="auto"/>
        </w:rPr>
        <w:t>” means an extension of credit resulting from a drawing under any Letter of Credit which has not been reimbursed on the applicable Honor Date or refinanced as a Revolving Credit Borrowing.</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Credit Extension</w:t>
      </w:r>
      <w:r>
        <w:rPr>
          <w:rFonts w:ascii="Times New Roman" w:cs="Times New Roman" w:eastAsia="Times New Roman" w:hAnsi="Times New Roman"/>
          <w:sz w:val="22"/>
          <w:szCs w:val="22"/>
          <w:color w:val="auto"/>
        </w:rPr>
        <w:t>” means, with respect to any Letter of Credit, the issuance thereof or extension of the expiry date thereof, or the renewal or increase of the amount thereof.</w:t>
      </w:r>
    </w:p>
    <w:p>
      <w:pPr>
        <w:spacing w:after="0" w:line="14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the sum of (a) the undrawn portion of the Outstanding Amount of all Letters of Credit at such time and (b) the Outstanding Amount of all L/C Borrowings in respect of Letters of Credit that have not yet been reimbursed by or on behalf of the Borrower at such time. The L/C Exposure of any Revolving Credit Lender at any time shall be its Applicable Percentage of the aggregate L/C Exposure at such time.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084" w:right="339" w:bottom="1440" w:gutter="0" w:footer="0" w:header="0"/>
        </w:sectPr>
      </w:pPr>
    </w:p>
    <w:bookmarkStart w:id="147" w:name="page148"/>
    <w:bookmarkEnd w:id="147"/>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xml:space="preserve">” means (i) Goldman Sachs or any of its Affiliates selected by Goldman Sachs, </w:t>
      </w:r>
      <w:r>
        <w:rPr>
          <w:rFonts w:ascii="Times New Roman" w:cs="Times New Roman" w:eastAsia="Times New Roman" w:hAnsi="Times New Roman"/>
          <w:sz w:val="22"/>
          <w:szCs w:val="22"/>
          <w:color w:val="FF0000"/>
          <w:strike w:val="1"/>
        </w:rPr>
        <w:t>Barclays, Credit Suisse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AG, Cayman Islands Branch,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Morgan Stanley Senior Funding, Inc.,</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MUFG and Nomura Corporate Funding Americas, LLC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any of its Affiliates or other designee selected by Nomura Corporate Funding Americas, LLC</w:t>
      </w:r>
      <w:r>
        <w:rPr>
          <w:rFonts w:ascii="Times New Roman" w:cs="Times New Roman" w:eastAsia="Times New Roman" w:hAnsi="Times New Roman"/>
          <w:sz w:val="22"/>
          <w:szCs w:val="22"/>
          <w:u w:val="single" w:color="auto"/>
          <w:color w:val="0000FF"/>
          <w:strike w:val="1"/>
        </w:rPr>
        <w:t>JPMorgan Chase Bank, N.A.,</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Jefferies Finance LLC (provided that Jefferies Finance LLC will cause Letters of Credit to be issued by unaffiliated financial institutions and such Letters of Credit shall be treated as issued by Jefferies Finance LLC for all purposes under the Loan Documents), Wells Fargo Bank, National Association, and PNC Bank, National Association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and (ii) any other Lender (or any of</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 xml:space="preserve">its Affiliates) that becomes an L/C Issuer in accordance with </w:t>
      </w:r>
      <w:r>
        <w:rPr>
          <w:rFonts w:ascii="Times New Roman" w:cs="Times New Roman" w:eastAsia="Times New Roman" w:hAnsi="Times New Roman"/>
          <w:sz w:val="22"/>
          <w:szCs w:val="22"/>
          <w:u w:val="single" w:color="auto"/>
          <w:color w:val="000000"/>
          <w:strike w:val="1"/>
        </w:rPr>
        <w:t>Section 2.03(j)</w:t>
      </w:r>
      <w:r>
        <w:rPr>
          <w:rFonts w:ascii="Times New Roman" w:cs="Times New Roman" w:eastAsia="Times New Roman" w:hAnsi="Times New Roman"/>
          <w:sz w:val="22"/>
          <w:szCs w:val="22"/>
          <w:color w:val="000000"/>
          <w:strike w:val="1"/>
        </w:rPr>
        <w:t xml:space="preserve"> or </w:t>
      </w:r>
      <w:r>
        <w:rPr>
          <w:rFonts w:ascii="Times New Roman" w:cs="Times New Roman" w:eastAsia="Times New Roman" w:hAnsi="Times New Roman"/>
          <w:sz w:val="22"/>
          <w:szCs w:val="22"/>
          <w:u w:val="single" w:color="auto"/>
          <w:color w:val="000000"/>
          <w:strike w:val="1"/>
        </w:rPr>
        <w:t>Section 10.07(j)</w:t>
      </w:r>
      <w:r>
        <w:rPr>
          <w:rFonts w:ascii="Times New Roman" w:cs="Times New Roman" w:eastAsia="Times New Roman" w:hAnsi="Times New Roman"/>
          <w:sz w:val="22"/>
          <w:szCs w:val="22"/>
          <w:color w:val="000000"/>
          <w:strike w:val="1"/>
        </w:rPr>
        <w:t xml:space="preserve">; in the case of each of </w:t>
      </w:r>
      <w:r>
        <w:rPr>
          <w:rFonts w:ascii="Times New Roman" w:cs="Times New Roman" w:eastAsia="Times New Roman" w:hAnsi="Times New Roman"/>
          <w:sz w:val="22"/>
          <w:szCs w:val="22"/>
          <w:u w:val="single" w:color="auto"/>
          <w:color w:val="000000"/>
          <w:strike w:val="1"/>
        </w:rPr>
        <w:t>clause (i)</w:t>
      </w:r>
      <w:r>
        <w:rPr>
          <w:rFonts w:ascii="Times New Roman" w:cs="Times New Roman" w:eastAsia="Times New Roman" w:hAnsi="Times New Roman"/>
          <w:sz w:val="22"/>
          <w:szCs w:val="22"/>
          <w:color w:val="000000"/>
          <w:strike w:val="1"/>
        </w:rPr>
        <w:t xml:space="preserve"> through </w:t>
      </w:r>
      <w:r>
        <w:rPr>
          <w:rFonts w:ascii="Times New Roman" w:cs="Times New Roman" w:eastAsia="Times New Roman" w:hAnsi="Times New Roman"/>
          <w:sz w:val="22"/>
          <w:szCs w:val="22"/>
          <w:u w:val="single" w:color="auto"/>
          <w:color w:val="000000"/>
          <w:strike w:val="1"/>
        </w:rPr>
        <w:t>(ii)</w:t>
      </w:r>
      <w:r>
        <w:rPr>
          <w:rFonts w:ascii="Times New Roman" w:cs="Times New Roman" w:eastAsia="Times New Roman" w:hAnsi="Times New Roman"/>
          <w:sz w:val="22"/>
          <w:szCs w:val="22"/>
          <w:color w:val="000000"/>
          <w:strike w:val="1"/>
        </w:rPr>
        <w:t xml:space="preserve"> above, in its capacity as an issuer of Letters of Credit hereunder, or any successor issuer of Letters of Credit hereunder.</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Issuer Sublimit</w:t>
      </w:r>
      <w:r>
        <w:rPr>
          <w:rFonts w:ascii="Times New Roman" w:cs="Times New Roman" w:eastAsia="Times New Roman" w:hAnsi="Times New Roman"/>
          <w:sz w:val="21"/>
          <w:szCs w:val="21"/>
          <w:color w:val="auto"/>
        </w:rPr>
        <w:t xml:space="preserve">” means with respect to (i) </w:t>
      </w:r>
      <w:r>
        <w:rPr>
          <w:rFonts w:ascii="Times New Roman" w:cs="Times New Roman" w:eastAsia="Times New Roman" w:hAnsi="Times New Roman"/>
          <w:sz w:val="21"/>
          <w:szCs w:val="21"/>
          <w:u w:val="single" w:color="auto"/>
          <w:color w:val="0000FF"/>
        </w:rPr>
        <w:t>JPMorgan Chase Bank, N.A., on the Amendment No. 4 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Date, $50,000,000, (ii)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Goldman Sachs, on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Closing Date, $40 million, (ii) Barclays, on the Closing Date, $30 million, (iii)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Credit Suisse AG, Cayman Islands Branch, on the Closing Date, $20 million, (iv</w:t>
      </w:r>
      <w:r>
        <w:rPr>
          <w:rFonts w:ascii="Times New Roman" w:cs="Times New Roman" w:eastAsia="Times New Roman" w:hAnsi="Times New Roman"/>
          <w:sz w:val="21"/>
          <w:szCs w:val="21"/>
          <w:u w:val="single" w:color="auto"/>
          <w:color w:val="0000FF"/>
          <w:strike w:val="1"/>
        </w:rPr>
        <w:t>Amendment No. 4 Effective Date, $40,000,000,</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(iii</w:t>
      </w:r>
      <w:r>
        <w:rPr>
          <w:rFonts w:ascii="Times New Roman" w:cs="Times New Roman" w:eastAsia="Times New Roman" w:hAnsi="Times New Roman"/>
          <w:sz w:val="21"/>
          <w:szCs w:val="21"/>
          <w:color w:val="000000"/>
          <w:strike w:val="1"/>
        </w:rPr>
        <w:t>) Morgan Stanley Senior Funding, Inc., on the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Closing Date, $26 million, (v) MUFG, on the Closing Date, $25 million, (vi)</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Nomura Corporate Funding Americas, LLC, on the Closing Date, $9 million</w:t>
      </w:r>
      <w:r>
        <w:rPr>
          <w:rFonts w:ascii="Times New Roman" w:cs="Times New Roman" w:eastAsia="Times New Roman" w:hAnsi="Times New Roman"/>
          <w:sz w:val="21"/>
          <w:szCs w:val="21"/>
          <w:u w:val="single" w:color="auto"/>
          <w:color w:val="0000FF"/>
          <w:strike w:val="1"/>
        </w:rPr>
        <w:t>Amendment No. 4 Effective Date, $26,000,000, (iv)</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Wells Fargo Bank, National Association, on the Amendment No. 4 Effective Date, $25,000,000, (v) PNC Bank, National Association, on the Amendment No. 4 Effective Date, $15,000,000, (vi) Jefferies Finance LLC, on the Amendment No. 4 Effective Date, $10,000,000</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and (vii) with respect to any other L/C Issuer, such amount as may be mutually agreed between the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Borrower and such L/C Issuer and notified in writing to the Administrative Agent by such parties.</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w:t>
      </w:r>
      <w:r>
        <w:rPr>
          <w:rFonts w:ascii="Times New Roman" w:cs="Times New Roman" w:eastAsia="Times New Roman" w:hAnsi="Times New Roman"/>
          <w:sz w:val="22"/>
          <w:szCs w:val="22"/>
          <w:color w:val="auto"/>
        </w:rPr>
        <w:t>” means, as at any date of determination, the aggregate maximum amount then available to be drawn under all outstanding Letters of Credit plus the aggregate of all Unreimbursed Amounts in respect of Letters of Credit, including all L/C Borrowings. For all purpose under this Agreement, if on any date of determination a Letter of Credit has expired by its terms but any amount may still be drawn thereunder by reason of the operation of Rule 3.14 of the ISP, the “Outstanding Amount” of such Letter of Credit shall be deemed to be the amount so remaining available to be drawn.</w:t>
      </w:r>
    </w:p>
    <w:p>
      <w:pPr>
        <w:spacing w:after="0" w:line="17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Latest Maturity Date</w:t>
      </w:r>
      <w:r>
        <w:rPr>
          <w:rFonts w:ascii="Times New Roman" w:cs="Times New Roman" w:eastAsia="Times New Roman" w:hAnsi="Times New Roman"/>
          <w:sz w:val="21"/>
          <w:szCs w:val="21"/>
          <w:color w:val="auto"/>
        </w:rPr>
        <w:t>” means, at any date of determination, the latest Maturity Date applicable to any Loan or Commitment hereunder at such time, including the latest maturity date of any Extended Revolving Credit Commitment, Extended Term Loan or Incremental Term Loan, in each case as extended in accordance with this Agreement from time to time.</w:t>
      </w:r>
    </w:p>
    <w:p>
      <w:pPr>
        <w:spacing w:after="0" w:line="15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Election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Public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Lead Arrangers</w:t>
      </w:r>
      <w:r>
        <w:rPr>
          <w:rFonts w:ascii="Times New Roman" w:cs="Times New Roman" w:eastAsia="Times New Roman" w:hAnsi="Times New Roman"/>
          <w:sz w:val="22"/>
          <w:szCs w:val="22"/>
          <w:color w:val="auto"/>
        </w:rPr>
        <w:t>” means Goldman Sachs, Barclays, CSLF, Guggenheim Securities, MUFG, Nomura and UBSS, each in its capacity as joint lead arranger in respect of the credit facilities provided herein.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084" w:right="339" w:bottom="1440" w:gutter="0" w:footer="0" w:header="0"/>
        </w:sectPr>
      </w:pPr>
    </w:p>
    <w:bookmarkStart w:id="148" w:name="page149"/>
    <w:bookmarkEnd w:id="148"/>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to this Agreement and, as the context requires, includes an L/C Issuer, and its successors and assigns as permitted hereunder, each of which is referred to herein as a “Lender.”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Participation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hereunder. A Letter of Credit may be a commercial letter of credit or a standby letter of credit.</w:t>
      </w:r>
    </w:p>
    <w:p>
      <w:pPr>
        <w:spacing w:after="0" w:line="158"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relevant L/C Issuer.</w:t>
      </w:r>
    </w:p>
    <w:p>
      <w:pPr>
        <w:spacing w:after="0" w:line="17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Expiration Date</w:t>
      </w:r>
      <w:r>
        <w:rPr>
          <w:rFonts w:ascii="Times New Roman" w:cs="Times New Roman" w:eastAsia="Times New Roman" w:hAnsi="Times New Roman"/>
          <w:sz w:val="22"/>
          <w:szCs w:val="22"/>
          <w:color w:val="auto"/>
        </w:rPr>
        <w:t>” means, for Letters of Credit under the Revolving Credit Facility, the day that is five (5) Business Days prior to the scheduled Maturity Date then in effect for the Revolving Credit Facility (or, if such day is not a Business Day, the next preceding Business Day).</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means an amount equal to the lesser of (a) $150.0 million and (b) the aggregate amount of the Revolving Credit Commitments.</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means any mortgage, pledge, security interest, encumbrance, lien, hypothecation or charge of any kind (including any conditional sale or other title retention agreement or lease in the nature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Non-Financing Lease Obligations be deemed to constitute a Lien.</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Transaction</w:t>
      </w:r>
      <w:r>
        <w:rPr>
          <w:rFonts w:ascii="Times New Roman" w:cs="Times New Roman" w:eastAsia="Times New Roman" w:hAnsi="Times New Roman"/>
          <w:sz w:val="22"/>
          <w:szCs w:val="22"/>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and (3) any dividend or distribution declared by Holdings or any of its restricted subsidiaries following an initial public offering of such entity.</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the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 or a Revolving Credit Loan (including any Incremental Term Loans, any Extended Term Loans or loans made pursuant to Extended Revolving Credit Commitments).</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(i) this Agreement, (ii) the Notes, (iii) each Guaranty, (iv) the Collateral Documents, (v) each Letter of Credit Application, (vi) any Customary Intercreditor Agreement and (vii) the Global Intercompany Note, in each case as amended.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(i) the Borrower, (ii) Holdings, and (iii) each other Guarantor.</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Time</w:t>
      </w:r>
      <w:r>
        <w:rPr>
          <w:rFonts w:ascii="Times New Roman" w:cs="Times New Roman" w:eastAsia="Times New Roman" w:hAnsi="Times New Roman"/>
          <w:sz w:val="22"/>
          <w:szCs w:val="22"/>
          <w:color w:val="auto"/>
        </w:rPr>
        <w:t>” means local time in New York City, with respect to the times for (i) the determination of “Dollar Equivalent” and (ii) the receipt and sending of notices by and to and the disbursement by or payment to the Administrative Agent, any L/C Issuer or Lender with respect to Loans and Letters of Credit denominated in Dollars.</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LTM EBITDA</w:t>
      </w:r>
      <w:r>
        <w:rPr>
          <w:rFonts w:ascii="Times New Roman" w:cs="Times New Roman" w:eastAsia="Times New Roman" w:hAnsi="Times New Roman"/>
          <w:sz w:val="22"/>
          <w:szCs w:val="22"/>
          <w:color w:val="auto"/>
        </w:rPr>
        <w:t>” means Consolidated EBITDA of Holdings measured for the period of the most recent four consecutive fiscal quarters ending prior to the date of such determination for which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084" w:right="339" w:bottom="1440" w:gutter="0" w:footer="0" w:header="0"/>
        </w:sectPr>
      </w:pPr>
    </w:p>
    <w:bookmarkStart w:id="149" w:name="page150"/>
    <w:bookmarkEnd w:id="149"/>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consolidated financial statements are available, in each case with such pro forma adjustments giving effect to such Indebtedness, acquisition or Investment, as applicable, since the start of such four quarter period and as are consistent with the pro forma adjustments set forth in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to the extent LTM EBITDA is being tested as of the last day of any Test Period, the financial statements used for such calculation shall be those referenced in the definition of “Test Period.”</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Management Advances</w:t>
      </w:r>
      <w:r>
        <w:rPr>
          <w:rFonts w:ascii="Times New Roman" w:cs="Times New Roman" w:eastAsia="Times New Roman" w:hAnsi="Times New Roman"/>
          <w:sz w:val="21"/>
          <w:szCs w:val="21"/>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Holdings or any Restricted Subsidiary:</w:t>
      </w:r>
    </w:p>
    <w:p>
      <w:pPr>
        <w:spacing w:after="0" w:line="162" w:lineRule="exact"/>
        <w:rPr>
          <w:sz w:val="20"/>
          <w:szCs w:val="20"/>
          <w:color w:val="auto"/>
        </w:rPr>
      </w:pPr>
    </w:p>
    <w:p>
      <w:pPr>
        <w:jc w:val="both"/>
        <w:ind w:left="660" w:firstLine="644"/>
        <w:spacing w:after="0" w:line="238" w:lineRule="auto"/>
        <w:tabs>
          <w:tab w:leader="none" w:pos="16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Holdings, its Subsidiaries or any Parent Entity with (in the case of this clause (1)(b)) the approval of the Board of Directors;</w:t>
      </w:r>
    </w:p>
    <w:p>
      <w:pPr>
        <w:spacing w:after="0" w:line="176" w:lineRule="exact"/>
        <w:rPr>
          <w:rFonts w:ascii="Times New Roman" w:cs="Times New Roman" w:eastAsia="Times New Roman" w:hAnsi="Times New Roman"/>
          <w:sz w:val="22"/>
          <w:szCs w:val="22"/>
          <w:color w:val="auto"/>
        </w:rPr>
      </w:pPr>
    </w:p>
    <w:p>
      <w:pPr>
        <w:ind w:left="660" w:firstLine="644"/>
        <w:spacing w:after="0" w:line="282" w:lineRule="auto"/>
        <w:tabs>
          <w:tab w:leader="none" w:pos="161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134" w:lineRule="exact"/>
        <w:rPr>
          <w:rFonts w:ascii="Times New Roman" w:cs="Times New Roman" w:eastAsia="Times New Roman" w:hAnsi="Times New Roman"/>
          <w:sz w:val="21"/>
          <w:szCs w:val="21"/>
          <w:color w:val="auto"/>
        </w:rPr>
      </w:pPr>
    </w:p>
    <w:p>
      <w:pPr>
        <w:ind w:left="660" w:firstLine="644"/>
        <w:spacing w:after="0" w:line="258" w:lineRule="auto"/>
        <w:tabs>
          <w:tab w:leader="none" w:pos="161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exceeding the greater of $5.5 million and 2.5% of LTM EBITDA in the aggregate outstanding at the time of incurrence.</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Stockholders</w:t>
      </w:r>
      <w:r>
        <w:rPr>
          <w:rFonts w:ascii="Times New Roman" w:cs="Times New Roman" w:eastAsia="Times New Roman" w:hAnsi="Times New Roman"/>
          <w:sz w:val="22"/>
          <w:szCs w:val="22"/>
          <w:color w:val="auto"/>
        </w:rPr>
        <w:t>” means the members of management of Holdings (or any Parent Entity) or its Subsidiaries who are holders of Capital Stock of the Holdings or of any Parent Entity on the Closing Date or become holders of such Capital Stock.</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has the meaning specified in the definition of “Swap Contract.”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or financial condition or results of operations of Holdings and its Restricted Subsidiaries, taken as a whole, (b) the material rights and remedies (taken as a whole) of the Administrative Agent, the Collateral Agent or the Lenders under the Loan Documents (other than due to the action or inaction of the Administrative Agent, the Collateral Agent or the Lenders) or (c) the ability of the Borrower and the Guarantors, taken as a whole, to perform their payment obligations under the Loan Documents.</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Material Intellectual Property</w:t>
      </w:r>
      <w:r>
        <w:rPr>
          <w:rFonts w:ascii="Times New Roman" w:cs="Times New Roman" w:eastAsia="Times New Roman" w:hAnsi="Times New Roman"/>
          <w:sz w:val="20"/>
          <w:szCs w:val="20"/>
          <w:color w:val="auto"/>
        </w:rPr>
        <w:t>” means any Intellectual Property owned by the Borrower and its Subsidiaries that is material to the business of Borrower and the Restricted Subsidiaries after giving effect to any designation of an Unrestricted Subsidiary, taken as a whole (whether owned as of the Closing Date or thereafter acquired).</w:t>
      </w:r>
    </w:p>
    <w:p>
      <w:pPr>
        <w:spacing w:after="0" w:line="16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Real Property</w:t>
      </w:r>
      <w:r>
        <w:rPr>
          <w:rFonts w:ascii="Times New Roman" w:cs="Times New Roman" w:eastAsia="Times New Roman" w:hAnsi="Times New Roman"/>
          <w:sz w:val="22"/>
          <w:szCs w:val="22"/>
          <w:color w:val="auto"/>
        </w:rPr>
        <w:t>” means (a) any fee interest in real property owned by a Loan Party on the Closing Date, having a fair market value in excess of $10,000,000, as set forth on Schedule 1.01B to the Closing Date Certificate, (b) the Borrower’s headquarters located at 3901 Midway Place NE, Albuquerque, NM 87109 and (c) any fee interest in real property acquired by any Loan Party following the Closing Date located in the United States with a fair market value in excess of $10,000,000.</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at any date of determination, each Restricted Subsidiary of the Borrower that is not an Immaterial Subsidiary (but including, in any case, any Restricted Subsidiary that has been designated as a Material Subsidiary as provided in, or has been designated as 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08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Immaterial Subsidiary in a manner that does not comply with, the definition of “Immaterial Subsidiary”).</w:t>
      </w:r>
    </w:p>
    <w:p>
      <w:pPr>
        <w:spacing w:after="0" w:line="206"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(a) with respect to the Revolving Credit Facility, </w:t>
      </w:r>
      <w:r>
        <w:rPr>
          <w:rFonts w:ascii="Times New Roman" w:cs="Times New Roman" w:eastAsia="Times New Roman" w:hAnsi="Times New Roman"/>
          <w:sz w:val="22"/>
          <w:szCs w:val="22"/>
          <w:color w:val="FF0000"/>
          <w:strike w:val="1"/>
        </w:rPr>
        <w:t>the fifth anniversary of the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Date</w:t>
      </w:r>
      <w:r>
        <w:rPr>
          <w:rFonts w:ascii="Times New Roman" w:cs="Times New Roman" w:eastAsia="Times New Roman" w:hAnsi="Times New Roman"/>
          <w:sz w:val="22"/>
          <w:szCs w:val="22"/>
          <w:u w:val="single" w:color="auto"/>
          <w:color w:val="0000FF"/>
        </w:rPr>
        <w:t>October 14, 2028</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with respect to any Extended Revolving Credit Commitments, the maturity date applicable to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Extended Revolving Credit Commitments in accordance with the terms hereof)</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u w:val="single" w:color="auto"/>
          <w:color w:val="0000FF"/>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that, if any Initial Term Loans remain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outstanding on the date (the “Revolving Springing Maturity Date”) that is ninety-one (91) days prior to the Maturity Date in respect of the Initial Term Loans then in effect, then the Revolving Credit Facility will mature, and the commitments thereunder will terminate, on the Revolving Springing Maturity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 with respect to Initial Term Loans, the seventh anniversary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Closing Date, or (c) with respect to any (i) Extended Term Loan, the maturity date applicable to such Extended Term Loan in accordance with the terms hereof or (ii) Incremental Term Loan, the maturity date applicable to such Incremental Term Loan in accordance with the terms hereof;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that if any such day is not a Business Day, the Maturity Date shall be the Business Day immediately preceding such day.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Tender Condition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MFN Adjustment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MFN Qualifying Term Loans</w:t>
      </w:r>
      <w:r>
        <w:rPr>
          <w:rFonts w:ascii="Times New Roman" w:cs="Times New Roman" w:eastAsia="Times New Roman" w:hAnsi="Times New Roman"/>
          <w:sz w:val="22"/>
          <w:szCs w:val="22"/>
          <w:color w:val="auto"/>
        </w:rPr>
        <w:t xml:space="preserve">” means any term loans that are (i)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Initial Term Loans and (ii)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the Initial Term Loans.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Extension Condition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Tender Condition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Tranche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of its successors or assigns that is a Nationally Recognized Statistical Rating Organization.</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xml:space="preserve">” means, collectively, the deeds of trust, trust deeds, deeds of hypothecation, security deeds, immovable hypothecs, and mortgages creating and evidencing a Lien on a Mortgaged Property made by the Loan Parties in favor or for the benefit of the Collateral Agent on behalf of the Secured Parties in form and substance reasonably satisfactory to the Collateral Agent, and any other mortgages executed and delivered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as applicable.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 Policies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the definition of Collateral and Guarantee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Requirement.</w:t>
      </w:r>
    </w:p>
    <w:p>
      <w:pPr>
        <w:spacing w:after="0" w:line="169"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xml:space="preserve">” means each Material Real Property which shall be subject to a Mortgage delivered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as applicable.</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any Loan Party or any ERISA Affiliate makes or is obligated to make contributions, or during the immediately preceding six (6) years, has made or been obligated to make contributions.</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Nationally Recognized Statistical Rating Organization</w:t>
      </w:r>
      <w:r>
        <w:rPr>
          <w:rFonts w:ascii="Times New Roman" w:cs="Times New Roman" w:eastAsia="Times New Roman" w:hAnsi="Times New Roman"/>
          <w:sz w:val="22"/>
          <w:szCs w:val="22"/>
          <w:color w:val="auto"/>
        </w:rPr>
        <w:t>” means a nationally recognized statistical rating organization within the meaning of Rule 436 under the Securities Act.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084" w:right="339" w:bottom="1440" w:gutter="0" w:footer="0" w:header="0"/>
        </w:sectPr>
      </w:pPr>
    </w:p>
    <w:bookmarkStart w:id="151" w:name="page152"/>
    <w:bookmarkEnd w:id="151"/>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Available Cash</w:t>
      </w:r>
      <w:r>
        <w:rPr>
          <w:rFonts w:ascii="Times New Roman" w:cs="Times New Roman" w:eastAsia="Times New Roman" w:hAnsi="Times New Roman"/>
          <w:sz w:val="22"/>
          <w:szCs w:val="22"/>
          <w:color w:val="auto"/>
        </w:rPr>
        <w:t>” with respect to any Asset Disposition or Casualty Event (as applicable) means cash proceeds received (including any cash proceeds received from the sale or other disposition of any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77" w:lineRule="exact"/>
        <w:rPr>
          <w:sz w:val="20"/>
          <w:szCs w:val="20"/>
          <w:color w:val="auto"/>
        </w:rPr>
      </w:pPr>
    </w:p>
    <w:p>
      <w:pPr>
        <w:jc w:val="both"/>
        <w:ind w:left="660" w:firstLine="644"/>
        <w:spacing w:after="0" w:line="235" w:lineRule="auto"/>
        <w:tabs>
          <w:tab w:leader="none" w:pos="161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fees, costs and expenses (including original issue discount, upfront fees or similar fees) in connection with such transaction;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62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Holdings or any of its Subsidiaries, transfer taxes, deed or mortgage recording taxes and Taxes that would be payable in connection with any repatriation of such proceeds), as a consequence of such transaction, including distributions made in accordance with Section 7.06(b)(ix)(C) or any transactions occurring or deemed to occur to effectuate a payment under this Agreement;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Asset Disposition of assets that do not constitute Collateral, all payments made on any Indebtedness which is secured by any assets subject to such transaction, in accordance with the terms of any Lien upon such assets, or which by applicable law is required to be repaid out of the proceeds from such transaction;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1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and other payments required to be made to non-controlling interest or minority interest holders (other than any Parent Entity, Holdings or any of its respective Subsidiaries) in Subsidiaries or joint ventures as a result of such transaction;</w:t>
      </w:r>
    </w:p>
    <w:p>
      <w:pPr>
        <w:spacing w:after="0" w:line="173"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associated with unwinding any related Hedging Obligations in connection with such transaction;</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62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deduction of appropriate amounts required to be provided by the seller as a reserve, in accordance with GAAP, against any liabilities associated with the assets disposed of in such transaction and retained by Holdings or any Restricted Subsidiary after such transaction, including pension and other post-employment benefit liabilities and liabilities related to environmental matters or against any indemnification obligations associated with such transaction;</w:t>
      </w:r>
    </w:p>
    <w:p>
      <w:pPr>
        <w:spacing w:after="0" w:line="166"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2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 and</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liabilities (other than Indebtedness in respect of this Agreement and any other Indebtedness secured on an equal or junior priority basis with the foregoing) directly associated with such asset being sold and retained by Holdings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084" w:right="339" w:bottom="1440" w:gutter="0" w:footer="0" w:header="0"/>
        </w:sectPr>
      </w:pPr>
    </w:p>
    <w:bookmarkStart w:id="152" w:name="page153"/>
    <w:bookmarkEnd w:id="152"/>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Borrower and after taking into account any available tax credit or deductions and any tax sharing agreements, and including any distributions made in accordance with Section 7.06(b)(ix)(C)).</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Short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Non-Financing Lease Obligation</w:t>
      </w:r>
      <w:r>
        <w:rPr>
          <w:rFonts w:ascii="Times New Roman" w:cs="Times New Roman" w:eastAsia="Times New Roman" w:hAnsi="Times New Roman"/>
          <w:sz w:val="22"/>
          <w:szCs w:val="22"/>
          <w:color w:val="auto"/>
        </w:rPr>
        <w:t>” means any other lease obligation that is not required to be accounted for as a financing or capital lease in accordance with GAAP. For the avoidance of doubt, an operating lease shall be considered a Non-Financing Lease Obligation.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Non-Loan Party</w:t>
      </w:r>
      <w:r>
        <w:rPr>
          <w:rFonts w:ascii="Times New Roman" w:cs="Times New Roman" w:eastAsia="Times New Roman" w:hAnsi="Times New Roman"/>
          <w:sz w:val="22"/>
          <w:szCs w:val="22"/>
          <w:color w:val="auto"/>
        </w:rPr>
        <w:t>” means any Restricted Subsidiary that is not a Borrower or Guarantor.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Term Note or a Revolving Credit Note as the context may require.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xml:space="preserve">” means, for any day, the greater of (a) the Federal Funds Rate in effect on such day and (b) the Overnight Rate in effect on such day (or for any day that is not a Business Day, for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any of the aforesaid rates as so determined be less than zero, such rate shall be deemed to be zero for purposes of this Agreement.</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any principal, interest (including Post-Petition Interest and fees accruing on or after the filing of any petition in bankruptcy or for reorganization relating to the Borrower or any Guarantor whether or not a claim for Post-Petition Interest or fees is allowed in such proceedings), penalties, fees, expenses, indemnifications, reimbursements (including, without limitation, reimbursement obligations with respect to letters of credit and bankers’ acceptances), damages and other liabilities payable under the documentation governing any Indebtedness.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Offered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with respect to any Person, (1) the Chairman of the Board of Directors, the Chief Executive Officer, the President, the Chief Financial Officer, any Vice President, the Treasurer, any Assistant Treasurer, any Managing Director, the Secretary or any Assistant Secretary (a) of such Person or (b) if such Person is owned or managed by a single entity, of such entity, or (2) any other individual designated as an “Officer” for the purposes of this Agreement by the Board of Directors of such Person.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with respect to any Person, a certificate signed by one Officer of such Person.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084" w:right="339" w:bottom="1440" w:gutter="0" w:footer="0" w:header="0"/>
        </w:sectPr>
      </w:pPr>
    </w:p>
    <w:bookmarkStart w:id="153" w:name="page154"/>
    <w:bookmarkEnd w:id="153"/>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or company, the certificate or articles of incorporation, the memorandum and articles of association, any certificates of change of name and/or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Acquisition Agreement Earn-Out</w:t>
      </w:r>
      <w:r>
        <w:rPr>
          <w:rFonts w:ascii="Times New Roman" w:cs="Times New Roman" w:eastAsia="Times New Roman" w:hAnsi="Times New Roman"/>
          <w:sz w:val="22"/>
          <w:szCs w:val="22"/>
          <w:color w:val="auto"/>
        </w:rPr>
        <w:t>” means earn-outs pursuant to that certain Share Purchase Agreement, dated as of June 23, 2016, by and among ATI Investment Parent, LLC, a Delaware limited liability company, Holdings, the Borrower, the sellers and other parties signatory thereto and Ron P. Corio, solely as the seller representative.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Applicable Indebtedness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2.05(b)(ii)(C)</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spacing w:after="0" w:line="16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(a) with respect to any Loan on any date, the outstanding principal amount thereof after giving effect to any borrowings and prepayments or repayments thereof (including any refinancing of outstanding Unreimbursed Amounts under Letters of Credit or L/C Borrowings as a Revolving Credit Borrowing) occurring on such date; and (b) with respect to any Letter of Credit, Unreimbursed Amount, L/C Borrowing or L/C Obligations on any date, the Dollar Equivalent of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shall mean, for any day, the rate comprised of both overnight federal funds and overnight eurodollar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Entity</w:t>
      </w:r>
      <w:r>
        <w:rPr>
          <w:rFonts w:ascii="Times New Roman" w:cs="Times New Roman" w:eastAsia="Times New Roman" w:hAnsi="Times New Roman"/>
          <w:sz w:val="22"/>
          <w:szCs w:val="22"/>
          <w:color w:val="auto"/>
        </w:rPr>
        <w:t>” means any direct or indirect parent of the Holdings.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Entity Expenses</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084" w:right="339" w:bottom="1440" w:gutter="0" w:footer="0" w:header="0"/>
        </w:sectPr>
      </w:pPr>
    </w:p>
    <w:bookmarkStart w:id="154" w:name="page155"/>
    <w:bookmarkEnd w:id="154"/>
    <w:p>
      <w:pPr>
        <w:jc w:val="both"/>
        <w:ind w:firstLine="1304"/>
        <w:spacing w:after="0" w:line="236" w:lineRule="auto"/>
        <w:tabs>
          <w:tab w:leader="none" w:pos="164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Agreement or any other agreement or instrument relating to the Loans, the Guarantees or any other Indebtedness of Holdings or any Restricted Subsidiary, including in respect of any reports filed or delivered with respect to the Securities Act, Exchange Act or the rules and regulations promulgated thereunder;</w:t>
      </w:r>
    </w:p>
    <w:p>
      <w:pPr>
        <w:spacing w:after="0" w:line="16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29"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any Parent Entity in respect of director and officer insurance (including premiums therefor) to the extent relating to Holdings and its Subsidiaries;</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29"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general corporate operating and overhead fees, costs and expenses (including all legal, accounting and other professional fees, costs and expenses) and following the first public offering of the Borrower’s Capital Stock or the Capital Stock of any Parent Entity, listing fees and other costs and expenses attributable to being a publicly traded company of any Parent Entity and (y) other operational expenses of any Parent Entity related to the ownership or operation of the business of Holdings or any of its Restricted Subsidiaries;</w:t>
      </w:r>
    </w:p>
    <w:p>
      <w:pPr>
        <w:spacing w:after="0" w:line="16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5"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Incurred by any Parent Entity in connection with (i) any offering, sale, conversion or exchange of Capital Stock or Indebtedness (whether or not consummated or successful) and, after the consummation of an initial public offering, any Public Company Costs and (ii) any related compensation paid to employees, directors, officers, managers, contractors, consultants or advisors (or their respective Controlled Investment Affiliates or Immediate Family Members) of such Parent Entity;</w:t>
      </w:r>
    </w:p>
    <w:p>
      <w:pPr>
        <w:spacing w:after="0" w:line="17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29"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Borrower to the Lenders when taken as a whole, as compared to the management services or similar agreements as in effect immediately prior to such amendment or replacement), solely to the extent such amounts are not paid directly by Holdings or its Subsidiaries; and</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02"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amounts to finance Investments that would otherwise be permitted to be made pursuant to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hereof if made by Holdings or a Restricted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such Restricted Payment shall be made substantially concurrently with the closing of such Investment, (B) such Parent Entity shall, immediately following the closing thereof, cause</w:t>
      </w:r>
    </w:p>
    <w:p>
      <w:pPr>
        <w:spacing w:after="0" w:line="1" w:lineRule="exact"/>
        <w:rPr>
          <w:rFonts w:ascii="Times New Roman" w:cs="Times New Roman" w:eastAsia="Times New Roman" w:hAnsi="Times New Roman"/>
          <w:sz w:val="21"/>
          <w:szCs w:val="21"/>
          <w:color w:val="auto"/>
        </w:rPr>
      </w:pPr>
    </w:p>
    <w:p>
      <w:pPr>
        <w:jc w:val="both"/>
        <w:ind w:firstLine="8"/>
        <w:spacing w:after="0" w:line="230" w:lineRule="auto"/>
        <w:tabs>
          <w:tab w:leader="none" w:pos="31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property acquired (whether assets or equity interests) to be contributed to the capital of Holdings or one of its Restricted Subsidiaries or (2) the merger, consolidation or amalgamation of the Person formed or acquired into Holdings or one of its Restricted Subsidiaries (to the extent not prohibited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hereof) in order to consummate such Investment, (C) such Parent Entity and its Affiliates (other than Holdings or a Restricted Subsidiary) receives no consideration or other payment in connection with such transaction except to the extent Holdings or a Restricted Subsidiary could have given such consideration or made such payment in compliance with this Agreement and such consideration or other payment is included as a Restricted Payment under this Agreement, (D) any property received by Holdings shall not increase amounts available for Restricted Payments pursuant to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xml:space="preserve"> hereof and (E) such Investment shall be deemed to be made by Holdings or such Restricted Subsidiary pursuant to a provision of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hereof or pursuant to the definition of “Permitted Investment.”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084" w:right="339" w:bottom="1440" w:gutter="0" w:footer="0" w:header="0"/>
        </w:sectPr>
      </w:pPr>
    </w:p>
    <w:bookmarkStart w:id="155" w:name="page156"/>
    <w:bookmarkEnd w:id="155"/>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Pari Passu Indebtedness</w:t>
      </w:r>
      <w:r>
        <w:rPr>
          <w:rFonts w:ascii="Times New Roman" w:cs="Times New Roman" w:eastAsia="Times New Roman" w:hAnsi="Times New Roman"/>
          <w:sz w:val="22"/>
          <w:szCs w:val="22"/>
          <w:color w:val="auto"/>
        </w:rPr>
        <w:t>” means Indebtedness of the Borrower which ranks equally in right of payment and security to the Secured Obligations or of any Guarantor if such Indebtedness ranks equally in right of payment and security to the Guaranty of the Secured Obligations.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19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(as such term is defined in Section 3(2) of ERISA) other than a Multiemployer Plan, that is subject to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contributions at any time during the immediately preceding six (6) years.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Alternative Incremental Facilities Debt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7.03(b)(xx)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the purchase or other acquisition of property and assets or businesses of any Person or of assets constituting a business unit, a line of business or division of such Person, or equity interests in a Person that, upon the consummation thereof, will be a Restricted Subsidiary of the Borrower (including as a result of a merger or consolidation);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except in the case of a Limited Condition Transaction (in which case, compliance with this clause (i) shall be determined in accordance with Section 1.09(a)), immediately before and immediately after giving pro forma effect to any such purchase or other acquisition, no Event of Default shall have occurred and be continuing, (ii) after giving effect to any such purchase or other acquisition, the Borrower shall be in compliance with the covenant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and (iii)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Section 6.10.</w:t>
      </w:r>
    </w:p>
    <w:p>
      <w:pPr>
        <w:spacing w:after="0" w:line="18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Asset Swap</w:t>
      </w:r>
      <w:r>
        <w:rPr>
          <w:rFonts w:ascii="Times New Roman" w:cs="Times New Roman" w:eastAsia="Times New Roman" w:hAnsi="Times New Roman"/>
          <w:sz w:val="22"/>
          <w:szCs w:val="22"/>
          <w:color w:val="auto"/>
        </w:rPr>
        <w:t xml:space="preserve">” means the concurrent purchase and sale or exchange of assets used or useful in a Similar Business or a combination of such assets and cash, Cash Equivalents between the Borrower or any of the Restricted Subsidiaries and another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cash or Cash Equivalents received in excess of the value of any cash or Cash Equivalents sold or exchanged must be applied in accordance with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hereof.</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 Exchange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 Exchange Notes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 Exchange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Holders</w:t>
      </w:r>
      <w:r>
        <w:rPr>
          <w:rFonts w:ascii="Times New Roman" w:cs="Times New Roman" w:eastAsia="Times New Roman" w:hAnsi="Times New Roman"/>
          <w:sz w:val="21"/>
          <w:szCs w:val="21"/>
          <w:color w:val="auto"/>
        </w:rPr>
        <w:t>” means, collectively, (i) the Sponsor, (ii) Ronald Corio, the Management Stockholders (including any Management Stockholders holding Capital Stock through an equityholding vehicle) and rollover equity investors,</w:t>
      </w:r>
    </w:p>
    <w:p>
      <w:pPr>
        <w:spacing w:after="0" w:line="1" w:lineRule="exact"/>
        <w:rPr>
          <w:sz w:val="20"/>
          <w:szCs w:val="20"/>
          <w:color w:val="auto"/>
        </w:rPr>
      </w:pPr>
    </w:p>
    <w:p>
      <w:pPr>
        <w:ind w:left="380" w:hanging="372"/>
        <w:spacing w:after="0"/>
        <w:tabs>
          <w:tab w:leader="none" w:pos="3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heirs, executors, administrators, testamentary trustees, legatees or beneficiaries of a person identified in clause (ii) above,</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trust,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084" w:right="339" w:bottom="1440" w:gutter="0" w:footer="0" w:header="0"/>
        </w:sectPr>
      </w:pPr>
    </w:p>
    <w:bookmarkStart w:id="156" w:name="page157"/>
    <w:bookmarkEnd w:id="156"/>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 beneficiaries of which, or a corporation or partnership, the stockholders or partners of which, include only a person identified in clause (ii) above, his or her spouse, parents, siblings, members of his or her immediate family (including adopted children and step children) and/or direct lineal descendants) (v) any group (within the meaning of Section 13(d)(3) or Section 14(d)(2) of the Exchange Act or any successor provision) of which any of the foregoing, any Holding Company, Permitted Plan or any Person or group that becomes a Permitted Holder specified in the last sentence of this definition are members and any member of such group;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such group and without giving effect to the existence of such group or any other group, Persons referred to in subclauses (i) through (iv), collectively, have beneficial ownership of more than 50.0% of the total voting power of the Voting Stock of Holdings or any Parent Entity held by such group, (vi) any Holding Company and (vii) any Permitted Plan. Any Person or group whose acquisition of beneficial ownership constitutes a Change of Control the Event of Default resulting from which is waived in accordance with the requirements of this Agreement, will thereafter, together with its Affiliates, constitute an additional Permitted Holder.</w:t>
      </w:r>
    </w:p>
    <w:p>
      <w:pPr>
        <w:spacing w:after="0" w:line="18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Initial Revolving Borrowing</w:t>
      </w:r>
      <w:r>
        <w:rPr>
          <w:rFonts w:ascii="Times New Roman" w:cs="Times New Roman" w:eastAsia="Times New Roman" w:hAnsi="Times New Roman"/>
          <w:sz w:val="22"/>
          <w:szCs w:val="22"/>
          <w:color w:val="auto"/>
        </w:rPr>
        <w:t>” means (a) one or more Borrowings of Revolving Credit Loans (i) in an aggregate amount of this clause (i) of up to $20,000,000 to pay any Transaction Expenses and for working capital and general corporate purposes (including without limitation, for Permitted Acquisitions and capital expenditures, but not, for the avoidance of doubt, to fund the Closing Distribution) and (ii) to finance any amount of original issue discount or upfront fees imposed pursuant to the “market flex” provisions of the Fee Letter, and (b) the issuance of Letters of Credit in replacement of, or as a backstop for, letters of credit of the Borrower or the Restricted Subsidiaries outstanding on the Closing Date.</w:t>
      </w:r>
    </w:p>
    <w:p>
      <w:pPr>
        <w:spacing w:after="0" w:line="16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Intercompany Activities</w:t>
      </w:r>
      <w:r>
        <w:rPr>
          <w:rFonts w:ascii="Times New Roman" w:cs="Times New Roman" w:eastAsia="Times New Roman" w:hAnsi="Times New Roman"/>
          <w:sz w:val="22"/>
          <w:szCs w:val="22"/>
          <w:color w:val="auto"/>
        </w:rPr>
        <w:t>” means any transactions between or among the Borrower and the Restricted Subsidiaries that are entered into in the ordinary course of business or consistent with past practice of the Borrower and the Restricted Subsidiaries and, in the reasonable determination of the Borrower are necessary or advisable in connection with the ownership or operation of the business of the Borrower and the Restricted Subsidiaries, including (i) payroll, cash management, purchasing, insurance and hedging arrangements; (ii) management, technology and licensing arrangements; and (iii) customary loyalty and rewards programs.</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(in each case, by the Borrower or any of the Restricted Subsidiaries):</w:t>
      </w:r>
    </w:p>
    <w:p>
      <w:pPr>
        <w:spacing w:after="0" w:line="206" w:lineRule="exact"/>
        <w:rPr>
          <w:sz w:val="20"/>
          <w:szCs w:val="20"/>
          <w:color w:val="auto"/>
        </w:rPr>
      </w:pPr>
    </w:p>
    <w:p>
      <w:pPr>
        <w:jc w:val="both"/>
        <w:ind w:firstLine="1304"/>
        <w:spacing w:after="0" w:line="236" w:lineRule="auto"/>
        <w:tabs>
          <w:tab w:leader="none" w:pos="193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Investments in (i) a Restricted Subsidiary (including the Capital Stock of, or guarantees of obligations of, a Restricted Subsidiary) or the Borrower or (ii) a Person (including the Capital Stock of any such Person) that will, upon the making of such Investment, become a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Investments pursuant to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in Persons that are not Loan Parties shall not exceed the greater of $107.0 million and 50% of LTM EBITDA</w:t>
      </w:r>
    </w:p>
    <w:p>
      <w:pPr>
        <w:spacing w:after="0" w:line="179" w:lineRule="exact"/>
        <w:rPr>
          <w:rFonts w:ascii="Times New Roman" w:cs="Times New Roman" w:eastAsia="Times New Roman" w:hAnsi="Times New Roman"/>
          <w:sz w:val="20"/>
          <w:szCs w:val="20"/>
          <w:color w:val="auto"/>
        </w:rPr>
      </w:pPr>
    </w:p>
    <w:p>
      <w:pPr>
        <w:jc w:val="both"/>
        <w:ind w:firstLine="1304"/>
        <w:spacing w:after="0" w:line="236" w:lineRule="auto"/>
        <w:tabs>
          <w:tab w:leader="none" w:pos="193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Borrower or a Restricted Subsidiary, and any Investment held by such Person; provided that such Investment was not acquired by such Person in contemplation of such acquisition, merger, amalgamation, consolidation, combination, transfer or conveyance;</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Permitted Acquisitions and (ii) any Investment held by a Restricted Subsidiary acquired pursuant to a Permitted Acquisition at the time of such Permitted Acquisition;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Investment was not acquired by such Person in contemplation of such acquisition, merger,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084" w:right="339" w:bottom="1440" w:gutter="0" w:footer="0" w:header="0"/>
        </w:sectPr>
      </w:pPr>
    </w:p>
    <w:bookmarkStart w:id="157" w:name="page158"/>
    <w:bookmarkEnd w:id="157"/>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amalgamation, consolidation, combination, transfer or conveyance;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aggregate amount of Investments in Persons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that are not Loan Parties shall not exceed the greater of $213.0 million and 100% of LTM EBITDA;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limitation shall not apply in the event that, after giving pro forma effect to the applicable Permitted Acquisition, 75% of Consolidated EBITDA of the target is or will become attributable to the Loan Parties;</w:t>
      </w:r>
    </w:p>
    <w:p>
      <w:pPr>
        <w:spacing w:after="0" w:line="176" w:lineRule="exact"/>
        <w:rPr>
          <w:sz w:val="20"/>
          <w:szCs w:val="20"/>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Cash Equivalents or Investment Grade Securities;</w:t>
      </w:r>
    </w:p>
    <w:p>
      <w:pPr>
        <w:spacing w:after="0" w:line="206" w:lineRule="exact"/>
        <w:rPr>
          <w:rFonts w:ascii="Times New Roman" w:cs="Times New Roman" w:eastAsia="Times New Roman" w:hAnsi="Times New Roman"/>
          <w:sz w:val="22"/>
          <w:szCs w:val="22"/>
          <w:color w:val="auto"/>
        </w:rPr>
      </w:pPr>
    </w:p>
    <w:p>
      <w:pPr>
        <w:ind w:right="20" w:firstLine="1304"/>
        <w:spacing w:after="0" w:line="245"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receivables owing to the Borrower or any Restricted Subsidiary created or acquired in the ordinary course of business or consistent with past practice;</w:t>
      </w:r>
    </w:p>
    <w:p>
      <w:pPr>
        <w:spacing w:after="0" w:line="172"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payroll, travel, entertainment, relocation, moving related and similar advances that are made in the ordinary course of business or consistent with past practice;</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Advances;</w:t>
      </w:r>
    </w:p>
    <w:p>
      <w:pPr>
        <w:spacing w:after="0" w:line="20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and trade arrangements,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181" w:lineRule="exact"/>
        <w:rPr>
          <w:rFonts w:ascii="Times New Roman" w:cs="Times New Roman" w:eastAsia="Times New Roman" w:hAnsi="Times New Roman"/>
          <w:sz w:val="22"/>
          <w:szCs w:val="22"/>
          <w:color w:val="auto"/>
        </w:rPr>
      </w:pPr>
    </w:p>
    <w:p>
      <w:pPr>
        <w:ind w:firstLine="1304"/>
        <w:spacing w:after="0" w:line="245" w:lineRule="auto"/>
        <w:tabs>
          <w:tab w:leader="none" w:pos="19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as a result of the receipt of promissory notes or other non-cash consideration (including earn-outs) from a sale or other disposition of property or assets, including an Asset Disposition;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or pursuant to binding commitments, agreements or arrangements in effect on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Investment in an outstanding amount in excess of $3.0 million shall be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1.01G</w:t>
      </w:r>
      <w:r>
        <w:rPr>
          <w:rFonts w:ascii="Times New Roman" w:cs="Times New Roman" w:eastAsia="Times New Roman" w:hAnsi="Times New Roman"/>
          <w:sz w:val="22"/>
          <w:szCs w:val="22"/>
          <w:color w:val="auto"/>
        </w:rPr>
        <w:t xml:space="preserve"> to the Closing Date Certificate and (b) any modification, replacement, renewal, reinvestment or extension of Investments existing on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any such Investment may not be increased except (i) as required by the terms of such Investment or binding commitment as in existence on the Closing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w:t>
      </w:r>
    </w:p>
    <w:p>
      <w:pPr>
        <w:spacing w:after="0" w:line="178" w:lineRule="exact"/>
        <w:rPr>
          <w:rFonts w:ascii="Times New Roman" w:cs="Times New Roman" w:eastAsia="Times New Roman" w:hAnsi="Times New Roman"/>
          <w:sz w:val="22"/>
          <w:szCs w:val="22"/>
          <w:color w:val="auto"/>
        </w:rPr>
      </w:pPr>
    </w:p>
    <w:p>
      <w:pPr>
        <w:ind w:firstLine="1304"/>
        <w:spacing w:after="0" w:line="245"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Hedging Obligations, including any terminations or unwinding thereof, which transactions or obligations are not prohibited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hereof;</w:t>
      </w:r>
    </w:p>
    <w:p>
      <w:pPr>
        <w:spacing w:after="0" w:line="17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pledges or deposits with respect to leases or utilities provided to third parties in the ordinary course of business or Liens otherwise described in the definition of “Permitted Liens” or made in connection with Liens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hereof;</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to the extent made using Capital Stock of Holdings (other than Disqualified Stock) or Capital Stock of any Parent Entity or any Unrestricted Subsidiary (other than an Unrestricted Subsidiary whose only material assets are Cash and Cash Equivalents) as consideration;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080" w:right="339" w:bottom="1440" w:gutter="0" w:footer="0" w:header="0"/>
        </w:sectPr>
      </w:pPr>
    </w:p>
    <w:bookmarkStart w:id="158" w:name="page159"/>
    <w:bookmarkEnd w:id="158"/>
    <w:p>
      <w:pPr>
        <w:ind w:firstLine="1304"/>
        <w:spacing w:after="0" w:line="258"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to the extent constituting an Investment that is permitted and made in accordance with Section 7.07(b) hereof (except those described in Sections 7.07(b)(i), (iv), (viii), (ix) and (xiv));</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asset purchases (including acquisitions of inventory, supplies, materials, equipment and similar assets) or (ii) licenses, sublicenses, cross-licenses, leases, subleases, assignments, transfers, contributions or other Investments of IP Rights or other intangibles or services in the ordinary course of business pursuant to any joint research or development, joint venture, strategic alliance or marketing arrangements with other Persons or any Intercompany License Agreement and any other Investments made in connection therewith;</w:t>
      </w:r>
    </w:p>
    <w:p>
      <w:pPr>
        <w:spacing w:after="0" w:line="178"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Guarantees of Indebtedness not prohibited by Section 7.03 hereof and (other than with respect to Indebtedness) guarantees, keepwells and similar arrangements in the ordinary course of business or consistent with past practice, and (ii) performance guarantees and Contingent Obligations with respect to obligations that are permitted by this Agreement;</w:t>
      </w:r>
    </w:p>
    <w:p>
      <w:pPr>
        <w:spacing w:after="0" w:line="157" w:lineRule="exact"/>
        <w:rPr>
          <w:rFonts w:ascii="Times New Roman" w:cs="Times New Roman" w:eastAsia="Times New Roman" w:hAnsi="Times New Roman"/>
          <w:sz w:val="21"/>
          <w:szCs w:val="21"/>
          <w:color w:val="auto"/>
        </w:rPr>
      </w:pPr>
    </w:p>
    <w:p>
      <w:pPr>
        <w:ind w:firstLine="1304"/>
        <w:spacing w:after="0" w:line="258"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earnest money deposits required in connection with a purchase agreement, or letter of intent, or other acquisitions to the extent not otherwise prohibited by this Agreement;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 Restricted Subsidiary acquired after the Closing Date or of an entity merged or amalgamated into or consolidated with the Borrower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6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any Subsidiary or any joint venture in the ordinary course of business or consistent with past practice (including any cash management arrangements, cash pooling arrangements, intercompany loans or activities related thereto);</w:t>
      </w:r>
    </w:p>
    <w:p>
      <w:pPr>
        <w:spacing w:after="0" w:line="173"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to a “rabbi” trust for the benefit of any employee, director, officer, manager, contractor, consultant, advisor or other service providers or other grantor trust subject to claims of creditors in the case of a bankruptcy of the Borrower, and Investments relating to non-qualified deferred payment plans in the ordinary course of business or consistent with past practice;</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joint ventures and similar entities and Unrestricted Subsidiaries having a fair market value, when taken together with all other Investments made pursuant to this clause that are at that time outstanding, not to exceed the greater of $52.5 million and 35.0%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received by the Borrower or a Restricted Subsidiary (without duplication for purposes of Section 7.06 of any amounts applied pursuant to Section 7.06(a)) with the fair market value of each Investment being measured at the time made and without giving effect to subsequent changes in value; provided, however, that if any Investment pursuant to this clause is made in any Person that is not the Borrower or a Restricted Subsidiary at the date of the making of such Investment and such person becomes the Borrower or a Restricted Subsidiary after such date, such Investment shall thereafter be deemed to have been made pursuant to clause (i) or (ii) above and shall cease to have been made pursuant to this clause;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084" w:right="339" w:bottom="1440" w:gutter="0" w:footer="0" w:header="0"/>
        </w:sectPr>
      </w:pPr>
    </w:p>
    <w:bookmarkStart w:id="159" w:name="page160"/>
    <w:bookmarkEnd w:id="159"/>
    <w:p>
      <w:pPr>
        <w:jc w:val="both"/>
        <w:ind w:firstLine="1304"/>
        <w:spacing w:after="0" w:line="244" w:lineRule="auto"/>
        <w:tabs>
          <w:tab w:leader="none" w:pos="193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additional Investments having an aggregate fair market value, taken together with all other Investments made pursuant to this clause (w) that are at that time outstanding, not to exceed the greater of $96.0 million and 45.0% of LTM EBITDA (with the fair market value of each Investment being measured at the time made and without giving effect to subsequent changes in value) plus unused amounts pursuant to </w:t>
      </w:r>
      <w:r>
        <w:rPr>
          <w:rFonts w:ascii="Times New Roman" w:cs="Times New Roman" w:eastAsia="Times New Roman" w:hAnsi="Times New Roman"/>
          <w:sz w:val="21"/>
          <w:szCs w:val="21"/>
          <w:u w:val="single" w:color="auto"/>
          <w:color w:val="auto"/>
        </w:rPr>
        <w:t>Section 7.06(b)(xvii)(i)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7.06(b)(xxiv)</w:t>
      </w:r>
      <w:r>
        <w:rPr>
          <w:rFonts w:ascii="Times New Roman" w:cs="Times New Roman" w:eastAsia="Times New Roman" w:hAnsi="Times New Roman"/>
          <w:sz w:val="21"/>
          <w:szCs w:val="21"/>
          <w:color w:val="auto"/>
        </w:rPr>
        <w:t xml:space="preserve">, plus the amount of any returns (including dividends, payments, interest, distributions, returns of principal, profits on sale, repayments, income and similar amounts) in respect of such Investments received by the Borrower or a Restricted Subsidiary (without duplication for purposes of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of any amounts applied pursuant to </w:t>
      </w:r>
      <w:r>
        <w:rPr>
          <w:rFonts w:ascii="Times New Roman" w:cs="Times New Roman" w:eastAsia="Times New Roman" w:hAnsi="Times New Roman"/>
          <w:sz w:val="21"/>
          <w:szCs w:val="21"/>
          <w:u w:val="single" w:color="auto"/>
          <w:color w:val="auto"/>
        </w:rPr>
        <w:t>Section 7.06(a)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Investment is in Capital Stock of a Person that subsequently becomes the Borrower or a Restricted Subsidiary, such Investment shall thereafter be deemed permitted under clause (i) or (ii) above and shall not be included as having been made pursuant to this clause (w);</w:t>
      </w:r>
    </w:p>
    <w:p>
      <w:pPr>
        <w:spacing w:after="0" w:line="179" w:lineRule="exact"/>
        <w:rPr>
          <w:rFonts w:ascii="Times New Roman" w:cs="Times New Roman" w:eastAsia="Times New Roman" w:hAnsi="Times New Roman"/>
          <w:sz w:val="21"/>
          <w:szCs w:val="21"/>
          <w:color w:val="auto"/>
        </w:rPr>
      </w:pPr>
    </w:p>
    <w:p>
      <w:pPr>
        <w:jc w:val="both"/>
        <w:ind w:firstLine="1304"/>
        <w:spacing w:after="0" w:line="232"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Investment in a Similar Business having an aggregate fair market value, taken together with all other Investments made pursuant to this clause that are at that time outstanding, not to exceed the greater of $54.0 million and 25.0%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of any amounts applied pursuant to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xml:space="preserve"> hereof) with the fair market value of each Investment being measured at the time made and without giving effect to subsequent changes in value;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any Investment pursuant to this clause is made in any Person that is not the Borrower or a Restricted Subsidiary at the date of the making of such Investment and such Person becomes the Borrower or a Restricted Subsidiary after such date, such Investment shall thereafter be deemed to have been made pursuant to clause (a) or (b) above and shall cease to have been made pursuant to this clause;</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1960" w:hanging="656"/>
        <w:spacing w:after="0"/>
        <w:tabs>
          <w:tab w:leader="none" w:pos="19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7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by an Unrestricted Subsidiary entered into prior to the day such Unrestricted Subsidiary is redesignated as a Restricted Subsidiary as described under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firstLine="1304"/>
        <w:spacing w:after="0" w:line="245" w:lineRule="auto"/>
        <w:tabs>
          <w:tab w:leader="none" w:pos="19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commissions advances to producers that may not be earned through personal production and that may be earned over time or written off by the Borrower as unearned salary;</w:t>
      </w:r>
    </w:p>
    <w:p>
      <w:pPr>
        <w:spacing w:after="0" w:line="172" w:lineRule="exact"/>
        <w:rPr>
          <w:rFonts w:ascii="Times New Roman" w:cs="Times New Roman" w:eastAsia="Times New Roman" w:hAnsi="Times New Roman"/>
          <w:sz w:val="22"/>
          <w:szCs w:val="22"/>
          <w:color w:val="auto"/>
        </w:rPr>
      </w:pPr>
    </w:p>
    <w:p>
      <w:pPr>
        <w:ind w:firstLine="1304"/>
        <w:spacing w:after="0" w:line="258" w:lineRule="auto"/>
        <w:tabs>
          <w:tab w:leader="none" w:pos="195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and indemnification obligations arising in connection with surety bonds issued in the ordinary course of business or consistent with past practice;</w:t>
      </w:r>
    </w:p>
    <w:p>
      <w:pPr>
        <w:spacing w:after="0" w:line="15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2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contacts and loans, (c)(i) advances, loans, extensions of credit (including the creation of receivables) or (ii) prepayments made to, and guarantees with respect to obligations of, franchisees, distributors, suppliers, lessors, licensors and licensees, in each case in the ordinary course of business or consistent with past practice or (d) received in satisfaction or partial satisfaction thereof from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084" w:right="339" w:bottom="1440" w:gutter="0" w:footer="0" w:header="0"/>
        </w:sectPr>
      </w:pPr>
    </w:p>
    <w:bookmarkStart w:id="160" w:name="page161"/>
    <w:bookmarkEnd w:id="160"/>
    <w:p>
      <w:pPr>
        <w:spacing w:after="0" w:line="258" w:lineRule="auto"/>
        <w:rPr>
          <w:sz w:val="20"/>
          <w:szCs w:val="20"/>
          <w:color w:val="auto"/>
        </w:rPr>
      </w:pPr>
      <w:r>
        <w:rPr>
          <w:rFonts w:ascii="Times New Roman" w:cs="Times New Roman" w:eastAsia="Times New Roman" w:hAnsi="Times New Roman"/>
          <w:sz w:val="22"/>
          <w:szCs w:val="22"/>
          <w:color w:val="auto"/>
        </w:rPr>
        <w:t>financially troubled account debtors and other credits to suppliers in the ordinary course of business or consistent with past practice;</w:t>
      </w:r>
    </w:p>
    <w:p>
      <w:pPr>
        <w:spacing w:after="0" w:line="158" w:lineRule="exact"/>
        <w:rPr>
          <w:sz w:val="20"/>
          <w:szCs w:val="20"/>
          <w:color w:val="auto"/>
        </w:rPr>
      </w:pPr>
    </w:p>
    <w:p>
      <w:pPr>
        <w:jc w:val="both"/>
        <w:ind w:firstLine="1304"/>
        <w:spacing w:after="0" w:line="244"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8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endorsements for collection or deposit and trade arrangements with customers (or any comparable or similar provisions in other applicable jurisdictions) in the ordinary course of business or consistent with past practice;</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2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Investments in connection with tax planning and reorganization activities, Investments in connection with any Permitted Intercompany Activities, Permitted IPO Reorganization and Permitted Tax Restructuring and related transactions;</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5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from casualty insurance proceeds in connection with the replacement, substitution, restoration or repair of assets on account of a Casualty Event; and</w:t>
      </w:r>
    </w:p>
    <w:p>
      <w:pPr>
        <w:spacing w:after="0" w:line="158" w:lineRule="exact"/>
        <w:rPr>
          <w:rFonts w:ascii="Times New Roman" w:cs="Times New Roman" w:eastAsia="Times New Roman" w:hAnsi="Times New Roman"/>
          <w:sz w:val="22"/>
          <w:szCs w:val="22"/>
          <w:color w:val="auto"/>
        </w:rPr>
      </w:pPr>
    </w:p>
    <w:p>
      <w:pPr>
        <w:jc w:val="both"/>
        <w:ind w:left="1300" w:firstLine="4"/>
        <w:spacing w:after="0" w:line="239" w:lineRule="auto"/>
        <w:tabs>
          <w:tab w:leader="none" w:pos="191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Specified Default shall have occurred and is continuing or would result therefrom, any other Investment so long as, immediately after giving pro forma effect to the Investment and the incurrence of any Indebtedness the net proceeds of which are used to make such Investment, the Consolidated Total Leverage Ratio shall be no greater than 1.80 to 1.00.</w:t>
      </w:r>
    </w:p>
    <w:p>
      <w:pPr>
        <w:spacing w:after="0" w:line="16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IPO Reorganization</w:t>
      </w:r>
      <w:r>
        <w:rPr>
          <w:rFonts w:ascii="Times New Roman" w:cs="Times New Roman" w:eastAsia="Times New Roman" w:hAnsi="Times New Roman"/>
          <w:sz w:val="22"/>
          <w:szCs w:val="22"/>
          <w:color w:val="auto"/>
        </w:rPr>
        <w:t>” means any transaction taken by Holdings or any of its Restricted Subsidiaries in connection with and reasonably related to consummating an initial public offering, so long as, after giving effect thereto, there is no material adverse impact on the value of the Collateral, taken as a whole.</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Junior Refinancing Debt</w:t>
      </w:r>
      <w:r>
        <w:rPr>
          <w:rFonts w:ascii="Times New Roman" w:cs="Times New Roman" w:eastAsia="Times New Roman" w:hAnsi="Times New Roman"/>
          <w:sz w:val="22"/>
          <w:szCs w:val="22"/>
          <w:color w:val="auto"/>
        </w:rPr>
        <w:t xml:space="preserve">” means secured Indebtedness incurred by the Borrower and Guarantees with respect thereto by any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Indebtedness is secured by the Collateral on a junior basis to the Secured Obligations and the obligations in respect of any Permitted Pari Passu Refinancing Debt, in each case pursuant to a Customary Intercreditor Agreement, and is not secured by any property or assets of Holdings and its Restricted Subsidiaries other than the Collateral and (ii) such Indebtedness constitutes Credit Agreement Refinancing Indebtedness in respect of Term Loans, Incremental Term Loans, Refinancing Term Loans, Revolving Credit Loans, Incremental Revolving Credit Commitment, or Refinancing Revolving Credit Loans.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with respect to any Person:</w:t>
      </w:r>
    </w:p>
    <w:p>
      <w:pPr>
        <w:spacing w:after="0" w:line="206" w:lineRule="exact"/>
        <w:rPr>
          <w:sz w:val="20"/>
          <w:szCs w:val="20"/>
          <w:color w:val="auto"/>
        </w:rPr>
      </w:pPr>
    </w:p>
    <w:p>
      <w:pPr>
        <w:ind w:left="660" w:right="20" w:firstLine="1292"/>
        <w:spacing w:after="0" w:line="258" w:lineRule="auto"/>
        <w:tabs>
          <w:tab w:leader="none" w:pos="259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Liens on assets or property of a Restricted Subsidiary that is not a Guarantor securing Indebtedness and other Obligations of such Restricted Subsidiary that is not a Guarantor;</w:t>
      </w:r>
    </w:p>
    <w:p>
      <w:pPr>
        <w:spacing w:after="0" w:line="158" w:lineRule="exact"/>
        <w:rPr>
          <w:rFonts w:ascii="Times New Roman" w:cs="Times New Roman" w:eastAsia="Times New Roman" w:hAnsi="Times New Roman"/>
          <w:sz w:val="20"/>
          <w:szCs w:val="20"/>
          <w:color w:val="auto"/>
        </w:rPr>
      </w:pPr>
    </w:p>
    <w:p>
      <w:pPr>
        <w:jc w:val="both"/>
        <w:ind w:left="660" w:firstLine="1292"/>
        <w:spacing w:after="0" w:line="235" w:lineRule="auto"/>
        <w:tabs>
          <w:tab w:leader="none" w:pos="259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084" w:right="339" w:bottom="1440" w:gutter="0" w:footer="0" w:header="0"/>
        </w:sectPr>
      </w:pPr>
    </w:p>
    <w:bookmarkStart w:id="161" w:name="page162"/>
    <w:bookmarkEnd w:id="161"/>
    <w:p>
      <w:pPr>
        <w:jc w:val="both"/>
        <w:spacing w:after="0" w:line="234" w:lineRule="auto"/>
        <w:rPr>
          <w:sz w:val="20"/>
          <w:szCs w:val="20"/>
          <w:color w:val="auto"/>
        </w:rPr>
      </w:pPr>
      <w:r>
        <w:rPr>
          <w:rFonts w:ascii="Times New Roman" w:cs="Times New Roman" w:eastAsia="Times New Roman" w:hAnsi="Times New Roman"/>
          <w:sz w:val="22"/>
          <w:szCs w:val="22"/>
          <w:color w:val="auto"/>
        </w:rPr>
        <w:t>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177" w:lineRule="exact"/>
        <w:rPr>
          <w:sz w:val="20"/>
          <w:szCs w:val="20"/>
          <w:color w:val="auto"/>
        </w:rPr>
      </w:pPr>
    </w:p>
    <w:p>
      <w:pPr>
        <w:jc w:val="both"/>
        <w:ind w:firstLine="1292"/>
        <w:spacing w:after="0" w:line="238"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with respect to outstanding motor vehicle fines and Liens imposed by law or regulation, including carriers’, warehousemen’s, mechanics’, landlords’, suppliers’, materialmen’s, repairmen’s, architects’, construction contractors’ or other similar Liens, in each case (i) for amounts not overdue for a period of more than 60 days or, if more than 60 days overdue, are unfiled (or if filed have been discharged or stayed) and no other action has been taken to enforce such Liens or (ii) that are bonded or being contested in good faith by appropriate proceedings;</w:t>
      </w:r>
    </w:p>
    <w:p>
      <w:pPr>
        <w:spacing w:after="0" w:line="176" w:lineRule="exact"/>
        <w:rPr>
          <w:rFonts w:ascii="Times New Roman" w:cs="Times New Roman" w:eastAsia="Times New Roman" w:hAnsi="Times New Roman"/>
          <w:sz w:val="22"/>
          <w:szCs w:val="22"/>
          <w:color w:val="auto"/>
        </w:rPr>
      </w:pPr>
    </w:p>
    <w:p>
      <w:pPr>
        <w:jc w:val="both"/>
        <w:ind w:firstLine="1292"/>
        <w:spacing w:after="0" w:line="234"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other governmental charges which are not yet due and payable or delinquent or which are being contested in good faith by appropriate proceedings or the nonpayment of which is permitted by applicable bankruptcy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appropriate reserves to the extent required pursuant to GAAP (or other applicable accounting principles) have been made in respect thereof; or for property Taxes on property of the Borrower or one of its Subsidiaries has determined to abandon if such abandonment is otherwise permitted hereunder, and the sole recourse for such Tax is to such property;</w:t>
      </w:r>
    </w:p>
    <w:p>
      <w:pPr>
        <w:spacing w:after="0" w:line="180" w:lineRule="exact"/>
        <w:rPr>
          <w:rFonts w:ascii="Times New Roman" w:cs="Times New Roman" w:eastAsia="Times New Roman" w:hAnsi="Times New Roman"/>
          <w:sz w:val="22"/>
          <w:szCs w:val="22"/>
          <w:color w:val="auto"/>
        </w:rPr>
      </w:pPr>
    </w:p>
    <w:p>
      <w:pPr>
        <w:jc w:val="both"/>
        <w:ind w:firstLine="1292"/>
        <w:spacing w:after="0" w:line="232"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shown on any Mortgage Policy,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Borrower and the Restricted Subsidiaries, taken as a whole;</w:t>
      </w:r>
    </w:p>
    <w:p>
      <w:pPr>
        <w:spacing w:after="0" w:line="187" w:lineRule="exact"/>
        <w:rPr>
          <w:rFonts w:ascii="Times New Roman" w:cs="Times New Roman" w:eastAsia="Times New Roman" w:hAnsi="Times New Roman"/>
          <w:sz w:val="22"/>
          <w:szCs w:val="22"/>
          <w:color w:val="auto"/>
        </w:rPr>
      </w:pPr>
    </w:p>
    <w:p>
      <w:pPr>
        <w:jc w:val="both"/>
        <w:ind w:firstLine="1292"/>
        <w:spacing w:after="0" w:line="232"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 securing Hedging Obligations or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Borrower or any of its Subsidiaries or consistent with past practice or (iii) relating to purchase orders and other agreements entered into with customers of the Borrower or any Restricted Subsidiary in the ordinary course of business or consistent with past practice; (c) on cash accounts securing Indebtedness and other Obligations permitted to be Incurred under </w:t>
      </w:r>
      <w:r>
        <w:rPr>
          <w:rFonts w:ascii="Times New Roman" w:cs="Times New Roman" w:eastAsia="Times New Roman" w:hAnsi="Times New Roman"/>
          <w:sz w:val="22"/>
          <w:szCs w:val="22"/>
          <w:u w:val="single" w:color="auto"/>
          <w:color w:val="auto"/>
        </w:rPr>
        <w:t>Section 7.03(b)(viii)(v)</w:t>
      </w:r>
      <w:r>
        <w:rPr>
          <w:rFonts w:ascii="Times New Roman" w:cs="Times New Roman" w:eastAsia="Times New Roman" w:hAnsi="Times New Roman"/>
          <w:sz w:val="22"/>
          <w:szCs w:val="22"/>
          <w:color w:val="auto"/>
        </w:rPr>
        <w:t xml:space="preserve"> with 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and/or (e) (i)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0580"/>
          </w:cols>
          <w:pgMar w:left="980" w:top="1084" w:right="339" w:bottom="1440" w:gutter="0" w:footer="0" w:header="0"/>
        </w:sectPr>
      </w:pPr>
    </w:p>
    <w:bookmarkStart w:id="162" w:name="page163"/>
    <w:bookmarkEnd w:id="162"/>
    <w:p>
      <w:pPr>
        <w:jc w:val="both"/>
        <w:ind w:left="4"/>
        <w:spacing w:after="0" w:line="236" w:lineRule="auto"/>
        <w:rPr>
          <w:sz w:val="20"/>
          <w:szCs w:val="20"/>
          <w:color w:val="auto"/>
        </w:rPr>
      </w:pPr>
      <w:r>
        <w:rPr>
          <w:rFonts w:ascii="Times New Roman" w:cs="Times New Roman" w:eastAsia="Times New Roman" w:hAnsi="Times New Roman"/>
          <w:sz w:val="22"/>
          <w:szCs w:val="22"/>
          <w:color w:val="auto"/>
        </w:rPr>
        <w:t>of a collection bank arising under Section 4-210 of the UCC or any comparable or successor provision on items in the course of collection and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168" w:lineRule="exact"/>
        <w:rPr>
          <w:sz w:val="20"/>
          <w:szCs w:val="20"/>
          <w:color w:val="auto"/>
        </w:rPr>
      </w:pPr>
    </w:p>
    <w:p>
      <w:pPr>
        <w:jc w:val="both"/>
        <w:ind w:left="4" w:firstLine="1292"/>
        <w:spacing w:after="0" w:line="253" w:lineRule="auto"/>
        <w:tabs>
          <w:tab w:leader="none" w:pos="194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licenses, subleases and sublicenses and Liens on the property covered thereby (including real property and IP Rights) entered into in the ordinary course of business, consistent with past practice or which do not</w:t>
      </w:r>
    </w:p>
    <w:p>
      <w:pPr>
        <w:ind w:left="324" w:hanging="324"/>
        <w:spacing w:after="0" w:line="230" w:lineRule="auto"/>
        <w:tabs>
          <w:tab w:leader="none" w:pos="32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in any material respect with the business of the Borrower or any Restricted Subsidiary, taken as a whole or</w:t>
      </w:r>
    </w:p>
    <w:p>
      <w:pPr>
        <w:ind w:left="304" w:hanging="304"/>
        <w:spacing w:after="0"/>
        <w:tabs>
          <w:tab w:leader="none" w:pos="30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any Indebtedness;</w:t>
      </w:r>
    </w:p>
    <w:p>
      <w:pPr>
        <w:spacing w:after="0" w:line="182" w:lineRule="exact"/>
        <w:rPr>
          <w:rFonts w:ascii="Times New Roman" w:cs="Times New Roman" w:eastAsia="Times New Roman" w:hAnsi="Times New Roman"/>
          <w:sz w:val="22"/>
          <w:szCs w:val="22"/>
          <w:color w:val="auto"/>
        </w:rPr>
      </w:pPr>
    </w:p>
    <w:p>
      <w:pPr>
        <w:ind w:left="4" w:firstLine="1292"/>
        <w:spacing w:after="0" w:line="258" w:lineRule="auto"/>
        <w:tabs>
          <w:tab w:leader="none" w:pos="194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or otherwise arising out of judgments, decrees, attachments, orders or awards not giving rise to an Event of Default under Section 8.01(h) hereof;</w:t>
      </w:r>
    </w:p>
    <w:p>
      <w:pPr>
        <w:spacing w:after="0" w:line="158" w:lineRule="exact"/>
        <w:rPr>
          <w:rFonts w:ascii="Times New Roman" w:cs="Times New Roman" w:eastAsia="Times New Roman" w:hAnsi="Times New Roman"/>
          <w:sz w:val="22"/>
          <w:szCs w:val="22"/>
          <w:color w:val="auto"/>
        </w:rPr>
      </w:pPr>
    </w:p>
    <w:p>
      <w:pPr>
        <w:jc w:val="both"/>
        <w:ind w:left="4" w:firstLine="1292"/>
        <w:spacing w:after="0" w:line="243" w:lineRule="auto"/>
        <w:tabs>
          <w:tab w:leader="none" w:pos="193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(a) the aggregate principal amount of Indebtedness secured by such Liens is otherwise permitted to be Incurred under this Agreement and (b) any such Liens may not extend to any assets or property of the Borrower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customary security deposits; provided that individual financings of equipment provided by one lender may be cross-collateralized to other financings of equipment provided by such lender; and (ii) any interest or title of a lessor, sublessor, franchisor’s, licensor or sublicensor or secured by a lessor’s, sublessor’s, licensor’s or sublicensor’s interest under any Capitalized Lease Obligations or Non-Financing Lease Obligations;</w:t>
      </w:r>
    </w:p>
    <w:p>
      <w:pPr>
        <w:spacing w:after="0" w:line="182" w:lineRule="exact"/>
        <w:rPr>
          <w:rFonts w:ascii="Times New Roman" w:cs="Times New Roman" w:eastAsia="Times New Roman" w:hAnsi="Times New Roman"/>
          <w:sz w:val="21"/>
          <w:szCs w:val="21"/>
          <w:color w:val="auto"/>
        </w:rPr>
      </w:pPr>
    </w:p>
    <w:p>
      <w:pPr>
        <w:ind w:left="4" w:right="20" w:firstLine="1292"/>
        <w:spacing w:after="0" w:line="282" w:lineRule="auto"/>
        <w:tabs>
          <w:tab w:leader="none" w:pos="193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from UCC financing statements, including precautionary financing statements (or similar filings) regarding operating leases or consignments entered into by the Borrower and the Restricted Subsidiaries;</w:t>
      </w:r>
    </w:p>
    <w:p>
      <w:pPr>
        <w:spacing w:after="0" w:line="121" w:lineRule="exact"/>
        <w:rPr>
          <w:rFonts w:ascii="Times New Roman" w:cs="Times New Roman" w:eastAsia="Times New Roman" w:hAnsi="Times New Roman"/>
          <w:sz w:val="21"/>
          <w:szCs w:val="21"/>
          <w:color w:val="auto"/>
        </w:rPr>
      </w:pPr>
    </w:p>
    <w:p>
      <w:pPr>
        <w:jc w:val="both"/>
        <w:ind w:left="4" w:firstLine="1292"/>
        <w:spacing w:after="0" w:line="244" w:lineRule="auto"/>
        <w:tabs>
          <w:tab w:leader="none" w:pos="194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the Closing Date, including any Liens securing any Refinancing Indebtedness of any Indebtedness secured by such Liens; provided that any Lien securing Indebtedness or other obligations in excess of $3.0 million shall be listed on Schedule 1.01H to the Closing Date Certificate;</w:t>
      </w:r>
    </w:p>
    <w:p>
      <w:pPr>
        <w:spacing w:after="0" w:line="173" w:lineRule="exact"/>
        <w:rPr>
          <w:rFonts w:ascii="Times New Roman" w:cs="Times New Roman" w:eastAsia="Times New Roman" w:hAnsi="Times New Roman"/>
          <w:sz w:val="22"/>
          <w:szCs w:val="22"/>
          <w:color w:val="auto"/>
        </w:rPr>
      </w:pPr>
    </w:p>
    <w:p>
      <w:pPr>
        <w:jc w:val="both"/>
        <w:ind w:left="4" w:firstLine="1292"/>
        <w:spacing w:after="0" w:line="238" w:lineRule="auto"/>
        <w:tabs>
          <w:tab w:leader="none" w:pos="1936"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other assets or shares of stock of a Person at the time such Person becomes a Subsidiary (or at the time the Borrower or a Subsidiary acquires such property, other assets or shares of stock, including any acquisition by means of a merger, amalgamation, consolidation or other business combination transaction with or into the Borrower or any Restricted Subsidiary); provided, however, that such Liens are not created, Incurred or assumed in anticipation of or in connection with such other Person becoming a Subsidiary (or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0584"/>
          </w:cols>
          <w:pgMar w:left="976" w:top="1084" w:right="339" w:bottom="1440" w:gutter="0" w:footer="0" w:header="0"/>
        </w:sectPr>
      </w:pPr>
    </w:p>
    <w:bookmarkStart w:id="163" w:name="page164"/>
    <w:bookmarkEnd w:id="163"/>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such acquisition of such property, other assets or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175" w:lineRule="exact"/>
        <w:rPr>
          <w:sz w:val="20"/>
          <w:szCs w:val="20"/>
          <w:color w:val="auto"/>
        </w:rPr>
      </w:pPr>
    </w:p>
    <w:p>
      <w:pPr>
        <w:jc w:val="both"/>
        <w:ind w:firstLine="1292"/>
        <w:spacing w:after="0" w:line="244" w:lineRule="auto"/>
        <w:tabs>
          <w:tab w:leader="none" w:pos="193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Obligations relating to any Indebtedness or other Obligations of the Borrower or such Restricted Subsidiary owing to the Borrower or another Restricted Subsidiary, or Liens in favor of the Borrower or any Restricted Subsidiary or the Administrative Agent;</w:t>
      </w:r>
    </w:p>
    <w:p>
      <w:pPr>
        <w:spacing w:after="0" w:line="173" w:lineRule="exact"/>
        <w:rPr>
          <w:rFonts w:ascii="Times New Roman" w:cs="Times New Roman" w:eastAsia="Times New Roman" w:hAnsi="Times New Roman"/>
          <w:sz w:val="22"/>
          <w:szCs w:val="22"/>
          <w:color w:val="auto"/>
        </w:rPr>
      </w:pPr>
    </w:p>
    <w:p>
      <w:pPr>
        <w:jc w:val="both"/>
        <w:ind w:firstLine="1292"/>
        <w:spacing w:after="0" w:line="232"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Refinancing Indebtedness Incurred to refinance Indebtedness that was previously so secured, and permitted to be secured under this Agreement;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 and such Liens have equal or lesser priority than the Lines in respect of the Indebtedness being refinanced;</w:t>
      </w:r>
    </w:p>
    <w:p>
      <w:pPr>
        <w:spacing w:after="0" w:line="187" w:lineRule="exact"/>
        <w:rPr>
          <w:rFonts w:ascii="Times New Roman" w:cs="Times New Roman" w:eastAsia="Times New Roman" w:hAnsi="Times New Roman"/>
          <w:sz w:val="22"/>
          <w:szCs w:val="22"/>
          <w:color w:val="auto"/>
        </w:rPr>
      </w:pPr>
    </w:p>
    <w:p>
      <w:pPr>
        <w:jc w:val="both"/>
        <w:ind w:firstLine="1292"/>
        <w:spacing w:after="0" w:line="238"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mortgages, liens, security interests, restrictions, encumbrances or any other matters of record that have been placed by any government, statutory or regulatory authority, developer, landlord or other third party on property which the Borrower or any Restricted Subsidiary does not own in fee, but has easement rights over, or on any leased property and subordination or similar arrangements relating thereto and (b) any condemnation or eminent domain proceedings affecting any real property;</w:t>
      </w:r>
    </w:p>
    <w:p>
      <w:pPr>
        <w:spacing w:after="0" w:line="176" w:lineRule="exact"/>
        <w:rPr>
          <w:rFonts w:ascii="Times New Roman" w:cs="Times New Roman" w:eastAsia="Times New Roman" w:hAnsi="Times New Roman"/>
          <w:sz w:val="22"/>
          <w:szCs w:val="22"/>
          <w:color w:val="auto"/>
        </w:rPr>
      </w:pPr>
    </w:p>
    <w:p>
      <w:pPr>
        <w:jc w:val="both"/>
        <w:ind w:firstLine="1292"/>
        <w:spacing w:after="0" w:line="238"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(including put and call arrangements) with respect to Capital Stock of any joint venture securing financing arrangement, joint venture or similar arrangement pursuant to any joint venture securing financing arrangement, joint venture or similar agreement;</w:t>
      </w:r>
    </w:p>
    <w:p>
      <w:pPr>
        <w:spacing w:after="0" w:line="178" w:lineRule="exact"/>
        <w:rPr>
          <w:rFonts w:ascii="Times New Roman" w:cs="Times New Roman" w:eastAsia="Times New Roman" w:hAnsi="Times New Roman"/>
          <w:sz w:val="22"/>
          <w:szCs w:val="22"/>
          <w:color w:val="auto"/>
        </w:rPr>
      </w:pPr>
    </w:p>
    <w:p>
      <w:pPr>
        <w:ind w:right="20" w:firstLine="1292"/>
        <w:spacing w:after="0" w:line="258"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158" w:lineRule="exact"/>
        <w:rPr>
          <w:rFonts w:ascii="Times New Roman" w:cs="Times New Roman" w:eastAsia="Times New Roman" w:hAnsi="Times New Roman"/>
          <w:sz w:val="22"/>
          <w:szCs w:val="22"/>
          <w:color w:val="auto"/>
        </w:rPr>
      </w:pPr>
    </w:p>
    <w:p>
      <w:pPr>
        <w:jc w:val="both"/>
        <w:ind w:firstLine="1292"/>
        <w:spacing w:after="0" w:line="244"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173"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Secured Obligations and the Guarantees;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0580"/>
          </w:cols>
          <w:pgMar w:left="980" w:top="1080" w:right="339" w:bottom="1440" w:gutter="0" w:footer="0" w:header="0"/>
        </w:sectPr>
      </w:pPr>
    </w:p>
    <w:bookmarkStart w:id="164" w:name="page165"/>
    <w:bookmarkEnd w:id="164"/>
    <w:p>
      <w:pPr>
        <w:jc w:val="both"/>
        <w:ind w:left="4" w:firstLine="1292"/>
        <w:spacing w:after="0" w:line="233" w:lineRule="auto"/>
        <w:tabs>
          <w:tab w:leader="none" w:pos="193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and other Obligations under Section 7.03(b)(v) hereof; provided that if such Indebtedness is assumed, such Liens shall only be permitted if such Liens are limited to all or part of the same property or assets, including Capital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Borrower or any Restricted Subsidiary, in any transaction to which such Indebtedness or other Obligation relates;</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and other Obligations under Section 7.03(a) or Sections 7.03(b)(xi),</w:t>
      </w:r>
    </w:p>
    <w:p>
      <w:pPr>
        <w:spacing w:after="0" w:line="14" w:lineRule="exact"/>
        <w:rPr>
          <w:rFonts w:ascii="Times New Roman" w:cs="Times New Roman" w:eastAsia="Times New Roman" w:hAnsi="Times New Roman"/>
          <w:sz w:val="22"/>
          <w:szCs w:val="22"/>
          <w:color w:val="auto"/>
        </w:rPr>
      </w:pPr>
    </w:p>
    <w:p>
      <w:pPr>
        <w:jc w:val="both"/>
        <w:ind w:left="4" w:hanging="4"/>
        <w:spacing w:after="0" w:line="230" w:lineRule="auto"/>
        <w:tabs>
          <w:tab w:leader="none" w:pos="49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(xx) hereof (provided that, (w) in the case of Section 7.03(b)(vii), the related Indebtedness represented by such Capitalized Lease Obligations, Purchase Money Obligations or other obligations shall not be secured by any property, equipment or assets of the Borrower or any Restricted Subsidiary other than the property, equipment or assets so acquired, leased, expanded, constructed, installed, replaced, repaired or improved and any proceeds therefrom and other than assets and property affixed or appurtenant thereto and accessions, additions, improvements,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(x) in the case of Section 7.03(b)(xi), such Liens cover only the assets of such Non-Loan Party or assets that do not constitute Collateral and (y) in the case of Section 7.03(a) and 7.03(b)(xx), only to the extent permitted to be secured thereby; provided further that, in the event that the Liens granted pursuant to this clause (u) with respect to Indebtedness incurred pursuant to Section 7.03(xiv) are Liens on the Collateral, then the holders of the obligations secured by such Liens, or their duly appointed agent, shall become party to a Customary Intercreditor Agreement;</w:t>
      </w:r>
    </w:p>
    <w:p>
      <w:pPr>
        <w:spacing w:after="0" w:line="185" w:lineRule="exact"/>
        <w:rPr>
          <w:rFonts w:ascii="Times New Roman" w:cs="Times New Roman" w:eastAsia="Times New Roman" w:hAnsi="Times New Roman"/>
          <w:sz w:val="22"/>
          <w:szCs w:val="22"/>
          <w:color w:val="auto"/>
        </w:rPr>
      </w:pPr>
    </w:p>
    <w:p>
      <w:pPr>
        <w:jc w:val="both"/>
        <w:ind w:left="4" w:firstLine="1292"/>
        <w:spacing w:after="0" w:line="244" w:lineRule="auto"/>
        <w:tabs>
          <w:tab w:leader="none" w:pos="194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Excluded Property of the Borrower or any Guarantor securing Indebtedness or other Obligations of the Borrower and/or any Guarantor in an aggregate amount not in excess of the greater of $21.3 million and 10% of LTM EBITDA;</w:t>
      </w:r>
    </w:p>
    <w:p>
      <w:pPr>
        <w:spacing w:after="0" w:line="173" w:lineRule="exact"/>
        <w:rPr>
          <w:rFonts w:ascii="Times New Roman" w:cs="Times New Roman" w:eastAsia="Times New Roman" w:hAnsi="Times New Roman"/>
          <w:sz w:val="22"/>
          <w:szCs w:val="22"/>
          <w:color w:val="auto"/>
        </w:rPr>
      </w:pPr>
    </w:p>
    <w:p>
      <w:pPr>
        <w:ind w:left="4" w:firstLine="1292"/>
        <w:spacing w:after="0" w:line="245" w:lineRule="auto"/>
        <w:tabs>
          <w:tab w:leader="none" w:pos="1937"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Capital Stock or other securities or assets of any Unrestricted Subsidiary that secure Indebtedness or other obligations of such Unrestricted Subsidiary;</w:t>
      </w:r>
    </w:p>
    <w:p>
      <w:pPr>
        <w:spacing w:after="0" w:line="172" w:lineRule="exact"/>
        <w:rPr>
          <w:rFonts w:ascii="Times New Roman" w:cs="Times New Roman" w:eastAsia="Times New Roman" w:hAnsi="Times New Roman"/>
          <w:sz w:val="22"/>
          <w:szCs w:val="22"/>
          <w:color w:val="auto"/>
        </w:rPr>
      </w:pPr>
    </w:p>
    <w:p>
      <w:pPr>
        <w:ind w:left="4" w:firstLine="1292"/>
        <w:spacing w:after="0" w:line="258" w:lineRule="auto"/>
        <w:tabs>
          <w:tab w:leader="none" w:pos="194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deemed to exist in connection with Investments permitted under clause (4) of the definition of “Cash Equivalents”;</w:t>
      </w:r>
    </w:p>
    <w:p>
      <w:pPr>
        <w:spacing w:after="0" w:line="158" w:lineRule="exact"/>
        <w:rPr>
          <w:rFonts w:ascii="Times New Roman" w:cs="Times New Roman" w:eastAsia="Times New Roman" w:hAnsi="Times New Roman"/>
          <w:sz w:val="22"/>
          <w:szCs w:val="22"/>
          <w:color w:val="auto"/>
        </w:rPr>
      </w:pPr>
    </w:p>
    <w:p>
      <w:pPr>
        <w:jc w:val="both"/>
        <w:ind w:left="4" w:firstLine="1292"/>
        <w:spacing w:after="0" w:line="249" w:lineRule="auto"/>
        <w:tabs>
          <w:tab w:leader="none" w:pos="194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(i) goods the purchase price of which is financed by a documentary letter of credit issued for the account of the Borrower or any Restricted Subsidiary or Liens on bills of lading, drafts or other documents of title arising by operation of law or pursuant to the standard terms of agreements relating to letters of credit, bank guarantees and other similar instruments and (ii) specific items of inventory of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170" w:lineRule="exact"/>
        <w:rPr>
          <w:rFonts w:ascii="Times New Roman" w:cs="Times New Roman" w:eastAsia="Times New Roman" w:hAnsi="Times New Roman"/>
          <w:sz w:val="21"/>
          <w:szCs w:val="21"/>
          <w:color w:val="auto"/>
        </w:rPr>
      </w:pPr>
    </w:p>
    <w:p>
      <w:pPr>
        <w:ind w:left="4" w:firstLine="1292"/>
        <w:spacing w:after="0" w:line="258" w:lineRule="auto"/>
        <w:tabs>
          <w:tab w:leader="none" w:pos="1945"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vehicles or equipment of the Borrower or any Restricted Subsidiary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0584"/>
          </w:cols>
          <w:pgMar w:left="976" w:top="1084" w:right="339" w:bottom="1440" w:gutter="0" w:footer="0" w:header="0"/>
        </w:sectPr>
      </w:pPr>
    </w:p>
    <w:bookmarkStart w:id="165" w:name="page166"/>
    <w:bookmarkEnd w:id="165"/>
    <w:p>
      <w:pPr>
        <w:jc w:val="both"/>
        <w:ind w:left="-460" w:right="20" w:firstLine="1292"/>
        <w:spacing w:after="0" w:line="244" w:lineRule="auto"/>
        <w:tabs>
          <w:tab w:leader="none" w:pos="148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securities deemed to arise in connection with and solely as a result of the execution, delivery or performance of contracts to sell such assets or securities if such sale is otherwise permitted by this Agreement;</w:t>
      </w:r>
    </w:p>
    <w:p>
      <w:pPr>
        <w:spacing w:after="0" w:line="173" w:lineRule="exact"/>
        <w:rPr>
          <w:rFonts w:ascii="Times New Roman" w:cs="Times New Roman" w:eastAsia="Times New Roman" w:hAnsi="Times New Roman"/>
          <w:sz w:val="22"/>
          <w:szCs w:val="22"/>
          <w:color w:val="auto"/>
        </w:rPr>
      </w:pPr>
    </w:p>
    <w:p>
      <w:pPr>
        <w:jc w:val="both"/>
        <w:ind w:left="-460" w:firstLine="1292"/>
        <w:spacing w:after="0" w:line="236" w:lineRule="auto"/>
        <w:tabs>
          <w:tab w:leader="none" w:pos="147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179" w:lineRule="exact"/>
        <w:rPr>
          <w:rFonts w:ascii="Times New Roman" w:cs="Times New Roman" w:eastAsia="Times New Roman" w:hAnsi="Times New Roman"/>
          <w:sz w:val="22"/>
          <w:szCs w:val="22"/>
          <w:color w:val="auto"/>
        </w:rPr>
      </w:pPr>
    </w:p>
    <w:p>
      <w:pPr>
        <w:ind w:left="-460" w:right="20" w:firstLine="1292"/>
        <w:spacing w:after="0" w:line="258" w:lineRule="auto"/>
        <w:tabs>
          <w:tab w:leader="none" w:pos="148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in connection with any letter of intent or purchase agreement permitted under this Agreement;</w:t>
      </w:r>
    </w:p>
    <w:p>
      <w:pPr>
        <w:spacing w:after="0" w:line="158" w:lineRule="exact"/>
        <w:rPr>
          <w:rFonts w:ascii="Times New Roman" w:cs="Times New Roman" w:eastAsia="Times New Roman" w:hAnsi="Times New Roman"/>
          <w:sz w:val="22"/>
          <w:szCs w:val="22"/>
          <w:color w:val="auto"/>
        </w:rPr>
      </w:pPr>
    </w:p>
    <w:p>
      <w:pPr>
        <w:jc w:val="both"/>
        <w:ind w:left="-460" w:firstLine="1292"/>
        <w:spacing w:after="0" w:line="236" w:lineRule="auto"/>
        <w:tabs>
          <w:tab w:leader="none" w:pos="142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w:t>
      </w:r>
    </w:p>
    <w:p>
      <w:pPr>
        <w:spacing w:after="0" w:line="181" w:lineRule="exact"/>
        <w:rPr>
          <w:rFonts w:ascii="Times New Roman" w:cs="Times New Roman" w:eastAsia="Times New Roman" w:hAnsi="Times New Roman"/>
          <w:sz w:val="22"/>
          <w:szCs w:val="22"/>
          <w:color w:val="auto"/>
        </w:rPr>
      </w:pPr>
    </w:p>
    <w:p>
      <w:pPr>
        <w:jc w:val="both"/>
        <w:ind w:left="-460" w:firstLine="1292"/>
        <w:spacing w:after="0" w:line="235" w:lineRule="auto"/>
        <w:tabs>
          <w:tab w:leader="none" w:pos="144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and other Obligations in an aggregate principal amount not to exceed the greater of (a) $96.0 million and (b) 45.0% of LTM EBITDA at the time Incurred; provided further that, in the event that the Liens granted pursuant to this clause (ee) are Liens on the Collateral, then such Liens shall rank junior in priority to the Liens on the Collateral securing the Secured Obligations and the holders of the obligations secured by such Liens, or their duly appointed agent, shall become party to a Customary Intercreditor Agreement;</w:t>
      </w:r>
    </w:p>
    <w:p>
      <w:pPr>
        <w:spacing w:after="0" w:line="178" w:lineRule="exact"/>
        <w:rPr>
          <w:rFonts w:ascii="Times New Roman" w:cs="Times New Roman" w:eastAsia="Times New Roman" w:hAnsi="Times New Roman"/>
          <w:sz w:val="22"/>
          <w:szCs w:val="22"/>
          <w:color w:val="auto"/>
        </w:rPr>
      </w:pPr>
    </w:p>
    <w:p>
      <w:pPr>
        <w:ind w:left="-460" w:firstLine="1292"/>
        <w:spacing w:after="0" w:line="258" w:lineRule="auto"/>
        <w:tabs>
          <w:tab w:leader="none" w:pos="136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then existing with respect to assets of an Unrestricted Subsidiary on the day such Unrestricted Subsidiary is redesignated as a Restricted Subsidiary as described under Section 6.13 hereof;</w:t>
      </w:r>
    </w:p>
    <w:p>
      <w:pPr>
        <w:spacing w:after="0" w:line="158" w:lineRule="exact"/>
        <w:rPr>
          <w:rFonts w:ascii="Times New Roman" w:cs="Times New Roman" w:eastAsia="Times New Roman" w:hAnsi="Times New Roman"/>
          <w:sz w:val="22"/>
          <w:szCs w:val="22"/>
          <w:color w:val="auto"/>
        </w:rPr>
      </w:pPr>
    </w:p>
    <w:p>
      <w:pPr>
        <w:jc w:val="both"/>
        <w:ind w:left="-460" w:firstLine="1292"/>
        <w:spacing w:after="0" w:line="233" w:lineRule="auto"/>
        <w:tabs>
          <w:tab w:leader="none" w:pos="147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to secure Junior Priority Indebtedness permitted to be Incurred pursuant to Section 7.03 hereof; provided that at the time of Incurrence and after giving pro forma effect thereto, if such Indebtedness is secured by a Lien on the Collateral that is junior to the Liens securing the Initial Term Loans, the Consolidated Total Senior Secured Leverage Ratio for the most recently ended Test Period does not exceed the greater of (x) 3.30:1.00 (or, to the extent such Indebtedness is incurred in connection with any Permitted Investment, the Consolidated Total Senior Secured Leverage Ratio for the most recently ended Test Period does not exceed the greater of 3.30:1.00 and the Consolidated Total Senior Secured Leverage Ratio immediately prior to such Permitted Investment); provided further that the holders of the obligations secured by such Liens, or their duly appointed agent, shall become party to a Customary Intercreditor Agreement;</w:t>
      </w:r>
    </w:p>
    <w:p>
      <w:pPr>
        <w:spacing w:after="0" w:line="179" w:lineRule="exact"/>
        <w:rPr>
          <w:rFonts w:ascii="Times New Roman" w:cs="Times New Roman" w:eastAsia="Times New Roman" w:hAnsi="Times New Roman"/>
          <w:sz w:val="22"/>
          <w:szCs w:val="22"/>
          <w:color w:val="auto"/>
        </w:rPr>
      </w:pPr>
    </w:p>
    <w:p>
      <w:pPr>
        <w:jc w:val="both"/>
        <w:ind w:left="-460" w:firstLine="1292"/>
        <w:spacing w:after="0" w:line="244" w:lineRule="auto"/>
        <w:tabs>
          <w:tab w:leader="none" w:pos="148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deemed to exist in connection with Investments in repurchase agreements permitted under Section 7.03 hereof; provided that such Liens do not extend to any assets other than those that are the subject of such repurchase agreement;</w:t>
      </w:r>
    </w:p>
    <w:p>
      <w:pPr>
        <w:spacing w:after="0" w:line="173" w:lineRule="exact"/>
        <w:rPr>
          <w:rFonts w:ascii="Times New Roman" w:cs="Times New Roman" w:eastAsia="Times New Roman" w:hAnsi="Times New Roman"/>
          <w:sz w:val="22"/>
          <w:szCs w:val="22"/>
          <w:color w:val="auto"/>
        </w:rPr>
      </w:pPr>
    </w:p>
    <w:p>
      <w:pPr>
        <w:ind w:left="1320" w:hanging="488"/>
        <w:spacing w:after="0"/>
        <w:tabs>
          <w:tab w:leader="none" w:pos="13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 Qualified Securitization Financing or a Receivables Facility;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0120"/>
          </w:cols>
          <w:pgMar w:left="1440" w:top="1084" w:right="339" w:bottom="1440" w:gutter="0" w:footer="0" w:header="0"/>
        </w:sectPr>
      </w:pPr>
    </w:p>
    <w:bookmarkStart w:id="166" w:name="page167"/>
    <w:bookmarkEnd w:id="166"/>
    <w:p>
      <w:pPr>
        <w:ind w:left="2440" w:hanging="488"/>
        <w:spacing w:after="0"/>
        <w:tabs>
          <w:tab w:leader="none" w:pos="24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Liens;</w:t>
      </w:r>
    </w:p>
    <w:p>
      <w:pPr>
        <w:spacing w:after="0" w:line="206" w:lineRule="exact"/>
        <w:rPr>
          <w:rFonts w:ascii="Times New Roman" w:cs="Times New Roman" w:eastAsia="Times New Roman" w:hAnsi="Times New Roman"/>
          <w:sz w:val="22"/>
          <w:szCs w:val="22"/>
          <w:color w:val="auto"/>
        </w:rPr>
      </w:pPr>
    </w:p>
    <w:p>
      <w:pPr>
        <w:ind w:left="660" w:firstLine="1292"/>
        <w:spacing w:after="0" w:line="258" w:lineRule="auto"/>
        <w:tabs>
          <w:tab w:leader="none" w:pos="268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recapture of unused real property in favor of the seller of such property set forth in customary purchase agreements and related arrangements with any government, statutory or regulatory authority;</w:t>
      </w:r>
    </w:p>
    <w:p>
      <w:pPr>
        <w:spacing w:after="0" w:line="158"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46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reserved to or vested in any Person or government, statutory or regulatory authority by the terms of any lease, license, grant or permit held by the Borrower or any Restricted Subsidiary or by a statutory provision, to terminate any such lease, license, grant or permit, or to require annual or periodic payments as a condition to the continuance thereof;</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39" w:lineRule="auto"/>
        <w:tabs>
          <w:tab w:leader="none" w:pos="271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restrictive covenants affecting the use to which real property may be put and Liens or covenants restricting or prohibiting access to or from lands abutting on controlled access highways or covenants affecting the use to which lands may be put; provided that such Liens or covenants do not interfere with the ordinary conduct of the business of the Borrower or any Restricted Subsidiary;</w:t>
      </w:r>
    </w:p>
    <w:p>
      <w:pPr>
        <w:spacing w:after="0" w:line="180" w:lineRule="exact"/>
        <w:rPr>
          <w:rFonts w:ascii="Times New Roman" w:cs="Times New Roman" w:eastAsia="Times New Roman" w:hAnsi="Times New Roman"/>
          <w:sz w:val="22"/>
          <w:szCs w:val="22"/>
          <w:color w:val="auto"/>
        </w:rPr>
      </w:pPr>
    </w:p>
    <w:p>
      <w:pPr>
        <w:ind w:left="660" w:right="20" w:firstLine="1292"/>
        <w:spacing w:after="0" w:line="258" w:lineRule="auto"/>
        <w:tabs>
          <w:tab w:leader="none" w:pos="270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assets or Permitted Investments used to defease or to satisfy or discharge Indebtedness; provided that such defeasance, satisfaction or discharge is not prohibited by this Agreement;</w:t>
      </w:r>
    </w:p>
    <w:p>
      <w:pPr>
        <w:spacing w:after="0" w:line="158"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6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80"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in connection with any Permitted Intercompany Activities;</w:t>
      </w:r>
    </w:p>
    <w:p>
      <w:pPr>
        <w:spacing w:after="0" w:line="206" w:lineRule="exact"/>
        <w:rPr>
          <w:rFonts w:ascii="Times New Roman" w:cs="Times New Roman" w:eastAsia="Times New Roman" w:hAnsi="Times New Roman"/>
          <w:sz w:val="22"/>
          <w:szCs w:val="22"/>
          <w:color w:val="auto"/>
        </w:rPr>
      </w:pPr>
    </w:p>
    <w:p>
      <w:pPr>
        <w:ind w:left="660" w:firstLine="1292"/>
        <w:spacing w:after="0" w:line="258" w:lineRule="auto"/>
        <w:tabs>
          <w:tab w:leader="none" w:pos="260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to cash collateralize letters of credit incurred in the ordinary course of business or consistent with past practice;</w:t>
      </w:r>
    </w:p>
    <w:p>
      <w:pPr>
        <w:spacing w:after="0" w:line="158"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Foreign Subsidiary, other Liens and privileges arising mandatorily by law.</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For purposes of this definition, the term Indebtedness shall be deemed to include interest on such Indebtedness including interest which increases the principal amount of such Indebtedness. In the event that a Permitted Lien meets the criteria of more than one of the types of Permitted Liens (at the time of incurrence or at a later date), the Borrower in its sole discretion may divide, classify or from time to time reclassify all or any portion of such Permitted Lien in any manner that complies with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hereof and such Permitted Lien shall be treated as having been made pursuant only to the clause or clauses of this definition to which such Permitted Lien has been classified or reclassified;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Liens incurred pursuant to clause (s) of this definition may not be reclassified.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084" w:right="339" w:bottom="1440" w:gutter="0" w:footer="0" w:header="0"/>
        </w:sectPr>
      </w:pPr>
    </w:p>
    <w:bookmarkStart w:id="167" w:name="page168"/>
    <w:bookmarkEnd w:id="167"/>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Pari Passu Refinancing Debt</w:t>
      </w:r>
      <w:r>
        <w:rPr>
          <w:rFonts w:ascii="Times New Roman" w:cs="Times New Roman" w:eastAsia="Times New Roman" w:hAnsi="Times New Roman"/>
          <w:sz w:val="22"/>
          <w:szCs w:val="22"/>
          <w:color w:val="auto"/>
        </w:rPr>
        <w:t xml:space="preserve">” means any secured Indebtedness incurred by the Borrower and Guarantees with respect thereto by any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Indebtedness is secured by the Collateral on a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basis with the Secured Obligations and is not secured by any property or assets of Holdings or the Restricted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the Collateral and (ii) such Indebtedness constitutes Credit Agreement Refinancing Indebtedness in respect of Term Loans, Incremental Term Loans, Refinancing Term Loans, Revolving Credit Loans, Incremental Revolving Credit Commitments, or Refinancing Revolving Credit Loans.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Plan</w:t>
      </w:r>
      <w:r>
        <w:rPr>
          <w:rFonts w:ascii="Times New Roman" w:cs="Times New Roman" w:eastAsia="Times New Roman" w:hAnsi="Times New Roman"/>
          <w:sz w:val="22"/>
          <w:szCs w:val="22"/>
          <w:color w:val="auto"/>
        </w:rPr>
        <w:t>” means any employee benefits plan of the Borrower or any of its Affiliates and any Person acting in its capacity as trustee, agent or other fiduciary or administrator of any such plan.</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Tax Restructuring</w:t>
      </w:r>
      <w:r>
        <w:rPr>
          <w:rFonts w:ascii="Times New Roman" w:cs="Times New Roman" w:eastAsia="Times New Roman" w:hAnsi="Times New Roman"/>
          <w:sz w:val="22"/>
          <w:szCs w:val="22"/>
          <w:color w:val="auto"/>
        </w:rPr>
        <w:t xml:space="preserve">” means (i) a reorganization pursuant to which certain Foreign Subsidiaries of the Borrower will become direct or indirect Subsidiaries of a to-be-formed Foreign Subsidiary or Domestic Foreign Holding Company, which will be a direct or indirect Subsidiary of the Borrower and (ii) any other reorganizations and other activities related to Tax planning and reorganization (as determined by the Borrower in good faith) entered into prior to, on or after the Closing Date so long as after giving effect thereto, the security interest of the Lenders in the Collateral, taken as a whole, is not impaired in any material respect and such Permitted Tax Restructuring is not otherwise materially adverse to the Lenders;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each case, after giving effect to such Permitted Tax Restructuring, the Borrower and the Restricted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otherwise comply with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Unsecured Refinancing Debt</w:t>
      </w:r>
      <w:r>
        <w:rPr>
          <w:rFonts w:ascii="Times New Roman" w:cs="Times New Roman" w:eastAsia="Times New Roman" w:hAnsi="Times New Roman"/>
          <w:sz w:val="22"/>
          <w:szCs w:val="22"/>
          <w:color w:val="auto"/>
        </w:rPr>
        <w:t xml:space="preserve">” means unsecured Indebtedness incurred by the Borrower and Guarantees with respect thereto by any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constitutes Credit Agreement Refinancing Indebtedness in respect of Term Loans, Incremental Term Loans, Refinancing Term Loans, Revolving Credit Loans, Incremental Revolving Credit Commitments, or Refinancing Revolving Credit Loans.</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(as such term is defined in Section 3(3) of ERISA) other than a Foreign Plan, established or maintained by any Loan Party or, with respect to any such plan that is subject to Section 412 of the Code or Title IV of ERISA, any ERISA Affiliate.</w:t>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Asset Regulations</w:t>
      </w:r>
      <w:r>
        <w:rPr>
          <w:rFonts w:ascii="Times New Roman" w:cs="Times New Roman" w:eastAsia="Times New Roman" w:hAnsi="Times New Roman"/>
          <w:sz w:val="22"/>
          <w:szCs w:val="22"/>
          <w:color w:val="auto"/>
        </w:rPr>
        <w:t>” means 29 CFR § 2510.3-101 et seq., as modified by Section 3(42) of ERISA, as amended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0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Post-Petition Interest</w:t>
      </w:r>
      <w:r>
        <w:rPr>
          <w:rFonts w:ascii="Times New Roman" w:cs="Times New Roman" w:eastAsia="Times New Roman" w:hAnsi="Times New Roman"/>
          <w:sz w:val="22"/>
          <w:szCs w:val="22"/>
          <w:color w:val="auto"/>
        </w:rPr>
        <w:t>” means any interest or entitlement to fees or expenses or other charges that accrue after the commencement of any bankruptcy or insolvency proceeding, whether or not a claim therefor is allowed or allowable in any such bankruptcy or insolvency proceeding.</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084" w:right="339" w:bottom="1440" w:gutter="0" w:footer="0" w:header="0"/>
        </w:sectPr>
      </w:pPr>
    </w:p>
    <w:bookmarkStart w:id="168" w:name="page169"/>
    <w:bookmarkEnd w:id="168"/>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means the stated or principal amount of each Loan.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5.05(a)(ii)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Discounted Prepayment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Company Costs</w:t>
      </w:r>
      <w:r>
        <w:rPr>
          <w:rFonts w:ascii="Times New Roman" w:cs="Times New Roman" w:eastAsia="Times New Roman" w:hAnsi="Times New Roman"/>
          <w:sz w:val="22"/>
          <w:szCs w:val="22"/>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Obligations</w:t>
      </w:r>
      <w:r>
        <w:rPr>
          <w:rFonts w:ascii="Times New Roman" w:cs="Times New Roman" w:eastAsia="Times New Roman" w:hAnsi="Times New Roman"/>
          <w:sz w:val="22"/>
          <w:szCs w:val="22"/>
          <w:color w:val="auto"/>
        </w:rPr>
        <w:t>”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assigned to it in Section </w:t>
      </w:r>
      <w:r>
        <w:rPr>
          <w:rFonts w:ascii="Times New Roman" w:cs="Times New Roman" w:eastAsia="Times New Roman" w:hAnsi="Times New Roman"/>
          <w:sz w:val="22"/>
          <w:szCs w:val="22"/>
          <w:u w:val="single" w:color="auto"/>
          <w:color w:val="auto"/>
        </w:rPr>
        <w:t>10.23</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Capital Stock</w:t>
      </w:r>
      <w:r>
        <w:rPr>
          <w:rFonts w:ascii="Times New Roman" w:cs="Times New Roman" w:eastAsia="Times New Roman" w:hAnsi="Times New Roman"/>
          <w:sz w:val="22"/>
          <w:szCs w:val="22"/>
          <w:color w:val="auto"/>
        </w:rPr>
        <w:t>” means any Capital Stock of Holdings that is not Disqualified Stock.</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Securitization Financing</w:t>
      </w:r>
      <w:r>
        <w:rPr>
          <w:rFonts w:ascii="Times New Roman" w:cs="Times New Roman" w:eastAsia="Times New Roman" w:hAnsi="Times New Roman"/>
          <w:sz w:val="22"/>
          <w:szCs w:val="22"/>
          <w:color w:val="auto"/>
        </w:rPr>
        <w:t>”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Holdings and its Restricted Subsidiaries, (ii) all sales of Securitization Assets by Holdings or any Restricted Subsidiary to the Securitization Subsidiary or, in the case of a Securitization Subsidiary, to any other Person are made for fair consideration (as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084" w:right="339" w:bottom="1440" w:gutter="0" w:footer="0" w:header="0"/>
        </w:sectPr>
      </w:pPr>
    </w:p>
    <w:bookmarkStart w:id="169" w:name="page170"/>
    <w:bookmarkEnd w:id="169"/>
    <w:p>
      <w:pPr>
        <w:jc w:val="both"/>
        <w:spacing w:after="0" w:line="239" w:lineRule="auto"/>
        <w:rPr>
          <w:sz w:val="20"/>
          <w:szCs w:val="20"/>
          <w:color w:val="auto"/>
        </w:rPr>
      </w:pPr>
      <w:r>
        <w:rPr>
          <w:rFonts w:ascii="Times New Roman" w:cs="Times New Roman" w:eastAsia="Times New Roman" w:hAnsi="Times New Roman"/>
          <w:sz w:val="22"/>
          <w:szCs w:val="22"/>
          <w:color w:val="auto"/>
        </w:rPr>
        <w:t>determined in good faith by the Borrower) and (iii) the financing terms, covenants, termination events and other provisions thereof shall be fair and reasonable terms (as determined in good faith by the Borrower) and (iv) the obligations under the Securitization Facility are non-recourse to Holdings and its Restricted Subsidiaries but may include Standard Securitization Undertakings.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Lenders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2.05(d)(iv)</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Receivables Assets</w:t>
      </w:r>
      <w:r>
        <w:rPr>
          <w:rFonts w:ascii="Times New Roman" w:cs="Times New Roman" w:eastAsia="Times New Roman" w:hAnsi="Times New Roman"/>
          <w:sz w:val="20"/>
          <w:szCs w:val="20"/>
          <w:color w:val="auto"/>
        </w:rPr>
        <w:t>” means (a) any accounts receivable owed to Holdings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6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Receivables Facility</w:t>
      </w:r>
      <w:r>
        <w:rPr>
          <w:rFonts w:ascii="Times New Roman" w:cs="Times New Roman" w:eastAsia="Times New Roman" w:hAnsi="Times New Roman"/>
          <w:sz w:val="20"/>
          <w:szCs w:val="20"/>
          <w:color w:val="auto"/>
        </w:rPr>
        <w:t>” means an arrangement between Holdings or a Subsidiary and a commercial bank, an asset based lender or other financial institution or an Affiliate thereof pursuant to which (a) Holdings or such Subsidiary, as applicable, sells (directly or indirectly) to such commercial bank, asset based lender or other financial institution (or such Affiliate) Receivables Assets and (b) the obligations of Holdings or such Restricted Subsidiary, as applicable, thereunder are non-recourse (except for Securitization Repurchase Obligations) to Holdings and such Subsidiary and (c) the financing terms, covenants, termination events and other provisions thereof shall be on market terms (as determined in good faith by the Borrower) and may include Standard Securitization Undertakings, and shall include any guaranty in respect of such arrangements.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and (c) any L/C Issuer as applicable.</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refinance, refund, replace, renew, repay, modify, restate, defer, substitute, supplement, reissue, resell, extend or increase (including pursuant to any defeasance or discharge mechanism) and the terms “</w:t>
      </w:r>
      <w:r>
        <w:rPr>
          <w:rFonts w:ascii="Times New Roman" w:cs="Times New Roman" w:eastAsia="Times New Roman" w:hAnsi="Times New Roman"/>
          <w:sz w:val="22"/>
          <w:szCs w:val="22"/>
          <w:u w:val="single" w:color="auto"/>
          <w:color w:val="auto"/>
        </w:rPr>
        <w:t>refinances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as used for any purpose in this Agreement shall have a correlative meaning.</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Amendment</w:t>
      </w:r>
      <w:r>
        <w:rPr>
          <w:rFonts w:ascii="Times New Roman" w:cs="Times New Roman" w:eastAsia="Times New Roman" w:hAnsi="Times New Roman"/>
          <w:sz w:val="22"/>
          <w:szCs w:val="22"/>
          <w:color w:val="auto"/>
        </w:rPr>
        <w:t>” means an amendment to this Agreement in form and substance reasonably satisfactory to the Administrative Agent and the Borrower executed by each of (a) the Borrower, (b) the Administrative Agent and (c) each Lender and Additional Lender that agrees to provide any portion of the Credit Agreement Refinancing Indebtedness being incurred pursuant thereto.</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Holdings that refinances Indebtedness of any Restricted Subsidiary and Indebtedness of any Restricted Subsidiary that refinances Indebtedness of Holdings or another Restricted Subsidiary) including Indebtedness that refinances Refinancing Indebtedness, and Indebtedness incurred pursuant to a commitment that refinances any Indebtedness or unutilized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77" w:lineRule="exact"/>
        <w:rPr>
          <w:sz w:val="20"/>
          <w:szCs w:val="20"/>
          <w:color w:val="auto"/>
        </w:rPr>
      </w:pPr>
    </w:p>
    <w:p>
      <w:pPr>
        <w:jc w:val="both"/>
        <w:ind w:left="660" w:firstLine="644"/>
        <w:spacing w:after="0" w:line="236" w:lineRule="auto"/>
        <w:tabs>
          <w:tab w:leader="none" w:pos="162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Refinancing Indebtedness does not mature prior to, and has a Weighted Average Life to Maturity at the time such Refinancing Indebtedness is Incurred which is not less than the remaining Weighted Average Life to Maturity of, the Indebtedness, Disqualified Stock or Preferred Stock being refunded, refinanced, replaced, exchanged, renewed, repaid or extended (or requires no or nominal payments in cash (other than interest payments) prior to the date that is 91 days after the maturity date of the Initial Term Loans); and (b) to the extent such Refinancing Indebtedness refinances Subordinated Indebtedness, such Refinancing Indebtedness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084" w:right="339" w:bottom="1440" w:gutter="0" w:footer="0" w:header="0"/>
        </w:sectPr>
      </w:pPr>
    </w:p>
    <w:bookmarkStart w:id="170" w:name="page171"/>
    <w:bookmarkEnd w:id="170"/>
    <w:p>
      <w:pPr>
        <w:ind w:left="660"/>
        <w:spacing w:after="0" w:line="258" w:lineRule="auto"/>
        <w:rPr>
          <w:sz w:val="20"/>
          <w:szCs w:val="20"/>
          <w:color w:val="auto"/>
        </w:rPr>
      </w:pPr>
      <w:r>
        <w:rPr>
          <w:rFonts w:ascii="Times New Roman" w:cs="Times New Roman" w:eastAsia="Times New Roman" w:hAnsi="Times New Roman"/>
          <w:sz w:val="22"/>
          <w:szCs w:val="22"/>
          <w:color w:val="auto"/>
        </w:rPr>
        <w:t>is Subordinated Indebtedness, and is subordinated to the Secured Obligations on terms at least as favorable to the Lenders as those contained in the documentation governing the Indebtedness being refinanced;</w:t>
      </w:r>
    </w:p>
    <w:p>
      <w:pPr>
        <w:spacing w:after="0" w:line="158" w:lineRule="exact"/>
        <w:rPr>
          <w:sz w:val="20"/>
          <w:szCs w:val="20"/>
          <w:color w:val="auto"/>
        </w:rPr>
      </w:pPr>
    </w:p>
    <w:p>
      <w:pPr>
        <w:ind w:left="1760" w:hanging="456"/>
        <w:spacing w:after="0"/>
        <w:tabs>
          <w:tab w:leader="none" w:pos="17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Refinancing Indebtedness shall not include:</w:t>
      </w:r>
    </w:p>
    <w:p>
      <w:pPr>
        <w:spacing w:after="0" w:line="206" w:lineRule="exact"/>
        <w:rPr>
          <w:rFonts w:ascii="Times New Roman" w:cs="Times New Roman" w:eastAsia="Times New Roman" w:hAnsi="Times New Roman"/>
          <w:sz w:val="20"/>
          <w:szCs w:val="20"/>
          <w:color w:val="auto"/>
        </w:rPr>
      </w:pPr>
    </w:p>
    <w:p>
      <w:pPr>
        <w:ind w:left="1300" w:firstLine="652"/>
        <w:spacing w:after="0" w:line="258" w:lineRule="auto"/>
        <w:tabs>
          <w:tab w:leader="none" w:pos="22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Disqualified Stock or Preferred Stock of a Subsidiary that is not a Guarantor that refinances Indebtedness, Disqualified Stock or Preferred Stock of the Borrower or a Guarantor; or</w:t>
      </w:r>
    </w:p>
    <w:p>
      <w:pPr>
        <w:spacing w:after="0" w:line="158" w:lineRule="exact"/>
        <w:rPr>
          <w:rFonts w:ascii="Times New Roman" w:cs="Times New Roman" w:eastAsia="Times New Roman" w:hAnsi="Times New Roman"/>
          <w:sz w:val="22"/>
          <w:szCs w:val="22"/>
          <w:color w:val="auto"/>
        </w:rPr>
      </w:pPr>
    </w:p>
    <w:p>
      <w:pPr>
        <w:ind w:left="1300" w:firstLine="652"/>
        <w:spacing w:after="0" w:line="245" w:lineRule="auto"/>
        <w:tabs>
          <w:tab w:leader="none" w:pos="232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Disqualified Stock or Preferred Stock of Holdings or a Restricted Subsidiary that refinances Indebtedness, Disqualified Stock or Preferred Stock of an Unrestricted Subsidiary;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1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of the Indebtedness being refinanced plus (y) an amount equal to any unutilized commitment relating to the Indebtedness being refinanced or otherwise then outstanding under a Facility or other financing arrangement being refinanced to the extent the unutilized commitment being refinanced could be drawn in compliance with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hereof immediately prior to such refinancing, plus (z) accrued and unpaid interest, dividends, premiums (including tender premiums), defeasance costs, underwriting discounts, fees, costs and expenses (including original issue discount, upfront fees or similar fees) in connection with such refinancing</w:t>
      </w:r>
    </w:p>
    <w:p>
      <w:pPr>
        <w:spacing w:after="0" w:line="176" w:lineRule="exact"/>
        <w:rPr>
          <w:sz w:val="20"/>
          <w:szCs w:val="20"/>
          <w:color w:val="auto"/>
        </w:rPr>
      </w:pPr>
    </w:p>
    <w:p>
      <w:pPr>
        <w:jc w:val="both"/>
        <w:ind w:left="660" w:firstLine="644"/>
        <w:spacing w:after="0" w:line="235" w:lineRule="auto"/>
        <w:tabs>
          <w:tab w:leader="none" w:pos="158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being refunded, refinanced, replace, exchanged, renewed, repaid or extended is secured by a Lien on the Collateral such Refinancing Indebtedness may be unsecured or secured by a Lien on the same collateral as such Indebtedness (pursuant to substantially similar collateral documentation), (a) in the case of any such Indebtedness being so refinanced that is secured by a Lien on the Collateral that ranks pari passu with the Lien securing the Obligations, that is pari passu with or junior to the Lien securing the Obligations and (b) in the case of any such Indebtedness being so refinanced that is secured by a Lien ranking junior to the lien securing the Collateral, that is junior to the Lien securing the Obligations, in each case provided that the holders of the obligations secured by such Liens, or their duly appointed agent, shall become party to a Customary Intercreditor Agreement.</w:t>
      </w:r>
    </w:p>
    <w:p>
      <w:pPr>
        <w:spacing w:after="0" w:line="188"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Revolving Credit Commitments</w:t>
      </w:r>
      <w:r>
        <w:rPr>
          <w:rFonts w:ascii="Times New Roman" w:cs="Times New Roman" w:eastAsia="Times New Roman" w:hAnsi="Times New Roman"/>
          <w:sz w:val="22"/>
          <w:szCs w:val="22"/>
          <w:color w:val="auto"/>
        </w:rPr>
        <w:t>” means shall mean one or more tranches of Revolving Credit Commitments hereunder that result from a Refinancing Amendment.</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Revolving Credit Loans</w:t>
      </w:r>
      <w:r>
        <w:rPr>
          <w:rFonts w:ascii="Times New Roman" w:cs="Times New Roman" w:eastAsia="Times New Roman" w:hAnsi="Times New Roman"/>
          <w:sz w:val="22"/>
          <w:szCs w:val="22"/>
          <w:color w:val="auto"/>
        </w:rPr>
        <w:t>” means one or more tranches of Revolving Credit Loans that result from a Refinancing Amendment.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Term Loans</w:t>
      </w:r>
      <w:r>
        <w:rPr>
          <w:rFonts w:ascii="Times New Roman" w:cs="Times New Roman" w:eastAsia="Times New Roman" w:hAnsi="Times New Roman"/>
          <w:sz w:val="22"/>
          <w:szCs w:val="22"/>
          <w:color w:val="auto"/>
        </w:rPr>
        <w:t>” means one or more tranches of Term Loans that result from a Refinancing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Refunding Capital Stock</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7.06(b)(ii)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Regulated Bank</w:t>
      </w:r>
      <w:r>
        <w:rPr>
          <w:rFonts w:ascii="Times New Roman" w:cs="Times New Roman" w:eastAsia="Times New Roman" w:hAnsi="Times New Roman"/>
          <w:sz w:val="22"/>
          <w:szCs w:val="22"/>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084" w:right="339" w:bottom="1440" w:gutter="0" w:footer="0" w:header="0"/>
        </w:sectPr>
      </w:pPr>
    </w:p>
    <w:bookmarkStart w:id="171" w:name="page172"/>
    <w:bookmarkEnd w:id="171"/>
    <w:p>
      <w:pPr>
        <w:jc w:val="both"/>
        <w:spacing w:after="0" w:line="258" w:lineRule="auto"/>
        <w:rPr>
          <w:sz w:val="20"/>
          <w:szCs w:val="20"/>
          <w:color w:val="auto"/>
        </w:rPr>
      </w:pPr>
      <w:r>
        <w:rPr>
          <w:rFonts w:ascii="Times New Roman" w:cs="Times New Roman" w:eastAsia="Times New Roman" w:hAnsi="Times New Roman"/>
          <w:sz w:val="22"/>
          <w:szCs w:val="22"/>
          <w:color w:val="auto"/>
        </w:rPr>
        <w:t>controlled by a U.S. branch referred to in clause (iii); or (v) any other U.S. or non-U.S. depository institution or any branch, agency or similar office thereof supervised by a bank regulatory authority in any jurisdiction.</w:t>
      </w:r>
    </w:p>
    <w:p>
      <w:pPr>
        <w:spacing w:after="0" w:line="110" w:lineRule="exact"/>
        <w:rPr>
          <w:sz w:val="20"/>
          <w:szCs w:val="20"/>
          <w:color w:val="auto"/>
        </w:rPr>
      </w:pPr>
    </w:p>
    <w:p>
      <w:pPr>
        <w:ind w:left="130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means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X under the Securities Act.</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Rejection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discharge, disposal, leaking, pumping, pouring, dumping, emptying, injection, or leaching into the Environment.</w:t>
      </w:r>
    </w:p>
    <w:p>
      <w:pPr>
        <w:spacing w:after="0" w:line="14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and/or the NYFRB, or a committee officially endorsed or convened by the Federal Reserve Board and/or the NYFRB or, in each case, any successor thereto.</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with respect to any Pension Plan, any of the events set forth in Section 4043(c) of ERISA or the regulations issued thereunder, other than events for which the thirty (30) day notice period has been waived.</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Repricing Transaction</w:t>
      </w:r>
      <w:r>
        <w:rPr>
          <w:rFonts w:ascii="Times New Roman" w:cs="Times New Roman" w:eastAsia="Times New Roman" w:hAnsi="Times New Roman"/>
          <w:sz w:val="21"/>
          <w:szCs w:val="21"/>
          <w:color w:val="auto"/>
        </w:rPr>
        <w:t xml:space="preserve">” means any repayment, prepayment, refinancing, conversion or replacement of all or a portion of the Initial Term Loans (i) with the proceeds of a broadly syndicated first lien secured term loans denominated in the same currency the primary purpose of which is to reduce the Effective Yield applicable to the Initial Term Loans (and such Effective Yield is reduced) or (ii) in connection with a mandatory prepayment with the proceeds of Indebtedness having an Effective Yield that is less than the Effective Yield of the Initial Term Loans being repaid, refinanced, substituted or replaced, including, in each case, as may be effected by an amendment of any provisions of this Agreement relating to the Applicable Rate or the Base Rate or Adjusted Term SOFR “floors” for, or Effective Yield of, the Initial Term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w:t>
      </w:r>
      <w:r>
        <w:rPr>
          <w:rFonts w:ascii="Times New Roman" w:cs="Times New Roman" w:eastAsia="Times New Roman" w:hAnsi="Times New Roman"/>
          <w:sz w:val="21"/>
          <w:szCs w:val="21"/>
          <w:u w:val="single" w:color="auto"/>
          <w:color w:val="auto"/>
        </w:rPr>
        <w:t>Repricing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shall not include any repayment, prepayment, refinancing, replacement or amendment in connection with (w) a Change of Control, (x) a Transformative Disposition, (y) an initial public offering or (z) a Transformative Acquisition.</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means (a) with respect to a Borrowing, conversion or continuation of Term Loans or Revolving Credit Loans, a Committed Loan Notice and (b) with respect to an L/C Credit Extension, a Letter of Credit Application.</w:t>
      </w:r>
    </w:p>
    <w:p>
      <w:pPr>
        <w:spacing w:after="0" w:line="173"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Debt Terms</w:t>
      </w:r>
      <w:r>
        <w:rPr>
          <w:rFonts w:ascii="Times New Roman" w:cs="Times New Roman" w:eastAsia="Times New Roman" w:hAnsi="Times New Roman"/>
          <w:sz w:val="22"/>
          <w:szCs w:val="22"/>
          <w:color w:val="auto"/>
        </w:rPr>
        <w:t>” means, (a) in respect of any Refinancing Term Loans: (i) to the extent secured by the Collateral, a Customary Intercreditor Agreement is entered into, (ii) any Refinancing Term Loans do not mature prior to the maturity date of or have a shorter Weighted Average Life to Maturity prior to the Terms Loans being refinanced, (iii) such Refinancing Term Loans have the same guarantors as the Term Loans being refinanced unless such guarantors substantially concurrently guarantee the Secured Obligations, (iv) such Refinancing Term Loans are secured by the same assets as the Term Loans being refinanced unless such assets substantially concurrently secure the Secured Obligations and (vi) the terms and conditions of such Refinancing Term Loans (excluding pricing and optional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w:t>
      </w:r>
    </w:p>
    <w:p>
      <w:pPr>
        <w:spacing w:after="0" w:line="6" w:lineRule="exact"/>
        <w:rPr>
          <w:sz w:val="20"/>
          <w:szCs w:val="20"/>
          <w:color w:val="auto"/>
        </w:rPr>
      </w:pPr>
    </w:p>
    <w:p>
      <w:pPr>
        <w:jc w:val="both"/>
        <w:ind w:firstLine="8"/>
        <w:spacing w:after="0" w:line="234" w:lineRule="auto"/>
        <w:tabs>
          <w:tab w:leader="none" w:pos="35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Refinancing Revolving Credit Commitments, (i) to the extent applicable, a Customary Intercreditor Agreement is entered into, (ii) any Refinancing Revolving Credit Commitment does not mature prior to the maturity date of or have scheduled amortization or commitment reductions prior to the maturity date of the Revolving Credit Commitments being refinanced, (iii) such Refinancing Revolving Credit Commitments have the same guarantors unless such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084" w:right="339" w:bottom="1440" w:gutter="0" w:footer="0" w:header="0"/>
        </w:sectPr>
      </w:pPr>
    </w:p>
    <w:bookmarkStart w:id="172" w:name="page173"/>
    <w:bookmarkEnd w:id="172"/>
    <w:p>
      <w:pPr>
        <w:jc w:val="both"/>
        <w:spacing w:after="0" w:line="233" w:lineRule="auto"/>
        <w:rPr>
          <w:sz w:val="20"/>
          <w:szCs w:val="20"/>
          <w:color w:val="auto"/>
        </w:rPr>
      </w:pPr>
      <w:r>
        <w:rPr>
          <w:rFonts w:ascii="Times New Roman" w:cs="Times New Roman" w:eastAsia="Times New Roman" w:hAnsi="Times New Roman"/>
          <w:sz w:val="22"/>
          <w:szCs w:val="22"/>
          <w:color w:val="auto"/>
        </w:rPr>
        <w:t>guarantors substantially concurrently guarantee the Secured Obligations, (iv) such Refinancing Revolving Credit Commitments are secured by the same assets as the Revolving Credit Commitments being refinanced unless such assets substantially concurrently secure the Secured Obligations, (v) the terms and conditions of such Refinancing Revolving Credit Commitments (excluding pricing and optional prepayment or redemption terms or covenants or other provisions applicable only to periods after the Maturity Date of the Loans or Commitments being refinanced) shall reflect market terms and conditions at the time of incurrence or issuance (as reasonably determined by the Borrower in good faith) and (vi) if such Refinancing Revolving Credit Commitments contain any financial maintenance covenants, such covenants shall be added for the benefit of the Revolving Credit Lenders.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as of any date of determination, Lenders holding more than 50.0% of the sum of the</w:t>
      </w:r>
    </w:p>
    <w:p>
      <w:pPr>
        <w:spacing w:after="0" w:line="14" w:lineRule="exact"/>
        <w:rPr>
          <w:sz w:val="20"/>
          <w:szCs w:val="20"/>
          <w:color w:val="auto"/>
        </w:rPr>
      </w:pPr>
    </w:p>
    <w:p>
      <w:pPr>
        <w:jc w:val="both"/>
        <w:ind w:firstLine="8"/>
        <w:spacing w:after="0" w:line="233" w:lineRule="auto"/>
        <w:tabs>
          <w:tab w:leader="none" w:pos="3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Total Outstandings (with the aggregate Outstanding Amount of each Lender’s Revolving Credit Exposure being deemed “held” by such Lender for purposes of this definition), (b) aggregate unused Term Commitments and (c) aggregate unused Revolving Credit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unused Term Commitment and unused Revolving Credit Commitment of, and the portion of the Total Outstandings held or deemed held by any Defaulting Lender shall be excluded for all purposes of making a determination of Required Lenders.</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Revolving Credit Lenders</w:t>
      </w:r>
      <w:r>
        <w:rPr>
          <w:rFonts w:ascii="Times New Roman" w:cs="Times New Roman" w:eastAsia="Times New Roman" w:hAnsi="Times New Roman"/>
          <w:sz w:val="21"/>
          <w:szCs w:val="21"/>
          <w:color w:val="auto"/>
        </w:rPr>
        <w:t xml:space="preserve">” means, as of any date of determination, Lenders having more than 50.0% in the aggregate of the Revolving Credit Commitments plus after the termination of the Revolving Credit Commitments, the Revolving Credit Exposure of all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Revolving Credit Commitment and the Revolving Credit Exposure of any Defaulting Lender shall be excluded for all purposes of making a determination of Required Revolving Credit Lenders.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 Indebtedness Amount</w:t>
      </w:r>
      <w:r>
        <w:rPr>
          <w:rFonts w:ascii="Times New Roman" w:cs="Times New Roman" w:eastAsia="Times New Roman" w:hAnsi="Times New Roman"/>
          <w:sz w:val="22"/>
          <w:szCs w:val="22"/>
          <w:color w:val="auto"/>
        </w:rPr>
        <w:t>” has the meaning specified in Section 7.03(c)(ix).</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vice president, chief financial officer, treasurer, assistant treasurer or other similar officer or director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Casualty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Disposition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Investment</w:t>
      </w:r>
      <w:r>
        <w:rPr>
          <w:rFonts w:ascii="Times New Roman" w:cs="Times New Roman" w:eastAsia="Times New Roman" w:hAnsi="Times New Roman"/>
          <w:sz w:val="22"/>
          <w:szCs w:val="22"/>
          <w:color w:val="auto"/>
        </w:rPr>
        <w:t>” means any Investment other than a Permitted Investment.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of Holdings other than an Unrestricted Subsidiary.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Declined Proceeds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084" w:right="339" w:bottom="1440" w:gutter="0" w:footer="0" w:header="0"/>
        </w:sectPr>
      </w:pPr>
    </w:p>
    <w:bookmarkStart w:id="173" w:name="page174"/>
    <w:bookmarkEnd w:id="173"/>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Borrowing</w:t>
      </w:r>
      <w:r>
        <w:rPr>
          <w:rFonts w:ascii="Times New Roman" w:cs="Times New Roman" w:eastAsia="Times New Roman" w:hAnsi="Times New Roman"/>
          <w:sz w:val="22"/>
          <w:szCs w:val="22"/>
          <w:color w:val="auto"/>
        </w:rPr>
        <w:t>” means a borrowing consisting of Revolving Credit Loans of the same Class, Type and currency, made, converted or continued on the same date and, in the case of SOFR Loans, as to which a single Interest Period is in effect.</w:t>
      </w:r>
    </w:p>
    <w:p>
      <w:pPr>
        <w:spacing w:after="0" w:line="17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Commitment</w:t>
      </w:r>
      <w:r>
        <w:rPr>
          <w:rFonts w:ascii="Times New Roman" w:cs="Times New Roman" w:eastAsia="Times New Roman" w:hAnsi="Times New Roman"/>
          <w:sz w:val="22"/>
          <w:szCs w:val="22"/>
          <w:color w:val="auto"/>
        </w:rPr>
        <w:t xml:space="preserve">” means with respect to each Lender, the commitment, if any, of such Lender to make Revolving Credit Loans and to acquire participations in Letters of Credit, expressed as an amount representing the maximum possible aggregate amount of such Lender’s Revolving Credit Exposure hereunder, as such commitment may be (a) reduced from time to time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(b) increased from time to time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The initial amount of each Lender’s Revolving Credit Commitment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Amendment No. 4 Effective</w:t>
      </w:r>
      <w:r>
        <w:rPr>
          <w:rFonts w:ascii="Times New Roman" w:cs="Times New Roman" w:eastAsia="Times New Roman" w:hAnsi="Times New Roman"/>
          <w:sz w:val="22"/>
          <w:szCs w:val="22"/>
          <w:color w:val="auto"/>
        </w:rPr>
        <w:t xml:space="preserve"> Date is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of this Agreement</w:t>
      </w:r>
      <w:r>
        <w:rPr>
          <w:rFonts w:ascii="Times New Roman" w:cs="Times New Roman" w:eastAsia="Times New Roman" w:hAnsi="Times New Roman"/>
          <w:sz w:val="22"/>
          <w:szCs w:val="22"/>
          <w:u w:val="single" w:color="auto"/>
          <w:color w:val="0000FF"/>
        </w:rPr>
        <w:t>(as amended and restated by Amendment No. 4)</w:t>
      </w:r>
      <w:r>
        <w:rPr>
          <w:rFonts w:ascii="Times New Roman" w:cs="Times New Roman" w:eastAsia="Times New Roman" w:hAnsi="Times New Roman"/>
          <w:sz w:val="22"/>
          <w:szCs w:val="22"/>
          <w:color w:val="auto"/>
        </w:rPr>
        <w:t xml:space="preserve">, or in the Assignment and Assumption pursuant to which such Lender shall have assumed its Revolving Credit Commitment, as the case may be. The initial aggregate amount of the Lenders’ Revolving Credit Commitments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Amendment No. 4 Effective</w:t>
      </w:r>
      <w:r>
        <w:rPr>
          <w:rFonts w:ascii="Times New Roman" w:cs="Times New Roman" w:eastAsia="Times New Roman" w:hAnsi="Times New Roman"/>
          <w:sz w:val="22"/>
          <w:szCs w:val="22"/>
          <w:color w:val="auto"/>
        </w:rPr>
        <w:t xml:space="preserve"> Date is $</w:t>
      </w:r>
      <w:r>
        <w:rPr>
          <w:rFonts w:ascii="Times New Roman" w:cs="Times New Roman" w:eastAsia="Times New Roman" w:hAnsi="Times New Roman"/>
          <w:sz w:val="22"/>
          <w:szCs w:val="22"/>
          <w:color w:val="FF0000"/>
          <w:strike w:val="1"/>
        </w:rPr>
        <w:t>150</w:t>
      </w:r>
      <w:r>
        <w:rPr>
          <w:rFonts w:ascii="Times New Roman" w:cs="Times New Roman" w:eastAsia="Times New Roman" w:hAnsi="Times New Roman"/>
          <w:sz w:val="22"/>
          <w:szCs w:val="22"/>
          <w:u w:val="single" w:color="auto"/>
          <w:color w:val="0000FF"/>
        </w:rPr>
        <w:t>166</w:t>
      </w:r>
      <w:r>
        <w:rPr>
          <w:rFonts w:ascii="Times New Roman" w:cs="Times New Roman" w:eastAsia="Times New Roman" w:hAnsi="Times New Roman"/>
          <w:sz w:val="22"/>
          <w:szCs w:val="22"/>
          <w:color w:val="auto"/>
        </w:rPr>
        <w:t xml:space="preserve"> million.</w:t>
      </w:r>
    </w:p>
    <w:p>
      <w:pPr>
        <w:spacing w:after="0" w:line="182"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at any time for any Lender, the sum of (a) the Outstanding Amount of the Revolving Credit Loans of such Lender outstanding at such time and (b) the L/C Exposure of such Lender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w:t>
      </w:r>
      <w:r>
        <w:rPr>
          <w:rFonts w:ascii="Times New Roman" w:cs="Times New Roman" w:eastAsia="Times New Roman" w:hAnsi="Times New Roman"/>
          <w:sz w:val="22"/>
          <w:szCs w:val="22"/>
          <w:color w:val="auto"/>
        </w:rPr>
        <w:t>” means the Revolving Credit Commitments and the extension of credit made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Lender</w:t>
      </w:r>
      <w:r>
        <w:rPr>
          <w:rFonts w:ascii="Times New Roman" w:cs="Times New Roman" w:eastAsia="Times New Roman" w:hAnsi="Times New Roman"/>
          <w:sz w:val="22"/>
          <w:szCs w:val="22"/>
          <w:color w:val="auto"/>
        </w:rPr>
        <w:t>” means a Lender with a Revolving Credit Commitment or, if the Revolving Credit Commitments have terminated or expired, a Lender with Revolving Credit Exposure.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xml:space="preserve">” means a promissory note of the Borrower payable to any Revolving Credit Lender or its registered assigns, in substantially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hereto with appropriate insertions, evidencing the aggregate Indebtedness of the Borrower to such Revolving Credit Lender resulting from the Revolving Credit Loans made by such Revolving Credit Lender under the Revolving Credit Facility.</w:t>
      </w:r>
    </w:p>
    <w:p>
      <w:pPr>
        <w:spacing w:after="0" w:line="18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Investors Ratings Services or any of its successors or assigns that is a Nationally Recognized Statistical Rating Organization.</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means any arrangement providing for the leasing by Holdings or any of its Restricted Subsidiaries of any real or tangible personal property, which property has been or is to be sold or transferred by Holdings or such Restricted Subsidiary to a third Person in contemplation of such leasing.</w:t>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itself the subject or target of any comprehensive economic Sanctions (at the time of this Agreement, Crimea, Cuba, Iran, North Korea and Syria).</w:t>
      </w:r>
    </w:p>
    <w:p>
      <w:pPr>
        <w:spacing w:after="0" w:line="158" w:lineRule="exact"/>
        <w:rPr>
          <w:sz w:val="20"/>
          <w:szCs w:val="20"/>
          <w:color w:val="auto"/>
        </w:rPr>
      </w:pPr>
    </w:p>
    <w:p>
      <w:pPr>
        <w:ind w:right="200"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or the U.S. Department of State, the United Nations Security Council, the European Union, or Her Majesty’s Treasury of the United Kingdom, (b) any Person operating, organized or resident in a Sanctioned Country or (c) any Person owned 50% or more by any such Person or Persons, directly or indirectly.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084" w:right="339" w:bottom="1440" w:gutter="0" w:footer="0" w:header="0"/>
        </w:sectPr>
      </w:pPr>
    </w:p>
    <w:bookmarkStart w:id="174" w:name="page175"/>
    <w:bookmarkEnd w:id="174"/>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or Her Majesty’s Treasury of the United Kingdom.</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4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Cash Management Obligations</w:t>
      </w:r>
      <w:r>
        <w:rPr>
          <w:rFonts w:ascii="Times New Roman" w:cs="Times New Roman" w:eastAsia="Times New Roman" w:hAnsi="Times New Roman"/>
          <w:sz w:val="22"/>
          <w:szCs w:val="22"/>
          <w:color w:val="auto"/>
        </w:rPr>
        <w:t>” means Cash Management Obligations owed by Holdings or any Restricted Subsidiary to any Cash Management Bank.</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Agreement</w:t>
      </w:r>
      <w:r>
        <w:rPr>
          <w:rFonts w:ascii="Times New Roman" w:cs="Times New Roman" w:eastAsia="Times New Roman" w:hAnsi="Times New Roman"/>
          <w:sz w:val="22"/>
          <w:szCs w:val="22"/>
          <w:color w:val="auto"/>
        </w:rPr>
        <w:t>” means any Swap Contract that is entered into by and between any Loan Party (or any Person that merges into a Loan Party) or any Restricted Subsidiary and any Hedge Bank.</w:t>
      </w:r>
    </w:p>
    <w:p>
      <w:pPr>
        <w:spacing w:after="0" w:line="15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means all (x)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fees, expenses and other amounts that accrue after the commencement by or against any Loan Party or any other Subsidiary of any proceeding under any Debtor Relief Laws naming such Person as the debtor in such proceeding, regardless of whether such interest, fees, expenses and other amounts are allowed claims in such proceeding, (y) obligations of any Loan Party or any other Restricted Subsidiary arising under any Secured Hedge Agreement (other than, with respect to any Guarantor, Excluded Swap Obligations of such Guarantor), and (z) Secured Cash Management Obligations. Without limiting the generality of the foregoing, the Secured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the Administrative Agent, the Collateral Agent, or any Lender, in its sole discretion, may elect to pay or advance on behalf of such Loan Party or such Subsidiary.</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collectively, the Administrative Agent, the Collateral Agent, the Lead Arranger, the Lenders, the L/C Issuers, the Hedge Banks, the Cash Management Banks, the Supplemental Administrative Agent and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9.01(c)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Asset</w:t>
      </w:r>
      <w:r>
        <w:rPr>
          <w:rFonts w:ascii="Times New Roman" w:cs="Times New Roman" w:eastAsia="Times New Roman" w:hAnsi="Times New Roman"/>
          <w:sz w:val="22"/>
          <w:szCs w:val="22"/>
          <w:color w:val="auto"/>
        </w:rPr>
        <w: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084" w:right="339" w:bottom="1440" w:gutter="0" w:footer="0" w:header="0"/>
        </w:sectPr>
      </w:pPr>
    </w:p>
    <w:bookmarkStart w:id="175" w:name="page176"/>
    <w:bookmarkEnd w:id="175"/>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Facility</w:t>
      </w:r>
      <w:r>
        <w:rPr>
          <w:rFonts w:ascii="Times New Roman" w:cs="Times New Roman" w:eastAsia="Times New Roman" w:hAnsi="Times New Roman"/>
          <w:sz w:val="22"/>
          <w:szCs w:val="22"/>
          <w:color w:val="auto"/>
        </w:rPr>
        <w:t>” means any of one or more securitization, financing, factoring or sales transactions, as amended, supplemented, modified, extended, renewed, restated or refunded from time to time, pursuant to which Holdings or any of the Restricted Subsidiaries sells, transfers, pledges or otherwise conveys any Securitization Assets (whether now existing or arising in the future) to a Securitization Subsidiary or any other Person.</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Fees</w:t>
      </w:r>
      <w:r>
        <w:rPr>
          <w:rFonts w:ascii="Times New Roman" w:cs="Times New Roman" w:eastAsia="Times New Roman" w:hAnsi="Times New Roman"/>
          <w:sz w:val="22"/>
          <w:szCs w:val="22"/>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Repurchase Obligation</w:t>
      </w:r>
      <w:r>
        <w:rPr>
          <w:rFonts w:ascii="Times New Roman" w:cs="Times New Roman" w:eastAsia="Times New Roman" w:hAnsi="Times New Roman"/>
          <w:sz w:val="22"/>
          <w:szCs w:val="22"/>
          <w:color w:val="auto"/>
        </w:rPr>
        <w:t>” means any obligation of a seller of Securitization Assets or Receivables Assets in a Qualified Securitization Financing or a Receivables Facility to repurchase or otherwise make payments with respect to Securitization Assets or Receivables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Subsidiary</w:t>
      </w:r>
      <w:r>
        <w:rPr>
          <w:rFonts w:ascii="Times New Roman" w:cs="Times New Roman" w:eastAsia="Times New Roman" w:hAnsi="Times New Roman"/>
          <w:sz w:val="22"/>
          <w:szCs w:val="22"/>
          <w:color w:val="auto"/>
        </w:rPr>
        <w:t>” means any Subsidiary of Holdings in each case formed for the purpose of and that solely engages in one or more Qualified Securitization Financings or Receivables Facilities and other activities reasonably related thereto or another Person formed for this purpose.</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means, collectively, the Security Agreement executed by the Loan Parties party thereto on the Closing Date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as supplemented by any Security Agreement Supplement executed and delivered pursuant to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 Supplement</w:t>
      </w:r>
      <w:r>
        <w:rPr>
          <w:rFonts w:ascii="Times New Roman" w:cs="Times New Roman" w:eastAsia="Times New Roman" w:hAnsi="Times New Roman"/>
          <w:sz w:val="22"/>
          <w:szCs w:val="22"/>
          <w:color w:val="auto"/>
        </w:rPr>
        <w:t>” means a supplement to the Security Agreement as contemplated by such Security Agreement.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Asset</w:t>
      </w:r>
      <w:r>
        <w:rPr>
          <w:rFonts w:ascii="Times New Roman" w:cs="Times New Roman" w:eastAsia="Times New Roman" w:hAnsi="Times New Roman"/>
          <w:sz w:val="22"/>
          <w:szCs w:val="22"/>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Indebtedness</w:t>
      </w:r>
      <w:r>
        <w:rPr>
          <w:rFonts w:ascii="Times New Roman" w:cs="Times New Roman" w:eastAsia="Times New Roman" w:hAnsi="Times New Roman"/>
          <w:sz w:val="22"/>
          <w:szCs w:val="22"/>
          <w:color w:val="auto"/>
        </w:rPr>
        <w:t>” means any payment or reimbursement obligation in respect of a Settlement Payment.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Lien</w:t>
      </w:r>
      <w:r>
        <w:rPr>
          <w:rFonts w:ascii="Times New Roman" w:cs="Times New Roman" w:eastAsia="Times New Roman" w:hAnsi="Times New Roman"/>
          <w:sz w:val="22"/>
          <w:szCs w:val="22"/>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Payment</w:t>
      </w:r>
      <w:r>
        <w:rPr>
          <w:rFonts w:ascii="Times New Roman" w:cs="Times New Roman" w:eastAsia="Times New Roman" w:hAnsi="Times New Roman"/>
          <w:sz w:val="22"/>
          <w:szCs w:val="22"/>
          <w:color w:val="auto"/>
        </w:rPr>
        <w:t>” means the transfer, or contractual undertaking (including by automated clearing house transaction) to effect a transfer, of cash or other property to effect a Settlement.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084" w:right="339" w:bottom="1440" w:gutter="0" w:footer="0" w:header="0"/>
        </w:sectPr>
      </w:pPr>
    </w:p>
    <w:bookmarkStart w:id="176" w:name="page177"/>
    <w:bookmarkEnd w:id="176"/>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Receivable</w:t>
      </w:r>
      <w:r>
        <w:rPr>
          <w:rFonts w:ascii="Times New Roman" w:cs="Times New Roman" w:eastAsia="Times New Roman" w:hAnsi="Times New Roman"/>
          <w:sz w:val="22"/>
          <w:szCs w:val="22"/>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Similar Business</w:t>
      </w:r>
      <w:r>
        <w:rPr>
          <w:rFonts w:ascii="Times New Roman" w:cs="Times New Roman" w:eastAsia="Times New Roman" w:hAnsi="Times New Roman"/>
          <w:sz w:val="22"/>
          <w:szCs w:val="22"/>
          <w:color w:val="auto"/>
        </w:rPr>
        <w:t>” means (a) any businesses, services or activities engaged in by Holdings or any of its Subsidiaries on the Closing Date, (b) any businesses, services and activities engaged in by Holdings or any of its Subsidiaries that are related, complementary, incidental, ancillary or similar to any of the foregoing or are extensions or developments of any thereof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SOFR Borrowing</w:t>
      </w:r>
      <w:r>
        <w:rPr>
          <w:rFonts w:ascii="Times New Roman" w:cs="Times New Roman" w:eastAsia="Times New Roman" w:hAnsi="Times New Roman"/>
          <w:sz w:val="20"/>
          <w:szCs w:val="20"/>
          <w:color w:val="auto"/>
        </w:rPr>
        <w:t>” means, as to any Borrowing, the SOFR Loans comprising such Borrowing.</w:t>
      </w:r>
    </w:p>
    <w:p>
      <w:pPr>
        <w:spacing w:after="0" w:line="218" w:lineRule="exact"/>
        <w:rPr>
          <w:sz w:val="20"/>
          <w:szCs w:val="20"/>
          <w:color w:val="auto"/>
        </w:rPr>
      </w:pPr>
    </w:p>
    <w:p>
      <w:pPr>
        <w:ind w:right="80" w:firstLine="1296"/>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SOFR Loan</w:t>
      </w:r>
      <w:r>
        <w:rPr>
          <w:rFonts w:ascii="Times New Roman" w:cs="Times New Roman" w:eastAsia="Times New Roman" w:hAnsi="Times New Roman"/>
          <w:sz w:val="20"/>
          <w:szCs w:val="20"/>
          <w:color w:val="auto"/>
        </w:rPr>
        <w:t>” means a Loan that bears interest at a rate based on Adjusted Term SOFR, other than pursuant to clause (c) of the definition of “Base Rate”.</w:t>
      </w:r>
    </w:p>
    <w:p>
      <w:pPr>
        <w:spacing w:after="0" w:line="135"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mean, with respect to any Person on any date of determination, that on such date (i) the fair value of the property of such Person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Default</w:t>
      </w:r>
      <w:r>
        <w:rPr>
          <w:rFonts w:ascii="Times New Roman" w:cs="Times New Roman" w:eastAsia="Times New Roman" w:hAnsi="Times New Roman"/>
          <w:sz w:val="22"/>
          <w:szCs w:val="22"/>
          <w:color w:val="auto"/>
        </w:rPr>
        <w:t xml:space="preserve">” means the occurrence of an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Representations</w:t>
      </w:r>
      <w:r>
        <w:rPr>
          <w:rFonts w:ascii="Times New Roman" w:cs="Times New Roman" w:eastAsia="Times New Roman" w:hAnsi="Times New Roman"/>
          <w:sz w:val="22"/>
          <w:szCs w:val="22"/>
          <w:color w:val="auto"/>
        </w:rPr>
        <w:t xml:space="preserve">” means the representations and warranties of the Borrower set forth in </w:t>
      </w:r>
      <w:r>
        <w:rPr>
          <w:rFonts w:ascii="Times New Roman" w:cs="Times New Roman" w:eastAsia="Times New Roman" w:hAnsi="Times New Roman"/>
          <w:sz w:val="22"/>
          <w:szCs w:val="22"/>
          <w:u w:val="single" w:color="auto"/>
          <w:color w:val="auto"/>
        </w:rPr>
        <w:t>Sections 5.01(a)</w:t>
      </w:r>
      <w:r>
        <w:rPr>
          <w:rFonts w:ascii="Times New Roman" w:cs="Times New Roman" w:eastAsia="Times New Roman" w:hAnsi="Times New Roman"/>
          <w:sz w:val="22"/>
          <w:szCs w:val="22"/>
          <w:color w:val="auto"/>
        </w:rPr>
        <w:t xml:space="preserve"> (solely as it relates to Holdings and the Borrower), </w:t>
      </w:r>
      <w:r>
        <w:rPr>
          <w:rFonts w:ascii="Times New Roman" w:cs="Times New Roman" w:eastAsia="Times New Roman" w:hAnsi="Times New Roman"/>
          <w:sz w:val="22"/>
          <w:szCs w:val="22"/>
          <w:u w:val="single" w:color="auto"/>
          <w:color w:val="auto"/>
        </w:rPr>
        <w:t>5.01(b)(ii)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5.02(a)</w:t>
      </w:r>
      <w:r>
        <w:rPr>
          <w:rFonts w:ascii="Times New Roman" w:cs="Times New Roman" w:eastAsia="Times New Roman" w:hAnsi="Times New Roman"/>
          <w:sz w:val="22"/>
          <w:szCs w:val="22"/>
          <w:color w:val="auto"/>
        </w:rPr>
        <w:t xml:space="preserve"> (related to the entering into and performance of the Loan Documents and the incurrence of the extensions of credit thereunder), </w:t>
      </w:r>
      <w:r>
        <w:rPr>
          <w:rFonts w:ascii="Times New Roman" w:cs="Times New Roman" w:eastAsia="Times New Roman" w:hAnsi="Times New Roman"/>
          <w:sz w:val="22"/>
          <w:szCs w:val="22"/>
          <w:u w:val="single" w:color="auto"/>
          <w:color w:val="auto"/>
        </w:rPr>
        <w:t>5.02(b)(i)</w:t>
      </w:r>
      <w:r>
        <w:rPr>
          <w:rFonts w:ascii="Times New Roman" w:cs="Times New Roman" w:eastAsia="Times New Roman" w:hAnsi="Times New Roman"/>
          <w:sz w:val="22"/>
          <w:szCs w:val="22"/>
          <w:color w:val="auto"/>
        </w:rPr>
        <w:t xml:space="preserve"> (related to the entering into and performance of the Loan Documents and the incurrence of the extensions of credit thereunder), </w:t>
      </w:r>
      <w:r>
        <w:rPr>
          <w:rFonts w:ascii="Times New Roman" w:cs="Times New Roman" w:eastAsia="Times New Roman" w:hAnsi="Times New Roman"/>
          <w:sz w:val="22"/>
          <w:szCs w:val="22"/>
          <w:u w:val="single" w:color="auto"/>
          <w:color w:val="auto"/>
        </w:rPr>
        <w:t>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5.16</w:t>
      </w:r>
      <w:r>
        <w:rPr>
          <w:rFonts w:ascii="Times New Roman" w:cs="Times New Roman" w:eastAsia="Times New Roman" w:hAnsi="Times New Roman"/>
          <w:sz w:val="22"/>
          <w:szCs w:val="22"/>
          <w:color w:val="auto"/>
        </w:rPr>
        <w:t xml:space="preserve"> (subject to the proviso to Section </w:t>
      </w:r>
      <w:r>
        <w:rPr>
          <w:rFonts w:ascii="Times New Roman" w:cs="Times New Roman" w:eastAsia="Times New Roman" w:hAnsi="Times New Roman"/>
          <w:sz w:val="22"/>
          <w:szCs w:val="22"/>
          <w:u w:val="single" w:color="auto"/>
          <w:color w:val="auto"/>
        </w:rPr>
        <w:t>4.03(b)(iii)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5.18</w:t>
      </w:r>
      <w:r>
        <w:rPr>
          <w:rFonts w:ascii="Times New Roman" w:cs="Times New Roman" w:eastAsia="Times New Roman" w:hAnsi="Times New Roman"/>
          <w:sz w:val="22"/>
          <w:szCs w:val="22"/>
          <w:color w:val="auto"/>
        </w:rPr>
        <w:t xml:space="preserve"> (limited to the use of proceeds of the Loans on the applicable date).</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w:t>
      </w:r>
      <w:r>
        <w:rPr>
          <w:rFonts w:ascii="Times New Roman" w:cs="Times New Roman" w:eastAsia="Times New Roman" w:hAnsi="Times New Roman"/>
          <w:sz w:val="22"/>
          <w:szCs w:val="22"/>
          <w:color w:val="auto"/>
        </w:rPr>
        <w:t>” means, individually or collectively, any fund, partnership, co-investment vehicles and/or similar vehicles or accounts, in each case managed or advised by Oaktree Capital Management, L.P. or its Affiliates or any of their respective successors, but not including any portfolio operating companies of any of the foregoing.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084" w:right="339" w:bottom="1440" w:gutter="0" w:footer="0" w:header="0"/>
        </w:sectPr>
      </w:pPr>
    </w:p>
    <w:bookmarkStart w:id="177" w:name="page178"/>
    <w:bookmarkEnd w:id="177"/>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Standard Securitization Undertakings</w:t>
      </w:r>
      <w:r>
        <w:rPr>
          <w:rFonts w:ascii="Times New Roman" w:cs="Times New Roman" w:eastAsia="Times New Roman" w:hAnsi="Times New Roman"/>
          <w:sz w:val="21"/>
          <w:szCs w:val="21"/>
          <w:color w:val="auto"/>
        </w:rPr>
        <w:t>” means representations, warranties, covenants, guarantees and indemnities entered into by Holdings or any Subsidiary of Holdings which the Borrower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6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means, with respect to any person, any Indebtedness (whether outstanding on the Closing Date or thereafter Incurred), which is expressly subordinated in right of payment to the Secured Obligations pursuant to a written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w:t>
      </w:r>
    </w:p>
    <w:p>
      <w:pPr>
        <w:spacing w:after="0" w:line="206" w:lineRule="exact"/>
        <w:rPr>
          <w:sz w:val="20"/>
          <w:szCs w:val="20"/>
          <w:color w:val="auto"/>
        </w:rPr>
      </w:pPr>
    </w:p>
    <w:p>
      <w:pPr>
        <w:jc w:val="both"/>
        <w:ind w:left="660" w:firstLine="644"/>
        <w:spacing w:after="0" w:line="235" w:lineRule="auto"/>
        <w:tabs>
          <w:tab w:leader="none" w:pos="16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17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limited liability company or similar entity of which:</w:t>
      </w:r>
    </w:p>
    <w:p>
      <w:pPr>
        <w:spacing w:after="0" w:line="224" w:lineRule="exact"/>
        <w:rPr>
          <w:rFonts w:ascii="Times New Roman" w:cs="Times New Roman" w:eastAsia="Times New Roman" w:hAnsi="Times New Roman"/>
          <w:sz w:val="22"/>
          <w:szCs w:val="22"/>
          <w:color w:val="auto"/>
        </w:rPr>
      </w:pPr>
    </w:p>
    <w:p>
      <w:pPr>
        <w:jc w:val="both"/>
        <w:ind w:left="1300" w:firstLine="409"/>
        <w:spacing w:after="0" w:line="244" w:lineRule="auto"/>
        <w:tabs>
          <w:tab w:leader="none" w:pos="1992"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185" w:lineRule="exact"/>
        <w:rPr>
          <w:rFonts w:ascii="Times New Roman" w:cs="Times New Roman" w:eastAsia="Times New Roman" w:hAnsi="Times New Roman"/>
          <w:sz w:val="20"/>
          <w:szCs w:val="20"/>
          <w:color w:val="auto"/>
        </w:rPr>
      </w:pPr>
    </w:p>
    <w:p>
      <w:pPr>
        <w:ind w:left="2000" w:hanging="291"/>
        <w:spacing w:after="0"/>
        <w:tabs>
          <w:tab w:leader="none" w:pos="200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or any Subsidiary of such Person is a controlling general partner or otherwise controls such entity; or</w:t>
      </w:r>
    </w:p>
    <w:p>
      <w:pPr>
        <w:spacing w:after="0" w:line="211" w:lineRule="exact"/>
        <w:rPr>
          <w:sz w:val="20"/>
          <w:szCs w:val="20"/>
          <w:color w:val="auto"/>
        </w:rPr>
      </w:pPr>
    </w:p>
    <w:p>
      <w:pPr>
        <w:jc w:val="both"/>
        <w:ind w:left="1300" w:firstLine="409"/>
        <w:spacing w:after="0" w:line="244" w:lineRule="auto"/>
        <w:tabs>
          <w:tab w:leader="none" w:pos="202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election of Holdings, any partnership, joint venture, limited liability company or similar entity of which </w:t>
      </w:r>
      <w:r>
        <w:rPr>
          <w:rFonts w:ascii="Times New Roman" w:cs="Times New Roman" w:eastAsia="Times New Roman" w:hAnsi="Times New Roman"/>
          <w:sz w:val="19"/>
          <w:szCs w:val="19"/>
          <w:color w:val="auto"/>
        </w:rPr>
        <w:t>such</w:t>
      </w:r>
      <w:r>
        <w:rPr>
          <w:rFonts w:ascii="Times New Roman" w:cs="Times New Roman" w:eastAsia="Times New Roman" w:hAnsi="Times New Roman"/>
          <w:sz w:val="22"/>
          <w:szCs w:val="22"/>
          <w:color w:val="auto"/>
        </w:rPr>
        <w:t xml:space="preserve"> Person or any Subsidiary of such Person is a controlling general partner or otherwise controls such entity.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Unless otherwise specified, “Subsidiary” shall mean any Subsidiary of Holdings.</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collectively, the Subsidiaries of Holdings (other than the Borrower and any Intermediate Holding Company) that are Guarantors.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7.04(a)(i)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Administrative Agent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 xml:space="preserve"> and “Supplemental Administrative Agents” shall have the corresponding meaning.</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084" w:right="339" w:bottom="1440" w:gutter="0" w:footer="0" w:header="0"/>
        </w:sectPr>
      </w:pPr>
    </w:p>
    <w:bookmarkStart w:id="178" w:name="page179"/>
    <w:bookmarkEnd w:id="178"/>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Survey</w:t>
      </w:r>
      <w:r>
        <w:rPr>
          <w:rFonts w:ascii="Times New Roman" w:cs="Times New Roman" w:eastAsia="Times New Roman" w:hAnsi="Times New Roman"/>
          <w:sz w:val="21"/>
          <w:szCs w:val="21"/>
          <w:color w:val="auto"/>
        </w:rPr>
        <w:t>” means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(v) sufficient for the Title Company to remove all standard survey exceptions from the Mortgage Policy relating to such Mortgaged Property and issue the endorsements of the type required by paragraph (f) of the definition of Collateral and Guarantee Requirement and (vi) otherwise reasonably acceptable to the Administrative Agent.</w:t>
      </w:r>
    </w:p>
    <w:p>
      <w:pPr>
        <w:spacing w:after="0" w:line="18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Hedging Obligations,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1"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Guarantor, any obligation to pay or perform under any agreement, contract or transaction that constitutes a “swap” within the meaning of section 1a(47) of the Commodity Exchange Act.</w:t>
      </w:r>
    </w:p>
    <w:p>
      <w:pPr>
        <w:spacing w:after="0" w:line="13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amount(s) determined as the mark to market value(s) for such Swap Contracts, as determined by the Hedge Bank (or the Borrower, if no Hedge Bank is party to such Swap Contract) in accordance with the terms thereof and in accordance with customary methods for calculating mark-to-market values under similar arrangements by the Hedge Bank (or the Borrower, if no Hedge Bank is party to such Swap Contract).</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deductions, charges, duties and withholdings and any charges of a similar nature (including backup withholding, interest, penalties and other liabilities with respect thereto) that are imposed by any government or other taxing authority.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w:t>
      </w:r>
      <w:r>
        <w:rPr>
          <w:rFonts w:ascii="Times New Roman" w:cs="Times New Roman" w:eastAsia="Times New Roman" w:hAnsi="Times New Roman"/>
          <w:sz w:val="22"/>
          <w:szCs w:val="22"/>
          <w:color w:val="auto"/>
        </w:rPr>
        <w:t>” means a Borrowing in respect of a Class of Term Loans.</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Commitments</w:t>
      </w:r>
      <w:r>
        <w:rPr>
          <w:rFonts w:ascii="Times New Roman" w:cs="Times New Roman" w:eastAsia="Times New Roman" w:hAnsi="Times New Roman"/>
          <w:sz w:val="22"/>
          <w:szCs w:val="22"/>
          <w:color w:val="auto"/>
        </w:rPr>
        <w:t>” means an Initial Term Commitment or a commitment in respect of any Incremental Term Loans or any combination thereof,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084" w:right="339" w:bottom="1440" w:gutter="0" w:footer="0" w:header="0"/>
        </w:sectPr>
      </w:pPr>
    </w:p>
    <w:bookmarkStart w:id="179" w:name="page180"/>
    <w:bookmarkEnd w:id="179"/>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Lenders</w:t>
      </w:r>
      <w:r>
        <w:rPr>
          <w:rFonts w:ascii="Times New Roman" w:cs="Times New Roman" w:eastAsia="Times New Roman" w:hAnsi="Times New Roman"/>
          <w:sz w:val="22"/>
          <w:szCs w:val="22"/>
          <w:color w:val="auto"/>
        </w:rPr>
        <w:t>” means the Initial Term Lenders, the Lenders with Incremental Term Loans and the Lenders with Extended Term Loans.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Standstill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means the Initial Term Loans, the Incremental Term Loans and the Extended Term Loans.</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xml:space="preserve">” means a promissory note of the Borrower payable to any Term Lender or its registered assigns, in substantially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hereto with appropriate insertions, evidencing the aggregate Indebtedness of the Borrower to such Term Lender resulting from any Class of Term Loans made by such Term Lender.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0"/>
          <w:szCs w:val="20"/>
          <w:color w:val="auto"/>
        </w:rPr>
        <w:t>” means,</w:t>
      </w:r>
    </w:p>
    <w:p>
      <w:pPr>
        <w:spacing w:after="0" w:line="218" w:lineRule="exact"/>
        <w:rPr>
          <w:sz w:val="20"/>
          <w:szCs w:val="20"/>
          <w:color w:val="auto"/>
        </w:rPr>
      </w:pPr>
    </w:p>
    <w:p>
      <w:pPr>
        <w:jc w:val="both"/>
        <w:ind w:left="1300" w:firstLine="405"/>
        <w:spacing w:after="0" w:line="24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9"/>
          <w:szCs w:val="19"/>
          <w:color w:val="auto"/>
        </w:rPr>
        <w:t>for any calculation with respect to a SOFR Loan, the Term SOFR Reference Rate for a tenor comparable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8" w:lineRule="exact"/>
        <w:rPr>
          <w:sz w:val="20"/>
          <w:szCs w:val="20"/>
          <w:color w:val="auto"/>
        </w:rPr>
      </w:pPr>
    </w:p>
    <w:p>
      <w:pPr>
        <w:jc w:val="both"/>
        <w:ind w:left="1300" w:firstLine="405"/>
        <w:spacing w:after="0" w:line="235" w:lineRule="auto"/>
        <w:rPr>
          <w:sz w:val="20"/>
          <w:szCs w:val="20"/>
          <w:color w:val="auto"/>
        </w:rPr>
      </w:pPr>
      <w:r>
        <w:rPr>
          <w:rFonts w:ascii="Times New Roman" w:cs="Times New Roman" w:eastAsia="Times New Roman" w:hAnsi="Times New Roman"/>
          <w:sz w:val="20"/>
          <w:szCs w:val="20"/>
          <w:color w:val="auto"/>
        </w:rPr>
        <w:t>(b)for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Bsae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Adjustment</w:t>
      </w:r>
      <w:r>
        <w:rPr>
          <w:rFonts w:ascii="Times New Roman" w:cs="Times New Roman" w:eastAsia="Times New Roman" w:hAnsi="Times New Roman"/>
          <w:sz w:val="22"/>
          <w:szCs w:val="22"/>
          <w:color w:val="auto"/>
        </w:rPr>
        <w:t>” means, for any calculation with respect to a Base Rate Loan or a SOFR Loan, a percentage per annum as set forth below for the applicable Type of such Loan and (if applicable) Interest Period therefor: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27940</wp:posOffset>
            </wp:positionV>
            <wp:extent cx="146558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465580" cy="205740"/>
                    </a:xfrm>
                    <a:prstGeom prst="rect">
                      <a:avLst/>
                    </a:prstGeom>
                    <a:noFill/>
                  </pic:spPr>
                </pic:pic>
              </a:graphicData>
            </a:graphic>
          </wp:anchor>
        </w:drawing>
      </w:r>
    </w:p>
    <w:p>
      <w:pPr>
        <w:jc w:val="center"/>
        <w:ind w:right="-79"/>
        <w:spacing w:after="0" w:line="218" w:lineRule="auto"/>
        <w:rPr>
          <w:sz w:val="20"/>
          <w:szCs w:val="20"/>
          <w:color w:val="auto"/>
        </w:rPr>
      </w:pPr>
      <w:r>
        <w:rPr>
          <w:rFonts w:ascii="Times New Roman" w:cs="Times New Roman" w:eastAsia="Times New Roman" w:hAnsi="Times New Roman"/>
          <w:sz w:val="22"/>
          <w:szCs w:val="22"/>
          <w:color w:val="auto"/>
        </w:rPr>
        <w:t>0.11448%</w:t>
      </w:r>
    </w:p>
    <w:p>
      <w:pPr>
        <w:ind w:left="4440"/>
        <w:spacing w:after="0"/>
        <w:rPr>
          <w:sz w:val="20"/>
          <w:szCs w:val="20"/>
          <w:color w:val="auto"/>
        </w:rPr>
      </w:pP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SOFR Loans: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084" w:right="339" w:bottom="1440" w:gutter="0" w:footer="0" w:header="0"/>
        </w:sectPr>
      </w:pPr>
    </w:p>
    <w:bookmarkStart w:id="180" w:name="page181"/>
    <w:bookmarkEnd w:id="180"/>
    <w:tbl>
      <w:tblPr>
        <w:tblLayout w:type="fixed"/>
        <w:tblInd w:w="2090" w:type="dxa"/>
        <w:tblCellMar>
          <w:top w:w="0" w:type="dxa"/>
          <w:left w:w="0" w:type="dxa"/>
          <w:bottom w:w="0" w:type="dxa"/>
          <w:right w:w="0" w:type="dxa"/>
        </w:tblCellMar>
      </w:tblPr>
      <w:tr>
        <w:trPr>
          <w:trHeight w:val="243"/>
        </w:trPr>
        <w:tc>
          <w:tcPr>
            <w:tcW w:w="1060" w:type="dxa"/>
            <w:vAlign w:val="bottom"/>
            <w:tcBorders>
              <w:top w:val="single" w:sz="8" w:color="auto"/>
              <w:left w:val="single" w:sz="8" w:color="auto"/>
            </w:tcBorders>
          </w:tcPr>
          <w:p>
            <w:pPr>
              <w:spacing w:after="0"/>
              <w:rPr>
                <w:sz w:val="21"/>
                <w:szCs w:val="21"/>
                <w:color w:val="auto"/>
              </w:rPr>
            </w:pPr>
          </w:p>
        </w:tc>
        <w:tc>
          <w:tcPr>
            <w:tcW w:w="2440" w:type="dxa"/>
            <w:vAlign w:val="bottom"/>
            <w:tcBorders>
              <w:top w:val="single" w:sz="8" w:color="auto"/>
              <w:right w:val="single" w:sz="8" w:color="auto"/>
            </w:tcBorders>
            <w:gridSpan w:val="2"/>
          </w:tcPr>
          <w:p>
            <w:pPr>
              <w:jc w:val="center"/>
              <w:ind w:right="10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Interest Period</w:t>
            </w:r>
          </w:p>
        </w:tc>
        <w:tc>
          <w:tcPr>
            <w:tcW w:w="3620" w:type="dxa"/>
            <w:vAlign w:val="bottom"/>
            <w:tcBorders>
              <w:top w:val="single" w:sz="8" w:color="auto"/>
              <w:right w:val="single" w:sz="8" w:color="auto"/>
            </w:tcBorders>
            <w:gridSpan w:val="3"/>
          </w:tcPr>
          <w:p>
            <w:pPr>
              <w:ind w:left="1300"/>
              <w:spacing w:after="0" w:line="243" w:lineRule="exact"/>
              <w:rPr>
                <w:sz w:val="20"/>
                <w:szCs w:val="20"/>
                <w:color w:val="auto"/>
              </w:rPr>
            </w:pPr>
            <w:r>
              <w:rPr>
                <w:rFonts w:ascii="Times New Roman" w:cs="Times New Roman" w:eastAsia="Times New Roman" w:hAnsi="Times New Roman"/>
                <w:sz w:val="22"/>
                <w:szCs w:val="22"/>
                <w:b w:val="1"/>
                <w:bCs w:val="1"/>
                <w:color w:val="auto"/>
              </w:rPr>
              <w:t>Percentage</w:t>
            </w: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r>
      <w:tr>
        <w:trPr>
          <w:trHeight w:val="284"/>
        </w:trPr>
        <w:tc>
          <w:tcPr>
            <w:tcW w:w="1060" w:type="dxa"/>
            <w:vAlign w:val="bottom"/>
            <w:tcBorders>
              <w:left w:val="single" w:sz="8" w:color="auto"/>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2"/>
                <w:szCs w:val="22"/>
                <w:color w:val="auto"/>
                <w:w w:val="97"/>
              </w:rPr>
              <w:t>One month</w:t>
            </w:r>
          </w:p>
        </w:tc>
        <w:tc>
          <w:tcPr>
            <w:tcW w:w="2300" w:type="dxa"/>
            <w:vAlign w:val="bottom"/>
            <w:tcBorders>
              <w:bottom w:val="single" w:sz="8" w:color="auto"/>
            </w:tcBorders>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0.11448 %</w:t>
            </w:r>
          </w:p>
        </w:tc>
        <w:tc>
          <w:tcPr>
            <w:tcW w:w="1320" w:type="dxa"/>
            <w:vAlign w:val="bottom"/>
            <w:tcBorders>
              <w:bottom w:val="single" w:sz="8" w:color="auto"/>
              <w:right w:val="single" w:sz="8" w:color="auto"/>
            </w:tcBorders>
          </w:tcPr>
          <w:p>
            <w:pPr>
              <w:spacing w:after="0"/>
              <w:rPr>
                <w:sz w:val="24"/>
                <w:szCs w:val="24"/>
                <w:color w:val="auto"/>
              </w:rPr>
            </w:pPr>
          </w:p>
        </w:tc>
      </w:tr>
      <w:tr>
        <w:trPr>
          <w:trHeight w:val="291"/>
        </w:trPr>
        <w:tc>
          <w:tcPr>
            <w:tcW w:w="1060" w:type="dxa"/>
            <w:vAlign w:val="bottom"/>
            <w:tcBorders>
              <w:left w:val="single" w:sz="8" w:color="auto"/>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gridSpan w:val="2"/>
          </w:tcPr>
          <w:p>
            <w:pPr>
              <w:jc w:val="center"/>
              <w:ind w:right="1080"/>
              <w:spacing w:after="0"/>
              <w:rPr>
                <w:sz w:val="20"/>
                <w:szCs w:val="20"/>
                <w:color w:val="auto"/>
              </w:rPr>
            </w:pPr>
            <w:r>
              <w:rPr>
                <w:rFonts w:ascii="Times New Roman" w:cs="Times New Roman" w:eastAsia="Times New Roman" w:hAnsi="Times New Roman"/>
                <w:sz w:val="22"/>
                <w:szCs w:val="22"/>
                <w:color w:val="auto"/>
                <w:w w:val="98"/>
              </w:rPr>
              <w:t>Three months</w:t>
            </w:r>
          </w:p>
        </w:tc>
        <w:tc>
          <w:tcPr>
            <w:tcW w:w="2300" w:type="dxa"/>
            <w:vAlign w:val="bottom"/>
            <w:tcBorders>
              <w:bottom w:val="single" w:sz="8" w:color="auto"/>
            </w:tcBorders>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7"/>
              </w:rPr>
              <w:t>0.26161%</w:t>
            </w:r>
          </w:p>
        </w:tc>
        <w:tc>
          <w:tcPr>
            <w:tcW w:w="1320" w:type="dxa"/>
            <w:vAlign w:val="bottom"/>
            <w:tcBorders>
              <w:bottom w:val="single" w:sz="8" w:color="auto"/>
              <w:right w:val="single" w:sz="8" w:color="auto"/>
            </w:tcBorders>
          </w:tcPr>
          <w:p>
            <w:pPr>
              <w:spacing w:after="0"/>
              <w:rPr>
                <w:sz w:val="24"/>
                <w:szCs w:val="24"/>
                <w:color w:val="auto"/>
              </w:rPr>
            </w:pPr>
          </w:p>
        </w:tc>
      </w:tr>
      <w:tr>
        <w:trPr>
          <w:trHeight w:val="290"/>
        </w:trPr>
        <w:tc>
          <w:tcPr>
            <w:tcW w:w="1060" w:type="dxa"/>
            <w:vAlign w:val="bottom"/>
            <w:tcBorders>
              <w:left w:val="single" w:sz="8" w:color="auto"/>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22"/>
                <w:szCs w:val="22"/>
                <w:color w:val="auto"/>
                <w:w w:val="98"/>
              </w:rPr>
              <w:t>Six months</w:t>
            </w:r>
          </w:p>
        </w:tc>
        <w:tc>
          <w:tcPr>
            <w:tcW w:w="2300" w:type="dxa"/>
            <w:vAlign w:val="bottom"/>
            <w:tcBorders>
              <w:bottom w:val="single" w:sz="8" w:color="auto"/>
            </w:tcBorders>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7"/>
              </w:rPr>
              <w:t>0.42826%</w:t>
            </w:r>
          </w:p>
        </w:tc>
        <w:tc>
          <w:tcPr>
            <w:tcW w:w="1320" w:type="dxa"/>
            <w:vAlign w:val="bottom"/>
            <w:tcBorders>
              <w:bottom w:val="single" w:sz="8" w:color="auto"/>
              <w:right w:val="single" w:sz="8" w:color="auto"/>
            </w:tcBorders>
          </w:tcPr>
          <w:p>
            <w:pPr>
              <w:spacing w:after="0"/>
              <w:rPr>
                <w:sz w:val="24"/>
                <w:szCs w:val="24"/>
                <w:color w:val="auto"/>
              </w:rPr>
            </w:pPr>
          </w:p>
        </w:tc>
      </w:tr>
    </w:tbl>
    <w:p>
      <w:pPr>
        <w:spacing w:after="0" w:line="283"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xml:space="preserve">” means, at any date of determination, the most recently completed four consecutive fiscal quarters of Holdings ending on or prior to such date for which financial statements have been or are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xml:space="preserve"> ; or, if earlier, are internally available to Holdings;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the calculation of (i) Applicable Rate and (ii) compliance with Section 7.09</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in each case, internally available financial statements shall be disregarded with respect to this definition and such calculations shall instead be based on the financial statements for the most recent period of four consecutive fiscal quarters for which financial statements have been or are required to have been delivered pursuant to Section 6.01(a) or (b), as applicable.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$20.0 million.</w:t>
      </w:r>
    </w:p>
    <w:p>
      <w:pPr>
        <w:spacing w:after="0" w:line="206"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Company</w:t>
      </w:r>
      <w:r>
        <w:rPr>
          <w:rFonts w:ascii="Times New Roman" w:cs="Times New Roman" w:eastAsia="Times New Roman" w:hAnsi="Times New Roman"/>
          <w:sz w:val="22"/>
          <w:szCs w:val="22"/>
          <w:color w:val="auto"/>
        </w:rPr>
        <w:t>” means any reputable nationally recognized title insurance company as reasonably acceptable to the Administrative Agent which shall be retained by Borrower to issue the Mortgage Policies.</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means, as of any date, the total consolidated assets of Holdings and its Restricted Subsidiaries on a consolidated basis, as shown on the most recent consolidated balance sheet of Holdings and its Restricted Subsidiaries, determined on a pro forma basis.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 and all L/C Obligations.</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19"/>
          <w:szCs w:val="19"/>
          <w:color w:val="auto"/>
        </w:rPr>
        <w:t>that certain Tax Receivable Agreement, dated as of July 8, 2016, between the Borrower and Ron P. Corio,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amended from time to time.</w:t>
      </w:r>
    </w:p>
    <w:p>
      <w:pPr>
        <w:spacing w:after="0" w:line="184"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means any fees, costs and expenses (including (x) all legal, accounting and other professional fees, costs and expenses and (y) underwriting fees, costs and expenses (including original issue discount, upfront fees or similar fees)) incurred or paid by Holdings, the Borrower, or any Restricted Subsidiary in connection with the Transactions.</w:t>
      </w:r>
    </w:p>
    <w:p>
      <w:pPr>
        <w:spacing w:after="0" w:line="180"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initial borrowings under the Credit Agreement, the Closing Distribution, the Closing Date Refinancing and the consummation of any other transaction in connection with the foregoing.</w:t>
      </w:r>
    </w:p>
    <w:p>
      <w:pPr>
        <w:spacing w:after="0" w:line="17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Transformative Acquisition</w:t>
      </w:r>
      <w:r>
        <w:rPr>
          <w:rFonts w:ascii="Times New Roman" w:cs="Times New Roman" w:eastAsia="Times New Roman" w:hAnsi="Times New Roman"/>
          <w:sz w:val="22"/>
          <w:szCs w:val="22"/>
          <w:color w:val="auto"/>
        </w:rPr>
        <w:t>” means any acquisition (or series of related acquisitions within a period of 90 days) by Holdings, the Borrower or any Restricted Subsidiary that (a) is not permitted by the terms of the Loan Documents immediately prior to the consummation of such acquisition, (b) if permitted by the terms of the Loan Documents immediately prior to the consummation of such acquisition, would not provide Holdings and the Restricted Subsidiaries with adequate flexibility under the Loan Documents for the continuation and/or expansion of their combined operations following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119" w:right="339" w:bottom="1440" w:gutter="0" w:footer="0" w:header="0"/>
        </w:sectPr>
      </w:pPr>
    </w:p>
    <w:bookmarkStart w:id="181" w:name="page182"/>
    <w:bookmarkEnd w:id="181"/>
    <w:p>
      <w:pPr>
        <w:jc w:val="both"/>
        <w:spacing w:after="0" w:line="258" w:lineRule="auto"/>
        <w:rPr>
          <w:sz w:val="20"/>
          <w:szCs w:val="20"/>
          <w:color w:val="auto"/>
        </w:rPr>
      </w:pPr>
      <w:r>
        <w:rPr>
          <w:rFonts w:ascii="Times New Roman" w:cs="Times New Roman" w:eastAsia="Times New Roman" w:hAnsi="Times New Roman"/>
          <w:sz w:val="22"/>
          <w:szCs w:val="22"/>
          <w:color w:val="auto"/>
        </w:rPr>
        <w:t>such consummation, as determined by the Borrower acting in good faith or (c) involves aggregate consideration of at least $150.0 million.</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Transformative Disposition</w:t>
      </w:r>
      <w:r>
        <w:rPr>
          <w:rFonts w:ascii="Times New Roman" w:cs="Times New Roman" w:eastAsia="Times New Roman" w:hAnsi="Times New Roman"/>
          <w:sz w:val="21"/>
          <w:szCs w:val="21"/>
          <w:color w:val="auto"/>
        </w:rPr>
        <w:t>” means any disposition by any Holdings, the Borrower or any Restricted Subsidiary that (a) is not permitted by the terms of the Loan Documents immediately prior to the consummation of such Acquisition or (b) if permitted by the terms of the Loan Documents immediately prior to the consummation of such disposition, would not provide the Borrower and the Restricted Subsidiaries with adequate flexibility under the Loan Documents for the continuation and/or expansion of its operations following such consummation, as determined by the Borrower acting in good faith.</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Capital Stock</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7.06(b)(ii)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a SOFR Loan or a Daily SOFR Loan.</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xml:space="preserve">” means the Benchmark Replacement excluding the Benchmark Replacement Adjustment;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Unadjusted Benchmark Replacement as so determined would be less than 0.50%, the Unadjusted Benchmark Replacement will be deemed to be 0.50% for the purposes of this Agreement.</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Unaudited Financial Statements</w:t>
      </w:r>
      <w:r>
        <w:rPr>
          <w:rFonts w:ascii="Times New Roman" w:cs="Times New Roman" w:eastAsia="Times New Roman" w:hAnsi="Times New Roman"/>
          <w:sz w:val="22"/>
          <w:szCs w:val="22"/>
          <w:color w:val="auto"/>
        </w:rPr>
        <w:t>” means the unaudited consolidated balance sheet as of June 30, 2020, and any fiscal quarter ended at least 45 days prior to the Closing Date and related unaudited statement of operation, stockholders’ equity, and cash flows for the 6-month period then ended of the Borrower (or any passive holding company of the Borrower) and its Subsidiaries.</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084" w:right="339" w:bottom="1440" w:gutter="0" w:footer="0" w:header="0"/>
        </w:sectPr>
      </w:pPr>
    </w:p>
    <w:bookmarkStart w:id="182" w:name="page183"/>
    <w:bookmarkEnd w:id="18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 Tax Compliance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Incremental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firstLine="1304"/>
        <w:spacing w:after="0" w:line="258" w:lineRule="auto"/>
        <w:tabs>
          <w:tab w:leader="none" w:pos="161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the Borrower that at the time of determination is an Unrestricted Subsidiary (as designated by the Borrower in the manner provided in the succeeding paragraph); and</w:t>
      </w:r>
    </w:p>
    <w:p>
      <w:pPr>
        <w:spacing w:after="0" w:line="144"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an Unrestricted Subsidiary.</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The Borrower may designate any Subsidiary of the Borrower (including any newly acquired or newly formed Subsidiary or a Person becoming a Subsidiary of the Borrower through merger, consolidation or other business combination transaction, or Investment therein) to be an Unrestricted Subsidiary only if:</w:t>
      </w:r>
    </w:p>
    <w:p>
      <w:pPr>
        <w:spacing w:after="0" w:line="173" w:lineRule="exact"/>
        <w:rPr>
          <w:sz w:val="20"/>
          <w:szCs w:val="20"/>
          <w:color w:val="auto"/>
        </w:rPr>
      </w:pPr>
    </w:p>
    <w:p>
      <w:pPr>
        <w:jc w:val="both"/>
        <w:ind w:left="1960" w:hanging="656"/>
        <w:spacing w:after="0" w:line="239" w:lineRule="auto"/>
        <w:tabs>
          <w:tab w:leader="none" w:pos="194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at the time of such designation, such Subsidiary or any of its Subsidiaries does not own any Capital Stock or Indebtedness of, or own or hold any Lien on any property of, the Borrower or any other Subsidiary of the Borrower which is not a Subsidiary of the Subsidiary to be so designated or otherwise an Unrestricted Subsidiary;</w:t>
      </w:r>
    </w:p>
    <w:p>
      <w:pPr>
        <w:spacing w:after="0" w:line="180" w:lineRule="exact"/>
        <w:rPr>
          <w:rFonts w:ascii="Times New Roman" w:cs="Times New Roman" w:eastAsia="Times New Roman" w:hAnsi="Times New Roman"/>
          <w:sz w:val="20"/>
          <w:szCs w:val="20"/>
          <w:color w:val="auto"/>
        </w:rPr>
      </w:pPr>
    </w:p>
    <w:p>
      <w:pPr>
        <w:ind w:left="1960" w:hanging="656"/>
        <w:spacing w:after="0" w:line="258" w:lineRule="auto"/>
        <w:tabs>
          <w:tab w:leader="none" w:pos="194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such designation and the Investment, if any, of the Borrower in such Subsidiary complies with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hereof; and</w:t>
      </w:r>
    </w:p>
    <w:p>
      <w:pPr>
        <w:spacing w:after="0" w:line="158" w:lineRule="exact"/>
        <w:rPr>
          <w:rFonts w:ascii="Times New Roman" w:cs="Times New Roman" w:eastAsia="Times New Roman" w:hAnsi="Times New Roman"/>
          <w:sz w:val="20"/>
          <w:szCs w:val="20"/>
          <w:color w:val="auto"/>
        </w:rPr>
      </w:pPr>
    </w:p>
    <w:p>
      <w:pPr>
        <w:ind w:left="1960" w:hanging="656"/>
        <w:spacing w:after="0" w:line="245" w:lineRule="auto"/>
        <w:tabs>
          <w:tab w:leader="none" w:pos="194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at the time of such designation no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shall have occurred and be continuing (or would result therefrom).</w:t>
      </w:r>
    </w:p>
    <w:p>
      <w:pPr>
        <w:spacing w:after="0" w:line="172" w:lineRule="exact"/>
        <w:rPr>
          <w:sz w:val="20"/>
          <w:szCs w:val="20"/>
          <w:color w:val="auto"/>
        </w:rPr>
      </w:pPr>
    </w:p>
    <w:p>
      <w:pPr>
        <w:jc w:val="both"/>
        <w:ind w:right="4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xml:space="preserve">” shall have the meaning provided in Section </w:t>
      </w:r>
      <w:r>
        <w:rPr>
          <w:rFonts w:ascii="Times New Roman" w:cs="Times New Roman" w:eastAsia="Times New Roman" w:hAnsi="Times New Roman"/>
          <w:sz w:val="22"/>
          <w:szCs w:val="22"/>
          <w:u w:val="single" w:color="auto"/>
          <w:color w:val="auto"/>
        </w:rPr>
        <w:t>10.23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Prepayment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 Person means all classes of Capital Stock of such Person then outstanding and normally entitled to vote in the election of directors.</w:t>
      </w:r>
    </w:p>
    <w:p>
      <w:pPr>
        <w:spacing w:after="0" w:line="17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Life to Maturity</w:t>
      </w:r>
      <w:r>
        <w:rPr>
          <w:rFonts w:ascii="Times New Roman" w:cs="Times New Roman" w:eastAsia="Times New Roman" w:hAnsi="Times New Roman"/>
          <w:sz w:val="22"/>
          <w:szCs w:val="22"/>
          <w:color w:val="auto"/>
        </w:rPr>
        <w:t xml:space="preserve">” when applied to any Indebtedness, Disqualified Stock or Preferred Stock, as the case may be, at any date, the quotient (in number of years) obtained by dividing: (1) the sum of the products obtained by multiplying (a) the number of years (calculated to the nearest one-twelfth) from the date of determination to the date of each successive scheduled principal payment of such Indebtedness or redemption or similar payment with respect to such Disqualified Stock or Preferred Stock, by (b) the amount of such payment, by (2) the sum of all such payments;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determining the Weighted Average Life to Maturity of any Indebtedness, the effects</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240"/>
          </w:cols>
          <w:pgMar w:left="320" w:top="1084" w:right="33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of any prepayments or amortization made on such Indebtedness prior to the date of such determination will be disregarded.</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Subsidiary</w:t>
      </w:r>
      <w:r>
        <w:rPr>
          <w:rFonts w:ascii="Times New Roman" w:cs="Times New Roman" w:eastAsia="Times New Roman" w:hAnsi="Times New Roman"/>
          <w:sz w:val="22"/>
          <w:szCs w:val="22"/>
          <w:color w:val="auto"/>
        </w:rPr>
        <w:t>” of any specified Person means a Subsidiary of such Person, all of the Capital Stock of which (other than directors’ qualifying shares or shares required by any applicable law or regulation to be held by a Person other than such Person) is owned by such Person.</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the liability of a Multiemployer Plan as a result of a complete or partial withdrawal from such Multiemployer Plan, as such terms are defined in Part I of Subtitle E of Title IV of ERISA.</w:t>
      </w:r>
    </w:p>
    <w:p>
      <w:pPr>
        <w:spacing w:after="0" w:line="14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22"/>
          <w:szCs w:val="22"/>
          <w:color w:val="auto"/>
        </w:rPr>
        <w:t>. With reference to this Agreement and each other Loan Document, unless otherwise specified herein or in such other Loan Document:</w:t>
      </w:r>
    </w:p>
    <w:p>
      <w:pPr>
        <w:spacing w:after="0" w:line="145" w:lineRule="exact"/>
        <w:rPr>
          <w:sz w:val="20"/>
          <w:szCs w:val="20"/>
          <w:color w:val="auto"/>
        </w:rPr>
      </w:pPr>
    </w:p>
    <w:p>
      <w:pPr>
        <w:ind w:left="1760" w:hanging="456"/>
        <w:spacing w:after="0"/>
        <w:tabs>
          <w:tab w:leader="none" w:pos="17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meanings of defined terms are equally applicable to the singular and plural forms of the defined terms.</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82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words “</w:t>
      </w: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hereto</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hereof</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hereunder</w:t>
      </w:r>
      <w:r>
        <w:rPr>
          <w:rFonts w:ascii="Times New Roman" w:cs="Times New Roman" w:eastAsia="Times New Roman" w:hAnsi="Times New Roman"/>
          <w:sz w:val="22"/>
          <w:szCs w:val="22"/>
          <w:color w:val="auto"/>
        </w:rPr>
        <w:t>” and words of similar import when used in any Loan Document shall refer to such Loan Document as a whole and not to any particular provision thereof.</w:t>
      </w:r>
    </w:p>
    <w:p>
      <w:pPr>
        <w:spacing w:after="0" w:line="158" w:lineRule="exact"/>
        <w:rPr>
          <w:sz w:val="20"/>
          <w:szCs w:val="20"/>
          <w:color w:val="auto"/>
        </w:rPr>
      </w:pPr>
    </w:p>
    <w:p>
      <w:pPr>
        <w:ind w:left="1780" w:hanging="476"/>
        <w:spacing w:after="0"/>
        <w:tabs>
          <w:tab w:leader="none" w:pos="178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Section, Exhibit and Schedule references are to the Loan Document in which such reference appears.</w:t>
      </w:r>
    </w:p>
    <w:p>
      <w:pPr>
        <w:spacing w:after="0" w:line="217"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is by way of example and not limitation.</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19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includes any and all instruments, documents, agreements, certificates, notices, reports, financial statements and other writings, however evidenced, whether in physical or electronic form.</w:t>
      </w:r>
    </w:p>
    <w:p>
      <w:pPr>
        <w:spacing w:after="0" w:line="158" w:lineRule="exact"/>
        <w:rPr>
          <w:sz w:val="20"/>
          <w:szCs w:val="20"/>
          <w:color w:val="auto"/>
        </w:rPr>
      </w:pPr>
    </w:p>
    <w:p>
      <w:pPr>
        <w:jc w:val="both"/>
        <w:ind w:firstLine="1304"/>
        <w:spacing w:after="0" w:line="244" w:lineRule="auto"/>
        <w:tabs>
          <w:tab w:leader="none" w:pos="178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from and including</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to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until</w:t>
      </w:r>
      <w:r>
        <w:rPr>
          <w:rFonts w:ascii="Times New Roman" w:cs="Times New Roman" w:eastAsia="Times New Roman" w:hAnsi="Times New Roman"/>
          <w:sz w:val="22"/>
          <w:szCs w:val="22"/>
          <w:color w:val="auto"/>
        </w:rPr>
        <w:t>” each mean “</w:t>
      </w:r>
      <w:r>
        <w:rPr>
          <w:rFonts w:ascii="Times New Roman" w:cs="Times New Roman" w:eastAsia="Times New Roman" w:hAnsi="Times New Roman"/>
          <w:sz w:val="22"/>
          <w:szCs w:val="22"/>
          <w:u w:val="single" w:color="auto"/>
          <w:color w:val="auto"/>
        </w:rPr>
        <w:t>to but excluding</w:t>
      </w:r>
      <w:r>
        <w:rPr>
          <w:rFonts w:ascii="Times New Roman" w:cs="Times New Roman" w:eastAsia="Times New Roman" w:hAnsi="Times New Roman"/>
          <w:sz w:val="22"/>
          <w:szCs w:val="22"/>
          <w:color w:val="auto"/>
        </w:rPr>
        <w:t>”; and the word “</w:t>
      </w:r>
      <w:r>
        <w:rPr>
          <w:rFonts w:ascii="Times New Roman" w:cs="Times New Roman" w:eastAsia="Times New Roman" w:hAnsi="Times New Roman"/>
          <w:sz w:val="22"/>
          <w:szCs w:val="22"/>
          <w:u w:val="single" w:color="auto"/>
          <w:color w:val="auto"/>
        </w:rPr>
        <w:t>through</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to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w:t>
      </w:r>
    </w:p>
    <w:p>
      <w:pPr>
        <w:spacing w:after="0" w:line="159" w:lineRule="exact"/>
        <w:rPr>
          <w:rFonts w:ascii="Times New Roman" w:cs="Times New Roman" w:eastAsia="Times New Roman" w:hAnsi="Times New Roman"/>
          <w:sz w:val="22"/>
          <w:szCs w:val="22"/>
          <w:color w:val="auto"/>
        </w:rPr>
      </w:pPr>
    </w:p>
    <w:p>
      <w:pPr>
        <w:ind w:firstLine="1304"/>
        <w:spacing w:after="0" w:line="258" w:lineRule="auto"/>
        <w:tabs>
          <w:tab w:leader="none" w:pos="176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Accounting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084" w:right="339" w:bottom="1440" w:gutter="0" w:footer="0" w:header="0"/>
        </w:sectPr>
      </w:pPr>
    </w:p>
    <w:bookmarkStart w:id="184" w:name="page185"/>
    <w:bookmarkEnd w:id="184"/>
    <w:p>
      <w:pPr>
        <w:jc w:val="both"/>
        <w:ind w:firstLine="1304"/>
        <w:spacing w:after="0" w:line="244" w:lineRule="auto"/>
        <w:tabs>
          <w:tab w:leader="none" w:pos="174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w:t>
      </w:r>
    </w:p>
    <w:p>
      <w:pPr>
        <w:spacing w:after="0" w:line="173" w:lineRule="exact"/>
        <w:rPr>
          <w:rFonts w:ascii="Times New Roman" w:cs="Times New Roman" w:eastAsia="Times New Roman" w:hAnsi="Times New Roman"/>
          <w:sz w:val="22"/>
          <w:szCs w:val="22"/>
          <w:color w:val="auto"/>
        </w:rPr>
      </w:pPr>
    </w:p>
    <w:p>
      <w:pPr>
        <w:ind w:right="20" w:firstLine="1304"/>
        <w:spacing w:after="0" w:line="258" w:lineRule="auto"/>
        <w:tabs>
          <w:tab w:leader="none" w:pos="185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reference is made to “Holdings and its Restricted Subsidiaries on a consolidated basis” or similar language, such consolidation shall not include any Subsidiaries of Holdings other than Restricted Subsidiaries.</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1.04 Rounding</w:t>
      </w:r>
      <w:r>
        <w:rPr>
          <w:rFonts w:ascii="Times New Roman" w:cs="Times New Roman" w:eastAsia="Times New Roman" w:hAnsi="Times New Roman"/>
          <w:sz w:val="22"/>
          <w:szCs w:val="22"/>
          <w:color w:val="auto"/>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References to Agreements, Laws, Etc</w:t>
      </w:r>
      <w:r>
        <w:rPr>
          <w:rFonts w:ascii="Times New Roman" w:cs="Times New Roman" w:eastAsia="Times New Roman" w:hAnsi="Times New Roman"/>
          <w:sz w:val="21"/>
          <w:szCs w:val="21"/>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w:t>
      </w:r>
    </w:p>
    <w:p>
      <w:pPr>
        <w:spacing w:after="0" w:line="2" w:lineRule="exact"/>
        <w:rPr>
          <w:sz w:val="20"/>
          <w:szCs w:val="20"/>
          <w:color w:val="auto"/>
        </w:rPr>
      </w:pPr>
    </w:p>
    <w:p>
      <w:pPr>
        <w:ind w:right="20" w:firstLine="8"/>
        <w:spacing w:after="0" w:line="237" w:lineRule="auto"/>
        <w:tabs>
          <w:tab w:leader="none" w:pos="30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Law shall include all statutory and regulatory provisions consolidating, amending, replacing, supplementing or interpreting such Law.</w:t>
      </w:r>
    </w:p>
    <w:p>
      <w:pPr>
        <w:spacing w:after="0" w:line="17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Unless otherwise specified, all references herein to times of day shall be references to Eastern time (daylight or standard, as applicable).</w:t>
      </w:r>
    </w:p>
    <w:p>
      <w:pPr>
        <w:spacing w:after="0" w:line="145"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1.07 Timing of Payment or Performance</w:t>
      </w:r>
      <w:r>
        <w:rPr>
          <w:rFonts w:ascii="Times New Roman" w:cs="Times New Roman" w:eastAsia="Times New Roman" w:hAnsi="Times New Roman"/>
          <w:sz w:val="22"/>
          <w:szCs w:val="22"/>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1.08</w:t>
      </w:r>
      <w:r>
        <w:rPr>
          <w:sz w:val="20"/>
          <w:szCs w:val="20"/>
          <w:color w:val="auto"/>
        </w:rPr>
        <w:tab/>
      </w:r>
      <w:r>
        <w:rPr>
          <w:rFonts w:ascii="Times New Roman" w:cs="Times New Roman" w:eastAsia="Times New Roman" w:hAnsi="Times New Roman"/>
          <w:sz w:val="21"/>
          <w:szCs w:val="21"/>
          <w:u w:val="single" w:color="auto"/>
          <w:color w:val="auto"/>
        </w:rPr>
        <w:t>Currency Equivalents Generally.</w:t>
      </w:r>
    </w:p>
    <w:p>
      <w:pPr>
        <w:spacing w:after="0" w:line="206" w:lineRule="exact"/>
        <w:rPr>
          <w:sz w:val="20"/>
          <w:szCs w:val="20"/>
          <w:color w:val="auto"/>
        </w:rPr>
      </w:pPr>
    </w:p>
    <w:p>
      <w:pPr>
        <w:jc w:val="both"/>
        <w:ind w:firstLine="1304"/>
        <w:spacing w:after="0" w:line="238" w:lineRule="auto"/>
        <w:tabs>
          <w:tab w:leader="none" w:pos="183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w:t>
      </w:r>
      <w:r>
        <w:rPr>
          <w:rFonts w:ascii="Times New Roman" w:cs="Times New Roman" w:eastAsia="Times New Roman" w:hAnsi="Times New Roman"/>
          <w:sz w:val="22"/>
          <w:szCs w:val="22"/>
          <w:u w:val="single" w:color="auto"/>
          <w:color w:val="auto"/>
        </w:rPr>
        <w:t>Sections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 xml:space="preserve"> with respect to any amount of Indebtedness or Investment in a currency other than Dollars, no Default shall be deemed to have occurred solely as a result of changes in rates of exchange occurring after the time such Lien, Indebtedness or Investment is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foregoing provisions of this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shall otherwise apply to such Sections, including with respect to determining whether any Indebtedness or Investment may be incurred at any time under such Sections.</w:t>
      </w:r>
    </w:p>
    <w:p>
      <w:pPr>
        <w:spacing w:after="0" w:line="16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under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 xml:space="preserve">, any amount in a currency other than Dollars will be converted to Dollars in a manner consistent with that used in calculating net income in Holdings’ annual financial statements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shall not be deemed to apply to the determination of any amount of Indebtedness.</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any restriction on the incurrence of Indebtedness, the Dollar Equivalent of the principal amount of Indebtedness denominated in a foreign currency shall be calculated based on the Exchange Rate in effect on the date such Indebtedness was incurred, in the case of term debt, or first committed, in the case of revolving credit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084" w:right="339" w:bottom="1440" w:gutter="0" w:footer="0" w:header="0"/>
        </w:sectPr>
      </w:pPr>
    </w:p>
    <w:bookmarkStart w:id="185" w:name="page186"/>
    <w:bookmarkEnd w:id="185"/>
    <w:p>
      <w:pPr>
        <w:jc w:val="both"/>
        <w:spacing w:after="0" w:line="236" w:lineRule="auto"/>
        <w:rPr>
          <w:sz w:val="20"/>
          <w:szCs w:val="20"/>
          <w:color w:val="auto"/>
        </w:rPr>
      </w:pPr>
      <w:r>
        <w:rPr>
          <w:rFonts w:ascii="Times New Roman" w:cs="Times New Roman" w:eastAsia="Times New Roman" w:hAnsi="Times New Roman"/>
          <w:sz w:val="22"/>
          <w:szCs w:val="22"/>
          <w:color w:val="auto"/>
        </w:rPr>
        <w:t>if such Indebtedness is incurred to extend, replace, refund, refinance, renew or defease other Indebtedness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1.09</w:t>
      </w:r>
      <w:r>
        <w:rPr>
          <w:sz w:val="20"/>
          <w:szCs w:val="20"/>
          <w:color w:val="auto"/>
        </w:rPr>
        <w:tab/>
      </w:r>
      <w:r>
        <w:rPr>
          <w:rFonts w:ascii="Times New Roman" w:cs="Times New Roman" w:eastAsia="Times New Roman" w:hAnsi="Times New Roman"/>
          <w:sz w:val="21"/>
          <w:szCs w:val="21"/>
          <w:u w:val="single" w:color="auto"/>
          <w:color w:val="auto"/>
        </w:rPr>
        <w:t>Certain Calculations and Tests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2" w:lineRule="auto"/>
        <w:tabs>
          <w:tab w:leader="none" w:pos="1833"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calculating the availability under any basket or ratio under this Agreement or compliance with any provision of this Agreement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Borrower (the Borrower’s election to exercise such option, an “</w:t>
      </w:r>
      <w:r>
        <w:rPr>
          <w:rFonts w:ascii="Times New Roman" w:cs="Times New Roman" w:eastAsia="Times New Roman" w:hAnsi="Times New Roman"/>
          <w:sz w:val="21"/>
          <w:szCs w:val="21"/>
          <w:u w:val="single" w:color="auto"/>
          <w:color w:val="auto"/>
        </w:rPr>
        <w:t>LCT Election</w:t>
      </w:r>
      <w:r>
        <w:rPr>
          <w:rFonts w:ascii="Times New Roman" w:cs="Times New Roman" w:eastAsia="Times New Roman" w:hAnsi="Times New Roman"/>
          <w:sz w:val="21"/>
          <w:szCs w:val="21"/>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Agreement shall be deemed to be the date (the “</w:t>
      </w:r>
      <w:r>
        <w:rPr>
          <w:rFonts w:ascii="Times New Roman" w:cs="Times New Roman" w:eastAsia="Times New Roman" w:hAnsi="Times New Roman"/>
          <w:sz w:val="21"/>
          <w:szCs w:val="21"/>
          <w:u w:val="single" w:color="auto"/>
          <w:color w:val="auto"/>
        </w:rPr>
        <w:t>LCT Test Date</w:t>
      </w:r>
      <w:r>
        <w:rPr>
          <w:rFonts w:ascii="Times New Roman" w:cs="Times New Roman" w:eastAsia="Times New Roman" w:hAnsi="Times New Roman"/>
          <w:sz w:val="21"/>
          <w:szCs w:val="21"/>
          <w:color w:val="auto"/>
        </w:rPr>
        <w:t>”) either (a) the definitive agreement for such Limited Condition Transaction is entered into (or, if applicable, the date of delivery of an irrevocable declaration of a Restricted Payment or similar event), or (b) solely in connection with an acquisition to which the United Kingdom City Code on Takeovers and Mergers applies, the date on which a “Rule 2.7 announcement” of a firm intention to make an offer (or equivalent announcement in another jurisdiction) (an “</w:t>
      </w:r>
      <w:r>
        <w:rPr>
          <w:rFonts w:ascii="Times New Roman" w:cs="Times New Roman" w:eastAsia="Times New Roman" w:hAnsi="Times New Roman"/>
          <w:sz w:val="21"/>
          <w:szCs w:val="21"/>
          <w:u w:val="single" w:color="auto"/>
          <w:color w:val="auto"/>
        </w:rPr>
        <w:t>LCT Public Offer</w:t>
      </w:r>
      <w:r>
        <w:rPr>
          <w:rFonts w:ascii="Times New Roman" w:cs="Times New Roman" w:eastAsia="Times New Roman" w:hAnsi="Times New Roman"/>
          <w:sz w:val="21"/>
          <w:szCs w:val="21"/>
          <w:color w:val="auto"/>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Holdings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if financial statements for one or more subsequent fiscal quarters shall have become available, the Borrower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Interest Coverage Ratio will be calculated using an assumed interest rate as reasonably determined by the Borrower.</w:t>
      </w:r>
    </w:p>
    <w:p>
      <w:pPr>
        <w:spacing w:after="0" w:line="17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the avoidance of doubt, if the Borrower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Holdings or the Person subject to such Limited Condition Transaction, such baskets, tests or ratios will not be deemed to have been exceeded or failed to have been complied with as a result of such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084" w:right="339" w:bottom="1440" w:gutter="0" w:footer="0" w:header="0"/>
        </w:sectPr>
      </w:pPr>
    </w:p>
    <w:bookmarkStart w:id="186" w:name="page187"/>
    <w:bookmarkEnd w:id="186"/>
    <w:p>
      <w:pPr>
        <w:jc w:val="both"/>
        <w:spacing w:after="0" w:line="232" w:lineRule="auto"/>
        <w:rPr>
          <w:sz w:val="20"/>
          <w:szCs w:val="20"/>
          <w:color w:val="auto"/>
        </w:rPr>
      </w:pPr>
      <w:r>
        <w:rPr>
          <w:rFonts w:ascii="Times New Roman" w:cs="Times New Roman" w:eastAsia="Times New Roman" w:hAnsi="Times New Roman"/>
          <w:sz w:val="22"/>
          <w:szCs w:val="22"/>
          <w:color w:val="auto"/>
        </w:rPr>
        <w:t>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184" w:lineRule="exact"/>
        <w:rPr>
          <w:sz w:val="20"/>
          <w:szCs w:val="20"/>
          <w:color w:val="auto"/>
        </w:rPr>
      </w:pPr>
    </w:p>
    <w:p>
      <w:pPr>
        <w:jc w:val="both"/>
        <w:ind w:firstLine="1304"/>
        <w:spacing w:after="0" w:line="233" w:lineRule="auto"/>
        <w:tabs>
          <w:tab w:leader="none" w:pos="191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in the event an item of Indebtedness (or any portion thereof) is incurred or issued, any Lien is incurred or other transaction is undertaken in reliance on a ratio basket based exceptions, thresholds and baskets, such ratio(s) shall be calculated with respect to such incurrence, issuance or other transaction without giving effect to amounts being utilized under any other basket under the same covenant (other than a ratio basket based on the Interest Coverage Ratio, Consolidated First Lien Secured Leverage Ratio, Consolidated Total Senior Secured Leverage Ratio or Consolidated Total Leverage Ratio) on the same date. Each item of Indebtedness that is incurred or issued, each Lien incurred and each other transaction undertaken will be deemed to have been incurred, issued or taken first, to the extent available, pursuant to the relevant Interest Coverage Ratio, Consolidated First Lien Secured Leverage Ratio, Consolidated Total Senior Secured Leverage Ratio or Consolidated Total Leverage Ratio test.</w:t>
      </w:r>
    </w:p>
    <w:p>
      <w:pPr>
        <w:spacing w:after="0" w:line="179" w:lineRule="exact"/>
        <w:rPr>
          <w:rFonts w:ascii="Times New Roman" w:cs="Times New Roman" w:eastAsia="Times New Roman" w:hAnsi="Times New Roman"/>
          <w:sz w:val="22"/>
          <w:szCs w:val="22"/>
          <w:color w:val="auto"/>
        </w:rPr>
      </w:pPr>
    </w:p>
    <w:p>
      <w:pPr>
        <w:jc w:val="both"/>
        <w:ind w:firstLine="1304"/>
        <w:spacing w:after="0" w:line="232" w:lineRule="auto"/>
        <w:tabs>
          <w:tab w:leader="none" w:pos="180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anything to the contrary herein, (i) in the event an item of Indebtedness (or any portion thereof) is incurred or issued, any Lien is incurred or other transaction is undertaken in reliance on a ratio basket based on an Interest Coverage Ratio, Consolidated First Lien Secured Leverage Ratio, Consolidated Total Senior Secured Leverage Ratio or Consolidated Total Leverage Ratio, such ratio(s) shall be calculated without regard to the incurrence of any Revolving Credit Loan or Letter of Credit Incurred or issued, as applicable, immediately prior to or in connection therewith; and (ii) any calculation or measure that is determined with reference to Holdings’ financial statements (including Consolidated EBITDA, Consolidated Interest Expense, Consolidated Net Income, Interest Coverage Ratio, Consolidated First Lien Secured Leverage Ratio, Consolidated Total Senior Secured Leverage Ratio and Consolidated Total Leverage Ratio) may be determined with reference to the financial statements of a Parent Entity delivered in accordance with the requirements set forth in the penultimate paragraph of Section 6.01.</w:t>
      </w:r>
    </w:p>
    <w:p>
      <w:pPr>
        <w:spacing w:after="0" w:line="187" w:lineRule="exact"/>
        <w:rPr>
          <w:rFonts w:ascii="Times New Roman" w:cs="Times New Roman" w:eastAsia="Times New Roman" w:hAnsi="Times New Roman"/>
          <w:sz w:val="20"/>
          <w:szCs w:val="20"/>
          <w:color w:val="auto"/>
        </w:rPr>
      </w:pPr>
    </w:p>
    <w:p>
      <w:pPr>
        <w:jc w:val="both"/>
        <w:ind w:firstLine="1304"/>
        <w:spacing w:after="0" w:line="233" w:lineRule="auto"/>
        <w:tabs>
          <w:tab w:leader="none" w:pos="188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making the computations referred to above, any Investments, acquisitions, dispositions, mergers, consolidations, operational changes, business expansions and disposed or discontinued operations that have been made by Holdings or any of its Restricted Subsidiaries, during the reference period or subsequent to the reference period and on or prior to or simultaneously with the date of such computation shall be calculated (other than for the purposes of the Financial Covenant or Applicable Rate) on a pro forma basis assuming that all such Investments, acquisitions, dispositions, mergers, consolidations, operational changes, business expansions and disposed or discontinued operations (and the change in any associated fixed charge obligations and the change in Consolidated EBITDA resulting therefrom) had occurred on the first day of the reference period. If since the beginning of such period any Person that subsequently became a Restricted Subsidiary or was merged with or into Holdings or any of its Restricted Subsidiaries since the beginning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084" w:right="339" w:bottom="1440" w:gutter="0" w:footer="0" w:header="0"/>
        </w:sectPr>
      </w:pPr>
    </w:p>
    <w:bookmarkStart w:id="187" w:name="page188"/>
    <w:bookmarkEnd w:id="187"/>
    <w:p>
      <w:pPr>
        <w:jc w:val="both"/>
        <w:spacing w:after="0" w:line="239" w:lineRule="auto"/>
        <w:rPr>
          <w:sz w:val="20"/>
          <w:szCs w:val="20"/>
          <w:color w:val="auto"/>
        </w:rPr>
      </w:pPr>
      <w:r>
        <w:rPr>
          <w:rFonts w:ascii="Times New Roman" w:cs="Times New Roman" w:eastAsia="Times New Roman" w:hAnsi="Times New Roman"/>
          <w:sz w:val="22"/>
          <w:szCs w:val="22"/>
          <w:color w:val="auto"/>
        </w:rPr>
        <w:t>of such period shall have made any Investment, acquisition, disposition, merger, consolidation, operational change, business expansion or disposed or discontinued operation that would have required adjustment pursuant to this definition, then the applicable computations shall be calculated giving pro forma effect thereto for such period as if such Investment, acquisition, disposition, merger, consolidation or disposed operation had occurred at the beginning of the applicable reference period.</w:t>
      </w:r>
    </w:p>
    <w:p>
      <w:pPr>
        <w:spacing w:after="0" w:line="180" w:lineRule="exact"/>
        <w:rPr>
          <w:sz w:val="20"/>
          <w:szCs w:val="20"/>
          <w:color w:val="auto"/>
        </w:rPr>
      </w:pPr>
    </w:p>
    <w:p>
      <w:pPr>
        <w:jc w:val="both"/>
        <w:ind w:firstLine="1304"/>
        <w:spacing w:after="0" w:line="231" w:lineRule="auto"/>
        <w:tabs>
          <w:tab w:leader="none" w:pos="184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whenever pro forma effect is to be given to a transaction (including the Transactions), the pro forma calculations shall be made in good faith by a responsible financial or chief accounting officer of Holdings (and may include, for the avoidance of doubt, cost savings, operating expense reductions and synergies resulting from such transaction which is being given pro forma effect, subject to and without duplication of the applicable limitations and other terms of the definition of Consolidated EBITDA). If any Indebtedness bears a floating rate of interest and is being given pro forma effect), the interest on such Indebtedness shall be calculated as if the rate in effect on the date such Indebtedness was incurred had been the applicable rate for the reference period (taking into account any Hedging Obligations applicable to such Indebtedness).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computations referred to in the preceding paragraphs, interest on any Indebtedness under a 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may designate.</w:t>
      </w:r>
    </w:p>
    <w:p>
      <w:pPr>
        <w:spacing w:after="0" w:line="182"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 xml:space="preserve">Section 1.10 </w:t>
      </w:r>
      <w:r>
        <w:rPr>
          <w:rFonts w:ascii="Times New Roman" w:cs="Times New Roman" w:eastAsia="Times New Roman" w:hAnsi="Times New Roman"/>
          <w:sz w:val="21"/>
          <w:szCs w:val="21"/>
          <w:u w:val="single" w:color="auto"/>
          <w:color w:val="auto"/>
        </w:rPr>
        <w:t>Interest Rates</w:t>
      </w:r>
      <w:r>
        <w:rPr>
          <w:rFonts w:ascii="Times New Roman" w:cs="Times New Roman" w:eastAsia="Times New Roman" w:hAnsi="Times New Roman"/>
          <w:sz w:val="21"/>
          <w:szCs w:val="21"/>
          <w:color w:val="auto"/>
        </w:rPr>
        <w:t>. The Administrative Agent does not warrant or accept any responsibility for, and shall not have any liability with respect to, (a) the continuation of, administration of, submission of, calculation of or any other matter related to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Adjusted Term SOFR, any alternative, successor or replacement rate (including any Benchmark Replacement) or any relevant adjustments thereto, in each case, in a manner adverse to the Borrower, other than, in each case, to the extent of the Administrative Agent’s gross negligence, bad faith or willful misconduct as determined by a court of competent jurisdiction in a final and non-appealable decision. The Administrative Agent may select information sources or services in its reasonable discretion to ascertain Base Rate, the Term SOFR Reference Rate, Term SOFR, Adjusted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except, in each case to the extent of the Administrative Agent’s gross negligence, bad faith or willful misconduct as determined by a court of</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084" w:right="339" w:bottom="1440" w:gutter="0" w:footer="0" w:header="0"/>
        </w:sectPr>
      </w:pPr>
    </w:p>
    <w:bookmarkStart w:id="188" w:name="page189"/>
    <w:bookmarkEnd w:id="188"/>
    <w:p>
      <w:pPr>
        <w:jc w:val="both"/>
        <w:spacing w:after="0" w:line="258" w:lineRule="auto"/>
        <w:rPr>
          <w:sz w:val="20"/>
          <w:szCs w:val="20"/>
          <w:color w:val="auto"/>
        </w:rPr>
      </w:pPr>
      <w:r>
        <w:rPr>
          <w:rFonts w:ascii="Times New Roman" w:cs="Times New Roman" w:eastAsia="Times New Roman" w:hAnsi="Times New Roman"/>
          <w:sz w:val="22"/>
          <w:szCs w:val="22"/>
          <w:color w:val="auto"/>
        </w:rPr>
        <w:t>competent jurisdiction in a final and non-appealable decision. Nothing in this Section shall constitute a representation or warranty by Holdings or any of its Restricted Subsidiaries nor can it constitute the basis of any Default or Event of Default.</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7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10"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u w:val="single" w:color="auto"/>
          <w:color w:val="auto"/>
        </w:rPr>
        <w:t>The Commitments and Credit Extensions</w:t>
      </w:r>
    </w:p>
    <w:p>
      <w:pPr>
        <w:spacing w:after="0" w:line="20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The Loans</w:t>
      </w:r>
    </w:p>
    <w:p>
      <w:pPr>
        <w:spacing w:after="0" w:line="206" w:lineRule="exact"/>
        <w:rPr>
          <w:sz w:val="20"/>
          <w:szCs w:val="20"/>
          <w:color w:val="auto"/>
        </w:rPr>
      </w:pPr>
    </w:p>
    <w:p>
      <w:pPr>
        <w:ind w:left="1760" w:hanging="456"/>
        <w:spacing w:after="0"/>
        <w:tabs>
          <w:tab w:leader="none" w:pos="17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Initial Term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395"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each Lender with an Initial Term Commitment as set forth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xml:space="preserve"> severally agrees to make to the Borrower a single loan denominated in Dollars in a principal amount equal to such Lender’s Initial Term Commitment on the Closing Date.</w:t>
      </w:r>
    </w:p>
    <w:p>
      <w:pPr>
        <w:spacing w:after="0" w:line="173" w:lineRule="exact"/>
        <w:rPr>
          <w:rFonts w:ascii="Times New Roman" w:cs="Times New Roman" w:eastAsia="Times New Roman" w:hAnsi="Times New Roman"/>
          <w:sz w:val="22"/>
          <w:szCs w:val="22"/>
          <w:color w:val="auto"/>
        </w:rPr>
      </w:pPr>
    </w:p>
    <w:p>
      <w:pPr>
        <w:jc w:val="both"/>
        <w:ind w:left="660" w:firstLine="1292"/>
        <w:spacing w:after="0" w:line="255" w:lineRule="auto"/>
        <w:tabs>
          <w:tab w:leader="none" w:pos="2571"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Initial Term Loans made pursuant to </w:t>
      </w:r>
      <w:r>
        <w:rPr>
          <w:rFonts w:ascii="Times New Roman" w:cs="Times New Roman" w:eastAsia="Times New Roman" w:hAnsi="Times New Roman"/>
          <w:sz w:val="21"/>
          <w:szCs w:val="21"/>
          <w:u w:val="single" w:color="auto"/>
          <w:color w:val="auto"/>
        </w:rPr>
        <w:t>Section 2.01(a)(i)</w:t>
      </w:r>
      <w:r>
        <w:rPr>
          <w:rFonts w:ascii="Times New Roman" w:cs="Times New Roman" w:eastAsia="Times New Roman" w:hAnsi="Times New Roman"/>
          <w:sz w:val="21"/>
          <w:szCs w:val="21"/>
          <w:color w:val="auto"/>
        </w:rPr>
        <w:t xml:space="preserve"> on the Closing Date shall be deemed to constitute one Class of Loans for all purposes hereunder. Amounts borrowed under this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and repaid or prepaid may not be reborrowed. Initial Term Loans may be Base Rate Loans or SOFR Loans, as further provided herein.</w:t>
      </w:r>
    </w:p>
    <w:p>
      <w:pPr>
        <w:spacing w:after="0" w:line="161" w:lineRule="exact"/>
        <w:rPr>
          <w:rFonts w:ascii="Times New Roman" w:cs="Times New Roman" w:eastAsia="Times New Roman" w:hAnsi="Times New Roman"/>
          <w:sz w:val="21"/>
          <w:szCs w:val="21"/>
          <w:color w:val="auto"/>
        </w:rPr>
      </w:pPr>
    </w:p>
    <w:p>
      <w:pPr>
        <w:jc w:val="both"/>
        <w:ind w:left="660" w:firstLine="644"/>
        <w:spacing w:after="0" w:line="235" w:lineRule="auto"/>
        <w:tabs>
          <w:tab w:leader="none" w:pos="188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Revolving Credit Borrowings</w:t>
      </w:r>
      <w:r>
        <w:rPr>
          <w:rFonts w:ascii="Times New Roman" w:cs="Times New Roman" w:eastAsia="Times New Roman" w:hAnsi="Times New Roman"/>
          <w:sz w:val="22"/>
          <w:szCs w:val="22"/>
          <w:color w:val="auto"/>
        </w:rPr>
        <w:t xml:space="preserve">. Subject to the terms and conditions set forth herein, each Revolving Credit Lender severally agrees to make (or cause its Applicable Lending Office to make) Revolving Credit Loans from time to time during the Availability Period in Dollars in an aggregate principal amount that will not result in such Lender’s Revolving Credit Exposure exceeding such Lender’s Revolving Credit Commitment. Within the limits of each Lender’s Revolving Credit Commitment, and subject to the other terms and conditions hereof, the Borrower may borrow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Revolving Credit Loans may be Base Rate Loans or SOFR Loans, as further provided herein.</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Borrowings, Conversions and Continuations of Loans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4" w:lineRule="auto"/>
        <w:tabs>
          <w:tab w:leader="none" w:pos="182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Term Borrowing, each Revolving Credit Borrowing, each conversion of Loans from one Type to the other, and each continuation of SOFR Loans shall be made upon the Borrower’s irrevocable notice, on behalf of the Borrower, to the Administrative Agent, which may be given by telephone. Each such notice must be received by the Administrative Agent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 in the case of a SOFR Loan, not later than 1:00 p.m., Local Time, three</w:t>
      </w:r>
    </w:p>
    <w:p>
      <w:pPr>
        <w:jc w:val="both"/>
        <w:ind w:firstLine="8"/>
        <w:spacing w:after="0" w:line="247" w:lineRule="auto"/>
        <w:tabs>
          <w:tab w:leader="none" w:pos="30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before the date of the proposed Borrowing (or, in the case of Initial Term Loans to be borrowed on the Closing Date, one (1) Business Day before the proposed Borrowing), or (ii) in the case of a Base Rate Loan or (if applicable) Daily SOFR Loans, not later than 11:00 a.m., Local Time, on same day of the proposed Borrowing. Each telephonic notice by the Borrower pursuant to this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must be confirmed promptly by hand delivery, telecopy or electronic transmission to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084" w:right="339" w:bottom="1440" w:gutter="0" w:footer="0" w:header="0"/>
        </w:sectPr>
      </w:pPr>
    </w:p>
    <w:bookmarkStart w:id="189" w:name="page190"/>
    <w:bookmarkEnd w:id="189"/>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Administrative Agent of a written Committed Loan Notice, appropriately completed and signed by a Responsible Officer of the Borrower. Each Borrowing of, conversion to or continuation of SOFR Loans or (if applicable) Daily SOFR Loans shall, in each case, be in a principal amount of the Borrowing Minimum or a whole multiple of the Borrowing Multiple in excess thereof. Except as provided in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each Borrowing of or conversion to Base Rate Loans shall be in a principal amount of the Borrowing Minimum or a whole multiple of the Borrowing Multiple in excess thereof. Each Committed Loan Notice (whether telephonic or written) shall specify (i) whether the Borrower are requesting a Term Borrowing, a Revolving Credit Borrowing, a conversion of Loans from one Type to the other, or a continuation of SOFR Loans, (ii) the requested date of the Borrowing, conversion or continuation, as the case may be (which shall be a Business Day), (iii) the Class and principal amount of Loans to be borrowed, converted or continued, (iv) the Type of Loans to be borrowed or to which existing Loans are to be converted, (v) if applicable, the duration of the Interest Period with respect thereto and (vi) the location and number of the Borrower’s account to which funds are to be disbursed, which shall comply with the requirements of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If the Borrower fails to specify a Type of Loan in a Committed Loan Notice or fail to give a timely notice requesting a conversion or continuation, then the applicable Loans shall be made or continued as, or converted to Base Rate Loans. Any such automatic conversion or continuation shall be effective as of the last day of the Interest Period then in effect with respect to the applicable SOFR Loans. If the Borrower requests a Borrowing of, conversion to, or continuation of SOFR Loans in any such Committed Loan Notice, but fail to specify an Interest Period, it will be deemed to have specified an Interest Period of one (1) month. For the avoidance of doubt, the Borrower and Lenders acknowledge and agree that any conversion or continuation of an existing Loan shall be deemed to be a continuation of that Loan with a converted interest rate methodology and not a new Loan.</w:t>
      </w:r>
    </w:p>
    <w:p>
      <w:pPr>
        <w:spacing w:after="0" w:line="180" w:lineRule="exact"/>
        <w:rPr>
          <w:sz w:val="20"/>
          <w:szCs w:val="20"/>
          <w:color w:val="auto"/>
        </w:rPr>
      </w:pPr>
    </w:p>
    <w:p>
      <w:pPr>
        <w:jc w:val="both"/>
        <w:ind w:firstLine="1304"/>
        <w:spacing w:after="0" w:line="232" w:lineRule="auto"/>
        <w:tabs>
          <w:tab w:leader="none" w:pos="194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or continuation described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In the case of each Borrowing, each Appropriate Lender shall make (or cause its Applicable Lending Office to make) the amount of its Loan available to the Administrative Agent by wire transfer in immediately available funds at the Administrative Agent’s Office not later than 1:00 p.m., Local Time on the Business Day specified in the applicable Committed Loan Notice. Upon satisfaction of the applicable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(and, if such Borrowing is the initial Credit Extension,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Administrative Agent shall make all funds so received available to the Borrower designated in the Committed Loan Notice in like funds as received by the Administrative Agent either by (i) crediting the account of the Borrower maintained with the Administrative Agent and designated by the Borrower in the Committed Loan Notice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on the date the Committed Loan Notice with respect to such Borrowing is given by the Borrower, there are L/C Borrowings outstanding, then the proceeds of such Borrowing shall be applied first, to the payment in full of any such L/C Borrowings, and second, to the Borrower as provided above.</w:t>
      </w:r>
    </w:p>
    <w:p>
      <w:pPr>
        <w:spacing w:after="0" w:line="179"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6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herein, a SOFR Loan may be continued or converted only on the last day of an Interest Period for such SOFR Loan unless the Borrower pay the amount due, if any,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in connection therewith. If an Event of Default has occurred and is continuing and, the Administrative Agent, at the request of the Required Lenders (or, solely with respect to the Revolving Credit Facility, at the request of the Required Revolving Credit Facility Lenders), so notifies the Borrower, then so long as such Event of Default is continuing: (i) no Loans may be converted to or continued as SOFR Loans, (ii) no outstanding Loans may be continued for 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084" w:right="339" w:bottom="1440" w:gutter="0" w:footer="0" w:header="0"/>
        </w:sectPr>
      </w:pPr>
    </w:p>
    <w:bookmarkStart w:id="190" w:name="page191"/>
    <w:bookmarkEnd w:id="190"/>
    <w:p>
      <w:pPr>
        <w:ind w:right="20"/>
        <w:spacing w:after="0" w:line="258" w:lineRule="auto"/>
        <w:rPr>
          <w:sz w:val="20"/>
          <w:szCs w:val="20"/>
          <w:color w:val="auto"/>
        </w:rPr>
      </w:pPr>
      <w:r>
        <w:rPr>
          <w:rFonts w:ascii="Times New Roman" w:cs="Times New Roman" w:eastAsia="Times New Roman" w:hAnsi="Times New Roman"/>
          <w:sz w:val="22"/>
          <w:szCs w:val="22"/>
          <w:color w:val="auto"/>
        </w:rPr>
        <w:t>Interest Period of more than one month’s duration and (iii) unless repaid, each SOFR Loan shall be converted to a Base Rate Loan at the end of the Interest Period applicable thereto.</w:t>
      </w:r>
    </w:p>
    <w:p>
      <w:pPr>
        <w:spacing w:after="0" w:line="158" w:lineRule="exact"/>
        <w:rPr>
          <w:sz w:val="20"/>
          <w:szCs w:val="20"/>
          <w:color w:val="auto"/>
        </w:rPr>
      </w:pPr>
    </w:p>
    <w:p>
      <w:pPr>
        <w:jc w:val="both"/>
        <w:ind w:right="20" w:firstLine="1304"/>
        <w:spacing w:after="0" w:line="244" w:lineRule="auto"/>
        <w:tabs>
          <w:tab w:leader="none" w:pos="178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Borrower and the Lenders of the interest rate applicable to any Interest Period for SOFR Loans upon determination of such interest rate. The determination of Adjusted Term SOFR by the Administrative Agent shall be conclusive in the absence of manifest error.</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29"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to the contrary notwithstanding, after giving effect to all Term Borrowings and Revolving Credit Borrowings, all conversions of Term Loans and Revolving Credit Loans from one Type to the other, and all continuations of Term Loans and Revolving Credit Loans as the same Type, there shall not be more than fifteen</w:t>
      </w:r>
    </w:p>
    <w:p>
      <w:pPr>
        <w:spacing w:after="0" w:line="2"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Periods in effect at any time for all Borrowings of SOFR Loans.</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760" w:hanging="456"/>
        <w:spacing w:after="0"/>
        <w:tabs>
          <w:tab w:leader="none" w:pos="17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Letter of Credit Commitments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36" w:lineRule="auto"/>
        <w:tabs>
          <w:tab w:leader="none" w:pos="174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Subject to the terms and conditions set forth herein, (1) each L/C Issuer agrees, in reliance upon the agreements of the Revolving Credit Lenders set forth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0"/>
          <w:szCs w:val="20"/>
          <w:color w:val="auto"/>
        </w:rPr>
        <w:t>, (x) from time to time on any Business Day during the Availability Period for the Revolving Credit Facility, to issue Letters of Credit denominated in Dollars for the account of the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any Letter of Credit may be for the benefit of any Subsidiary of the Borrower) and to amend or extend Letters of Credit previously issued by it, in accordance with </w:t>
      </w:r>
      <w:r>
        <w:rPr>
          <w:rFonts w:ascii="Times New Roman" w:cs="Times New Roman" w:eastAsia="Times New Roman" w:hAnsi="Times New Roman"/>
          <w:sz w:val="21"/>
          <w:szCs w:val="21"/>
          <w:u w:val="single" w:color="auto"/>
          <w:color w:val="auto"/>
        </w:rPr>
        <w:t>Section 2.03(b)</w:t>
      </w:r>
      <w:r>
        <w:rPr>
          <w:rFonts w:ascii="Times New Roman" w:cs="Times New Roman" w:eastAsia="Times New Roman" w:hAnsi="Times New Roman"/>
          <w:sz w:val="20"/>
          <w:szCs w:val="20"/>
          <w:color w:val="auto"/>
        </w:rPr>
        <w:t xml:space="preserve">, and (y) to honor drafts under the Letters of Credit and (2) the Revolving Credit Lenders severally agree to participate in Letters of Credit issued pursuant to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no L/C Issuer shall be obligated to make any L/C Credit Extension with respect to any Letter of Credit, and, except in the case of the following </w:t>
      </w:r>
      <w:r>
        <w:rPr>
          <w:rFonts w:ascii="Times New Roman" w:cs="Times New Roman" w:eastAsia="Times New Roman" w:hAnsi="Times New Roman"/>
          <w:sz w:val="21"/>
          <w:szCs w:val="21"/>
          <w:u w:val="single" w:color="auto"/>
          <w:color w:val="auto"/>
        </w:rPr>
        <w:t>clause (w)</w:t>
      </w:r>
      <w:r>
        <w:rPr>
          <w:rFonts w:ascii="Times New Roman" w:cs="Times New Roman" w:eastAsia="Times New Roman" w:hAnsi="Times New Roman"/>
          <w:sz w:val="20"/>
          <w:szCs w:val="20"/>
          <w:color w:val="auto"/>
        </w:rPr>
        <w:t>, no Lender shall be obligated to participate in any Letter of Credit if immediately after giving effect to such L/C Credit Extension, (w) the aggregate L/C Exposure in respect of Letters of Credit issued by such L/C Issuer would exceed such L/C Issuer’s L/C Issuer Sublimit, (x) the aggregate L/C Exposure would exceed the Letter of Credit Sublimit or (y) the Revolving Credit Exposure of any Lender would exceed such Lender’s Revolving Credit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75" w:lineRule="exact"/>
        <w:rPr>
          <w:rFonts w:ascii="Times New Roman" w:cs="Times New Roman" w:eastAsia="Times New Roman" w:hAnsi="Times New Roman"/>
          <w:sz w:val="22"/>
          <w:szCs w:val="22"/>
          <w:color w:val="auto"/>
        </w:rPr>
      </w:pPr>
    </w:p>
    <w:p>
      <w:pPr>
        <w:ind w:firstLine="1304"/>
        <w:spacing w:after="0" w:line="276" w:lineRule="auto"/>
        <w:tabs>
          <w:tab w:leader="none" w:pos="178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L/C Issuer shall be under no obligation to issue any Letter of Credit (and, in the case of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0"/>
          <w:szCs w:val="20"/>
          <w:color w:val="auto"/>
        </w:rPr>
        <w:t>, shall not issue any Letter of Credit) if:</w:t>
      </w:r>
    </w:p>
    <w:p>
      <w:pPr>
        <w:spacing w:after="0" w:line="146" w:lineRule="exact"/>
        <w:rPr>
          <w:sz w:val="20"/>
          <w:szCs w:val="20"/>
          <w:color w:val="auto"/>
        </w:rPr>
      </w:pPr>
    </w:p>
    <w:p>
      <w:pPr>
        <w:jc w:val="both"/>
        <w:ind w:firstLine="1304"/>
        <w:spacing w:after="0" w:line="233" w:lineRule="auto"/>
        <w:tabs>
          <w:tab w:leader="none" w:pos="165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81" w:lineRule="exact"/>
        <w:rPr>
          <w:rFonts w:ascii="Times New Roman" w:cs="Times New Roman" w:eastAsia="Times New Roman" w:hAnsi="Times New Roman"/>
          <w:sz w:val="22"/>
          <w:szCs w:val="22"/>
          <w:color w:val="auto"/>
        </w:rPr>
      </w:pPr>
    </w:p>
    <w:p>
      <w:pPr>
        <w:ind w:firstLine="1304"/>
        <w:spacing w:after="0" w:line="258" w:lineRule="auto"/>
        <w:tabs>
          <w:tab w:leader="none" w:pos="163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 the expiry date of such requested Letter of Credit would occur more than twelve months after the date of issuance or last renewal, unless the relevant L/C Issuer has approved such expiry date;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084" w:right="339" w:bottom="1440" w:gutter="0" w:footer="0" w:header="0"/>
        </w:sectPr>
      </w:pPr>
    </w:p>
    <w:bookmarkStart w:id="191" w:name="page192"/>
    <w:bookmarkEnd w:id="191"/>
    <w:p>
      <w:pPr>
        <w:jc w:val="both"/>
        <w:ind w:firstLine="1304"/>
        <w:spacing w:after="0" w:line="244" w:lineRule="auto"/>
        <w:tabs>
          <w:tab w:leader="none" w:pos="166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such requested Letter of Credit would occur after the Letter of Credit Expiration Date, unless the relevant L/C Issuer has approved such expiry date (it being understood that the participations of the Revolving Credit Lenders in any undrawn Letter of Credit shall in any event terminate on the Letter of Credit Expiration Date);</w:t>
      </w:r>
    </w:p>
    <w:p>
      <w:pPr>
        <w:spacing w:after="0" w:line="173"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such Letter of Credit would violate any Laws binding upon such L/C Issuer;</w:t>
      </w:r>
    </w:p>
    <w:p>
      <w:pPr>
        <w:spacing w:after="0" w:line="206"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would violate any policies or procedures of such L/C Issuer;</w:t>
      </w:r>
    </w:p>
    <w:p>
      <w:pPr>
        <w:spacing w:after="0" w:line="206" w:lineRule="exact"/>
        <w:rPr>
          <w:rFonts w:ascii="Times New Roman" w:cs="Times New Roman" w:eastAsia="Times New Roman" w:hAnsi="Times New Roman"/>
          <w:sz w:val="22"/>
          <w:szCs w:val="22"/>
          <w:color w:val="auto"/>
        </w:rPr>
      </w:pPr>
    </w:p>
    <w:p>
      <w:pPr>
        <w:ind w:right="20" w:firstLine="1304"/>
        <w:spacing w:after="0" w:line="245" w:lineRule="auto"/>
        <w:tabs>
          <w:tab w:leader="none" w:pos="162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face amount of such Letter of Credit (together with all other Letters of Credit issued by such L/C Issuer and outstanding at such time) shall exceed the L/C Issuer Sublimit applicable to such L/C Issuer; or</w:t>
      </w:r>
    </w:p>
    <w:p>
      <w:pPr>
        <w:spacing w:after="0" w:line="172"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is not a standby letter of credit.</w:t>
      </w:r>
    </w:p>
    <w:p>
      <w:pPr>
        <w:spacing w:after="0" w:line="211" w:lineRule="exact"/>
        <w:rPr>
          <w:sz w:val="20"/>
          <w:szCs w:val="20"/>
          <w:color w:val="auto"/>
        </w:rPr>
      </w:pPr>
    </w:p>
    <w:p>
      <w:pPr>
        <w:jc w:val="both"/>
        <w:ind w:firstLine="1304"/>
        <w:spacing w:after="0" w:line="247" w:lineRule="auto"/>
        <w:tabs>
          <w:tab w:leader="none" w:pos="188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76" w:lineRule="exact"/>
        <w:rPr>
          <w:rFonts w:ascii="Times New Roman" w:cs="Times New Roman" w:eastAsia="Times New Roman" w:hAnsi="Times New Roman"/>
          <w:sz w:val="20"/>
          <w:szCs w:val="20"/>
          <w:color w:val="auto"/>
        </w:rPr>
      </w:pPr>
    </w:p>
    <w:p>
      <w:pPr>
        <w:ind w:right="160" w:firstLine="1304"/>
        <w:spacing w:after="0" w:line="245" w:lineRule="auto"/>
        <w:tabs>
          <w:tab w:leader="none" w:pos="182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Reporting</w:t>
      </w:r>
      <w:r>
        <w:rPr>
          <w:rFonts w:ascii="Times New Roman" w:cs="Times New Roman" w:eastAsia="Times New Roman" w:hAnsi="Times New Roman"/>
          <w:sz w:val="22"/>
          <w:szCs w:val="22"/>
          <w:color w:val="auto"/>
        </w:rPr>
        <w:t>. On a monthly basis, each L/C Issuer shall deliver to the Administrative Agent a complete list of outstanding Letters of Credit issued by such L/C Issuer.</w:t>
      </w:r>
    </w:p>
    <w:p>
      <w:pPr>
        <w:spacing w:after="0" w:line="172" w:lineRule="exact"/>
        <w:rPr>
          <w:sz w:val="20"/>
          <w:szCs w:val="20"/>
          <w:color w:val="auto"/>
        </w:rPr>
      </w:pPr>
    </w:p>
    <w:p>
      <w:pPr>
        <w:ind w:left="1780" w:hanging="476"/>
        <w:spacing w:after="0"/>
        <w:tabs>
          <w:tab w:leader="none" w:pos="17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Issuance and Amendment of Letters of Credit; Auto Extension Letters of Credit</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both"/>
        <w:ind w:firstLine="1304"/>
        <w:spacing w:after="0"/>
        <w:tabs>
          <w:tab w:leader="none" w:pos="170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Borrower hand delivered or telecopied (or transmitted by electronic communication, if arrangements for doing so have been approved by the L/C Issuer) to the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1:00 p.m., Local Time,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If requested by the L/C Issuer, the Borrower also shall submit a letter of credit application on the L/C Issuer’s standard form in connection with any request for a Letter of Credit.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9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592"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Borrower or enter into the applicable amendment, as the case may be. Immediately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084" w:right="339" w:bottom="1440" w:gutter="0" w:footer="0" w:header="0"/>
        </w:sectPr>
      </w:pPr>
    </w:p>
    <w:bookmarkStart w:id="192" w:name="page193"/>
    <w:bookmarkEnd w:id="192"/>
    <w:p>
      <w:pPr>
        <w:jc w:val="both"/>
        <w:spacing w:after="0" w:line="247" w:lineRule="auto"/>
        <w:rPr>
          <w:sz w:val="20"/>
          <w:szCs w:val="20"/>
          <w:color w:val="auto"/>
        </w:rPr>
      </w:pPr>
      <w:r>
        <w:rPr>
          <w:rFonts w:ascii="Times New Roman" w:cs="Times New Roman" w:eastAsia="Times New Roman" w:hAnsi="Times New Roman"/>
          <w:sz w:val="20"/>
          <w:szCs w:val="20"/>
          <w:color w:val="auto"/>
        </w:rPr>
        <w:t>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w:t>
      </w:r>
    </w:p>
    <w:p>
      <w:pPr>
        <w:spacing w:after="0" w:line="181" w:lineRule="exact"/>
        <w:rPr>
          <w:sz w:val="20"/>
          <w:szCs w:val="20"/>
          <w:color w:val="auto"/>
        </w:rPr>
      </w:pPr>
    </w:p>
    <w:p>
      <w:pPr>
        <w:jc w:val="both"/>
        <w:ind w:firstLine="1304"/>
        <w:spacing w:after="0" w:line="245" w:lineRule="auto"/>
        <w:tabs>
          <w:tab w:leader="none" w:pos="1647"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standby Letters of Credit only, if the Borrower so requests in any applicable Letter of Credit Application, the relevant L/C Issuer shall agree to issue a Letter of Credit that has automatic extension provisions (each, an “</w:t>
      </w:r>
      <w:r>
        <w:rPr>
          <w:rFonts w:ascii="Times New Roman" w:cs="Times New Roman" w:eastAsia="Times New Roman" w:hAnsi="Times New Roman"/>
          <w:sz w:val="21"/>
          <w:szCs w:val="21"/>
          <w:u w:val="single" w:color="auto"/>
          <w:color w:val="auto"/>
        </w:rPr>
        <w:t>Auto-Extension Letter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that any such Auto-Extension Letter of Credit must permit the relevant L/C Issuer to prevent any such extension at least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1"/>
          <w:szCs w:val="21"/>
          <w:u w:val="single" w:color="auto"/>
          <w:color w:val="auto"/>
        </w:rPr>
        <w:t>Non-Extension Notice Date</w:t>
      </w:r>
      <w:r>
        <w:rPr>
          <w:rFonts w:ascii="Times New Roman" w:cs="Times New Roman" w:eastAsia="Times New Roman" w:hAnsi="Times New Roman"/>
          <w:sz w:val="19"/>
          <w:szCs w:val="19"/>
          <w:color w:val="auto"/>
        </w:rPr>
        <w:t xml:space="preserve">”) in each such twelve-month period to be agreed upon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Letter of Credit Expiration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9"/>
          <w:szCs w:val="19"/>
          <w:color w:val="auto"/>
        </w:rPr>
        <w:t xml:space="preserve"> that the relevant L/C Issuer shall not permit any such extension if (A) the relevant L/C Issuer has determined that it would have no obligation at such time to issue such Letter of Credit in its extended form under the terms hereof (by reason of the provisions of </w:t>
      </w:r>
      <w:r>
        <w:rPr>
          <w:rFonts w:ascii="Times New Roman" w:cs="Times New Roman" w:eastAsia="Times New Roman" w:hAnsi="Times New Roman"/>
          <w:sz w:val="21"/>
          <w:szCs w:val="21"/>
          <w:u w:val="single" w:color="auto"/>
          <w:color w:val="auto"/>
        </w:rPr>
        <w:t>Section 2.03(a)(ii)</w:t>
      </w:r>
      <w:r>
        <w:rPr>
          <w:rFonts w:ascii="Times New Roman" w:cs="Times New Roman" w:eastAsia="Times New Roman" w:hAnsi="Times New Roman"/>
          <w:sz w:val="19"/>
          <w:szCs w:val="19"/>
          <w:color w:val="auto"/>
        </w:rPr>
        <w:t xml:space="preserve"> or otherwise), or (B) it has received notice (which may be by telephone, followed promptly in writing, or in writing) on or before the day that is five (5) Business Days before the Non-Extension Notice Date from the Administrative Agent or any Revolving Credit Lender, as applicable, or the Borrower that one or more of the applicable conditions specified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19"/>
          <w:szCs w:val="19"/>
          <w:color w:val="auto"/>
        </w:rPr>
        <w:t xml:space="preserve"> is not then satisfied.</w:t>
      </w: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8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 Promptly after its delivery of any Letter of Credit or any amendment to a Letter of Credit to an advising bank with respect thereto or to the beneficiary thereof, the relevant L/C Issuer will also deliver to the Borrower and the Administrative Agent a true and complete copy of such Letter of Credit or amendment.</w:t>
      </w:r>
    </w:p>
    <w:p>
      <w:pPr>
        <w:spacing w:after="0" w:line="163" w:lineRule="exact"/>
        <w:rPr>
          <w:sz w:val="20"/>
          <w:szCs w:val="20"/>
          <w:color w:val="auto"/>
        </w:rPr>
      </w:pPr>
    </w:p>
    <w:p>
      <w:pPr>
        <w:ind w:left="1760" w:hanging="456"/>
        <w:spacing w:after="0"/>
        <w:tabs>
          <w:tab w:leader="none" w:pos="1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Drawings and Reimbursements; Funding of Participations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39" w:lineRule="auto"/>
        <w:tabs>
          <w:tab w:leader="none" w:pos="173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relevant L/C Issuer shall notify promptly the Borrower and the Administrative Agent thereof. On the Business Day immediately following the Business Day on which the Borrower shall have received notice of any payment by an L/C Issuer under a Letter of Credit (or, if the Borrower shall have received such notice later than 1:00 p.m. on any Business Day, on the second succeeding Business Day) (such date of payment,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0"/>
          <w:szCs w:val="20"/>
          <w:color w:val="auto"/>
        </w:rPr>
        <w:t>”), the Borrower shall reimburse such L/C Issuer through the Administrative Agent in Dollars in an amount equal to the Dollar Equivalent of such drawing using the Exchange Rate in relation to Dollars in effect on the Honor Date. If the Borrower fails to so reimburse such L/C Issuer on the Honor Date (or if any such reimbursement payment is required to be refunded to the Borrower for any reason), then, in the case of each L/C Borrowing, the Administrative Agent shall promptly notify the applicable L/C Issuer and each Appropriate Lender of the Honor Date, the amount of the unreimbursed drawing in Dollars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0"/>
          <w:szCs w:val="20"/>
          <w:color w:val="auto"/>
        </w:rPr>
        <w:t xml:space="preserve">”), and the amount of such Appropriate Lender’s Applicable Percentage thereof. In the event that the Borrower does not reimburse the L/C Issuer on the Business Day following the date it receives notice of the Honor Date (or, if the Borrower shall have received such notice later than 1:00 p.m. on any Business Day, on the second succeeding Business Day), the Borrower shall be deemed to have requested a Revolving Credit Borrowing denominated in Dollars of Base Rate Loans to be disbursed on such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Revolving Credit Commitments, and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0"/>
          <w:szCs w:val="20"/>
          <w:color w:val="auto"/>
        </w:rPr>
        <w:t xml:space="preserve"> (other than the delivery of a Committed Loan Notice). Any notice given by an L/C Issuer or the Administrative Agent pursuant to this </w:t>
      </w:r>
      <w:r>
        <w:rPr>
          <w:rFonts w:ascii="Times New Roman" w:cs="Times New Roman" w:eastAsia="Times New Roman" w:hAnsi="Times New Roman"/>
          <w:sz w:val="21"/>
          <w:szCs w:val="21"/>
          <w:u w:val="single" w:color="auto"/>
          <w:color w:val="auto"/>
        </w:rPr>
        <w:t>Section 2.03(c)</w:t>
      </w:r>
    </w:p>
    <w:p>
      <w:pPr>
        <w:spacing w:after="0" w:line="10"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18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19"/>
          <w:szCs w:val="19"/>
          <w:color w:val="auto"/>
        </w:rPr>
        <w:t xml:space="preserve">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19"/>
          <w:szCs w:val="19"/>
          <w:color w:val="auto"/>
        </w:rPr>
        <w:t xml:space="preserve"> that the lack of such an immediate confirmation shall not affect</w:t>
      </w:r>
    </w:p>
    <w:p>
      <w:pPr>
        <w:spacing w:after="0" w:line="1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conclusiveness or binding effect of such notice. For the avoidance of doubt, if any drawing occurs under a Letter of Credit and such drawing is not reimbursed on the same day, such drawing shall, without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08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color w:val="auto"/>
        </w:rPr>
        <w:t>duplication, accrue interest at the rate applicable to Base Rate Loans under the Revolving Credit Facility until the date of reimbursement.</w:t>
      </w:r>
    </w:p>
    <w:p>
      <w:pPr>
        <w:spacing w:after="0" w:line="202" w:lineRule="exact"/>
        <w:rPr>
          <w:sz w:val="20"/>
          <w:szCs w:val="20"/>
          <w:color w:val="auto"/>
        </w:rPr>
      </w:pPr>
    </w:p>
    <w:p>
      <w:pPr>
        <w:jc w:val="both"/>
        <w:ind w:firstLine="1304"/>
        <w:spacing w:after="0" w:line="249" w:lineRule="auto"/>
        <w:tabs>
          <w:tab w:leader="none" w:pos="178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Lender (including any such Lender acting as an L/C Issuer) shall upon any notice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make funds available to the Administrative Agent in Dollars for the account of the relevant L/C Issuer at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Administrative Agent’s Office for payments in an amount equal to its Applicable Percentage of any Unreimbursed Amount in respect of a Letter of Credit not later than 1:00 p.m., New York City time, on the Business Day specified in such notice by the Administrative Agent, whereupon, subject to the provisions of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19"/>
          <w:szCs w:val="19"/>
          <w:color w:val="auto"/>
        </w:rPr>
        <w:t>, each Revolving Credit Lender that so makes funds available shall be deemed to have made a Base Rate Loan to the Borrower in such amount. The Administrative Agent shall remit the funds so received to the relevant L/C Issuer.</w:t>
      </w: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899"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(iii) With respect to any Unreimbursed Amount in respect of a Letter of Credit that is not fully refinanced by a Revolving Credit Borrowing of Base Rate Loans because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Borrower shall be deemed to have incurred from the relevant L/C Issuer an L/C Borrowing in Dollars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Times New Roman" w:cs="Times New Roman" w:eastAsia="Times New Roman" w:hAnsi="Times New Roman"/>
          <w:sz w:val="21"/>
          <w:szCs w:val="21"/>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47"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(iv) Until each Revolving Credit Lender funds its Revolving Credit Loan or L/C Advance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2.03(c)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reimburse the relevant L/C Issuer for any amount drawn under any Letter of Credit, interest in respect of such Revolving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Lender’s Applicable Percentage of such amount shall be solely for the account of the relevant L/C Issuer.</w:t>
      </w:r>
    </w:p>
    <w:p>
      <w:pPr>
        <w:spacing w:after="0" w:line="17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38"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(v) Each Revolving Credit Lender’s obligation to make Revolving Credit Loans or L/C Advances to reimburse an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19"/>
          <w:szCs w:val="19"/>
          <w:color w:val="auto"/>
        </w:rPr>
        <w:t>, shall be absolute and unconditional and shall not be affected by any circumstance, including (A) any setoff, counterclaim, recoupment, defense or other right which such Lender may have against the relevant L/C Issuer, a Borrower or any other Person for any reason whatsoever; (B) the occurrence or continuance of a Default; or</w:t>
      </w:r>
    </w:p>
    <w:p>
      <w:pPr>
        <w:ind w:left="340" w:hanging="332"/>
        <w:spacing w:after="0"/>
        <w:tabs>
          <w:tab w:leader="none" w:pos="34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occurrence, event or condition, whether or not similar to any of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each Revolving Credit Lender’s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obligation to make Revolving Credit Loans (but not L/C Advances)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(other than delivery by the Borrower of a Committed Loan Notice). No such making of an L/C Advance shall relieve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otherwise impair the obligation of the Borrower to reimburse the relevant L/C Issuer for the amount of any payment made by such L/C Issuer under any Letter of Credit, together with interest as provided herein.</w:t>
      </w:r>
    </w:p>
    <w:p>
      <w:pPr>
        <w:spacing w:after="0" w:line="195" w:lineRule="exact"/>
        <w:rPr>
          <w:sz w:val="20"/>
          <w:szCs w:val="20"/>
          <w:color w:val="auto"/>
        </w:rPr>
      </w:pPr>
    </w:p>
    <w:p>
      <w:pPr>
        <w:jc w:val="both"/>
        <w:ind w:firstLine="1304"/>
        <w:spacing w:after="0" w:line="247" w:lineRule="auto"/>
        <w:tabs>
          <w:tab w:leader="none" w:pos="163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1"/>
          <w:szCs w:val="21"/>
          <w:u w:val="single" w:color="auto"/>
          <w:color w:val="auto"/>
        </w:rPr>
        <w:t>Section 2.03(c)(ii)</w:t>
      </w:r>
      <w:r>
        <w:rPr>
          <w:rFonts w:ascii="Times New Roman" w:cs="Times New Roman" w:eastAsia="Times New Roman" w:hAnsi="Times New Roman"/>
          <w:sz w:val="19"/>
          <w:szCs w:val="19"/>
          <w:color w:val="auto"/>
        </w:rPr>
        <w:t>, such L/C Issuer shall be entitled to recover from such Lender (acting through the Administrative Agent), on demand,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such amount with interest thereon for the period from the date such payment is required to the date on which such payment is immediately available to such L/C Issuer at the greater of the Federal Funds Rate and a rate determined by the Administrative Agent in accordance with banking industry rules on interbank compensation. A certificate of the relevant L/C Issuer submitted to any Revolving Credit Lender (through the Administrative Agent) with respect to any amounts owing under this </w:t>
      </w:r>
      <w:r>
        <w:rPr>
          <w:rFonts w:ascii="Times New Roman" w:cs="Times New Roman" w:eastAsia="Times New Roman" w:hAnsi="Times New Roman"/>
          <w:sz w:val="21"/>
          <w:szCs w:val="21"/>
          <w:u w:val="single" w:color="auto"/>
          <w:color w:val="auto"/>
        </w:rPr>
        <w:t>Section 2.03(c)(vi)</w:t>
      </w:r>
      <w:r>
        <w:rPr>
          <w:rFonts w:ascii="Times New Roman" w:cs="Times New Roman" w:eastAsia="Times New Roman" w:hAnsi="Times New Roman"/>
          <w:sz w:val="19"/>
          <w:szCs w:val="19"/>
          <w:color w:val="auto"/>
        </w:rPr>
        <w:t xml:space="preserve"> shall be conclusive absent demonstrable error.</w:t>
      </w: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69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an L/C Issuer has made a payment under any Letter of Credit and has received from any Revolving Credit Lender such Lender’s L/C Advance in respect of such payment in accordance with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0"/>
          <w:szCs w:val="20"/>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089" w:right="339" w:bottom="1440" w:gutter="0" w:footer="0" w:header="0"/>
        </w:sectPr>
      </w:pPr>
    </w:p>
    <w:bookmarkStart w:id="194" w:name="page195"/>
    <w:bookmarkEnd w:id="194"/>
    <w:p>
      <w:pPr>
        <w:jc w:val="both"/>
        <w:spacing w:after="0" w:line="247" w:lineRule="auto"/>
        <w:rPr>
          <w:sz w:val="20"/>
          <w:szCs w:val="20"/>
          <w:color w:val="auto"/>
        </w:rPr>
      </w:pPr>
      <w:r>
        <w:rPr>
          <w:rFonts w:ascii="Times New Roman" w:cs="Times New Roman" w:eastAsia="Times New Roman" w:hAnsi="Times New Roman"/>
          <w:sz w:val="20"/>
          <w:szCs w:val="20"/>
          <w:color w:val="auto"/>
        </w:rPr>
        <w:t>distribute to each Revolving Credit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63" w:lineRule="exact"/>
        <w:rPr>
          <w:sz w:val="20"/>
          <w:szCs w:val="20"/>
          <w:color w:val="auto"/>
        </w:rPr>
      </w:pPr>
    </w:p>
    <w:p>
      <w:pPr>
        <w:jc w:val="both"/>
        <w:ind w:firstLine="1304"/>
        <w:spacing w:after="0" w:line="245" w:lineRule="auto"/>
        <w:tabs>
          <w:tab w:leader="none" w:pos="174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 L/C Issuer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0"/>
          <w:szCs w:val="20"/>
          <w:color w:val="auto"/>
        </w:rPr>
        <w:t xml:space="preserve"> (including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Federal Funds Rate.</w:t>
      </w:r>
    </w:p>
    <w:p>
      <w:pPr>
        <w:spacing w:after="0" w:line="166" w:lineRule="exact"/>
        <w:rPr>
          <w:sz w:val="20"/>
          <w:szCs w:val="20"/>
          <w:color w:val="auto"/>
        </w:rPr>
      </w:pPr>
    </w:p>
    <w:p>
      <w:pPr>
        <w:jc w:val="both"/>
        <w:ind w:firstLine="1304"/>
        <w:spacing w:after="0" w:line="261" w:lineRule="auto"/>
        <w:tabs>
          <w:tab w:leader="none" w:pos="1791"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57" w:lineRule="exact"/>
        <w:rPr>
          <w:rFonts w:ascii="Times New Roman" w:cs="Times New Roman" w:eastAsia="Times New Roman" w:hAnsi="Times New Roman"/>
          <w:sz w:val="21"/>
          <w:szCs w:val="21"/>
          <w:color w:val="auto"/>
        </w:rPr>
      </w:pPr>
    </w:p>
    <w:p>
      <w:pPr>
        <w:ind w:left="660" w:firstLine="725"/>
        <w:spacing w:after="0" w:line="258" w:lineRule="auto"/>
        <w:tabs>
          <w:tab w:leader="none" w:pos="188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this Agreement, or any other agreement or instrument relating thereto;</w:t>
      </w:r>
    </w:p>
    <w:p>
      <w:pPr>
        <w:spacing w:after="0" w:line="158" w:lineRule="exact"/>
        <w:rPr>
          <w:rFonts w:ascii="Times New Roman" w:cs="Times New Roman" w:eastAsia="Times New Roman" w:hAnsi="Times New Roman"/>
          <w:sz w:val="22"/>
          <w:szCs w:val="22"/>
          <w:color w:val="auto"/>
        </w:rPr>
      </w:pPr>
    </w:p>
    <w:p>
      <w:pPr>
        <w:jc w:val="both"/>
        <w:ind w:left="660" w:firstLine="725"/>
        <w:spacing w:after="0" w:line="238" w:lineRule="auto"/>
        <w:tabs>
          <w:tab w:leader="none" w:pos="188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63" w:lineRule="exact"/>
        <w:rPr>
          <w:rFonts w:ascii="Times New Roman" w:cs="Times New Roman" w:eastAsia="Times New Roman" w:hAnsi="Times New Roman"/>
          <w:sz w:val="22"/>
          <w:szCs w:val="22"/>
          <w:color w:val="auto"/>
        </w:rPr>
      </w:pPr>
    </w:p>
    <w:p>
      <w:pPr>
        <w:jc w:val="both"/>
        <w:ind w:left="660" w:firstLine="725"/>
        <w:spacing w:after="0" w:line="239" w:lineRule="auto"/>
        <w:tabs>
          <w:tab w:leader="none" w:pos="2065"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0" w:lineRule="exact"/>
        <w:rPr>
          <w:rFonts w:ascii="Times New Roman" w:cs="Times New Roman" w:eastAsia="Times New Roman" w:hAnsi="Times New Roman"/>
          <w:sz w:val="22"/>
          <w:szCs w:val="22"/>
          <w:color w:val="auto"/>
        </w:rPr>
      </w:pPr>
    </w:p>
    <w:p>
      <w:pPr>
        <w:jc w:val="both"/>
        <w:ind w:left="660" w:firstLine="725"/>
        <w:spacing w:after="0" w:line="251" w:lineRule="auto"/>
        <w:tabs>
          <w:tab w:leader="none" w:pos="2043"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68" w:lineRule="exact"/>
        <w:rPr>
          <w:rFonts w:ascii="Times New Roman" w:cs="Times New Roman" w:eastAsia="Times New Roman" w:hAnsi="Times New Roman"/>
          <w:sz w:val="21"/>
          <w:szCs w:val="21"/>
          <w:color w:val="auto"/>
        </w:rPr>
      </w:pPr>
    </w:p>
    <w:p>
      <w:pPr>
        <w:jc w:val="both"/>
        <w:ind w:left="660" w:firstLine="725"/>
        <w:spacing w:after="0" w:line="238" w:lineRule="auto"/>
        <w:tabs>
          <w:tab w:leader="none" w:pos="1968"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Collateral, or any release or amendment or waiver of or consent to departure from the Guaranty or any other guarantee, for all or any of the Secured Obligations of any Loan Party in respect of such Letter of Credit; or</w:t>
      </w:r>
    </w:p>
    <w:p>
      <w:pPr>
        <w:spacing w:after="0" w:line="178" w:lineRule="exact"/>
        <w:rPr>
          <w:rFonts w:ascii="Times New Roman" w:cs="Times New Roman" w:eastAsia="Times New Roman" w:hAnsi="Times New Roman"/>
          <w:sz w:val="22"/>
          <w:szCs w:val="22"/>
          <w:color w:val="auto"/>
        </w:rPr>
      </w:pPr>
    </w:p>
    <w:p>
      <w:pPr>
        <w:ind w:left="660" w:firstLine="725"/>
        <w:spacing w:after="0" w:line="282" w:lineRule="auto"/>
        <w:tabs>
          <w:tab w:leader="none" w:pos="1942"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 or happening whatsoever, whether or not similar to any of the foregoing, including any other circumstance that might otherwise constitute a defense available to, or a discharge of, any Loan Party;</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foregoing shall not excuse any L/C Issuer from liability to the Borrower to the extent of any direct damages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opposed to special, indirect, consequential or punitive damages, claims in respect of which are waived by the Borrower to the extent permitted by applicable Law) suffered by the Borrower that are caused by such L/C Issuer’s gross negligence or willful misconduct as determined by a court of competent jurisdiction when determining whether drafts and other documents presented under a Letter of Credit comply with the terms thereof.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089" w:right="339" w:bottom="1440" w:gutter="0" w:footer="0" w:header="0"/>
        </w:sectPr>
      </w:pPr>
    </w:p>
    <w:bookmarkStart w:id="195" w:name="page196"/>
    <w:bookmarkEnd w:id="195"/>
    <w:p>
      <w:pPr>
        <w:jc w:val="both"/>
        <w:ind w:firstLine="1304"/>
        <w:spacing w:after="0" w:line="231" w:lineRule="auto"/>
        <w:tabs>
          <w:tab w:leader="none" w:pos="184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L/C Issuers</w:t>
      </w:r>
      <w:r>
        <w:rPr>
          <w:rFonts w:ascii="Times New Roman" w:cs="Times New Roman" w:eastAsia="Times New Roman" w:hAnsi="Times New Roman"/>
          <w:sz w:val="22"/>
          <w:szCs w:val="22"/>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Required Lenders or the Required Revolving Credit Lenders, as applicable; (ii) any action taken or omitted in the absence of gross negligence or willful misconduct as determined by a court of competent jurisdiction;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caused by such L/C Issuer’s willful misconduct or gross negligence as determined by a court of competent jurisdiction or such L/C Issuer’s willful or grossly negligent failure as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7" w:lineRule="exact"/>
        <w:rPr>
          <w:rFonts w:ascii="Times New Roman" w:cs="Times New Roman" w:eastAsia="Times New Roman" w:hAnsi="Times New Roman"/>
          <w:sz w:val="22"/>
          <w:szCs w:val="22"/>
          <w:color w:val="auto"/>
        </w:rPr>
      </w:pPr>
    </w:p>
    <w:p>
      <w:pPr>
        <w:jc w:val="both"/>
        <w:ind w:firstLine="1304"/>
        <w:spacing w:after="0" w:line="242" w:lineRule="auto"/>
        <w:tabs>
          <w:tab w:leader="none" w:pos="1809"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xml:space="preserve">. (i) If any Event of Default occurs and is continuing and the Administrative Agent or the Required Revolving Credit Lenders or Required Lenders, as applicable, require the Borrower to Cash Collateralize the L/C Obligations pursuant to </w:t>
      </w:r>
      <w:r>
        <w:rPr>
          <w:rFonts w:ascii="Times New Roman" w:cs="Times New Roman" w:eastAsia="Times New Roman" w:hAnsi="Times New Roman"/>
          <w:sz w:val="21"/>
          <w:szCs w:val="21"/>
          <w:u w:val="single" w:color="auto"/>
          <w:color w:val="auto"/>
        </w:rPr>
        <w:t>Section 8.02(a)(iii)</w:t>
      </w:r>
      <w:r>
        <w:rPr>
          <w:rFonts w:ascii="Times New Roman" w:cs="Times New Roman" w:eastAsia="Times New Roman" w:hAnsi="Times New Roman"/>
          <w:sz w:val="21"/>
          <w:szCs w:val="21"/>
          <w:color w:val="auto"/>
        </w:rPr>
        <w:t xml:space="preserve"> or (ii) an Event of Default set forth under </w:t>
      </w:r>
      <w:r>
        <w:rPr>
          <w:rFonts w:ascii="Times New Roman" w:cs="Times New Roman" w:eastAsia="Times New Roman" w:hAnsi="Times New Roman"/>
          <w:sz w:val="21"/>
          <w:szCs w:val="21"/>
          <w:u w:val="single" w:color="auto"/>
          <w:color w:val="auto"/>
        </w:rPr>
        <w:t>Section 8.01(f)</w:t>
      </w:r>
      <w:r>
        <w:rPr>
          <w:rFonts w:ascii="Times New Roman" w:cs="Times New Roman" w:eastAsia="Times New Roman" w:hAnsi="Times New Roman"/>
          <w:sz w:val="21"/>
          <w:szCs w:val="21"/>
          <w:color w:val="auto"/>
        </w:rPr>
        <w:t xml:space="preserve"> (with respect to the Borrower)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occurs and is continuing, then the Borrower shall Cash Collateralize the then Outstanding Amount of all L/C Obligations (in an amount equal to such Outstanding Amount plus any accrued or unpaid fees thereon determined as of the date such Cash Collateral is provided). For purposes hereof, “</w:t>
      </w:r>
      <w:r>
        <w:rPr>
          <w:rFonts w:ascii="Times New Roman" w:cs="Times New Roman" w:eastAsia="Times New Roman" w:hAnsi="Times New Roman"/>
          <w:sz w:val="21"/>
          <w:szCs w:val="21"/>
          <w:u w:val="single" w:color="auto"/>
          <w:color w:val="auto"/>
        </w:rPr>
        <w:t>Cash Collateralize</w:t>
      </w:r>
      <w:r>
        <w:rPr>
          <w:rFonts w:ascii="Times New Roman" w:cs="Times New Roman" w:eastAsia="Times New Roman" w:hAnsi="Times New Roman"/>
          <w:sz w:val="21"/>
          <w:szCs w:val="21"/>
          <w:color w:val="auto"/>
        </w:rPr>
        <w:t>” means to pledge and deposit with or deliver to the Administrative Agent, for the benefit of the relevant L/C Issuer and the Revolving Credit Lenders, as collateral for the L/C Obligations, cash or deposit account balances in the relevant currencies in an amount equal to the L/C Exposure (determined as of the date of such Event of Default) (“</w:t>
      </w: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pursuant to documentation in form and substance reasonably satisfactory to the Administrative Agent and the relevant L/C Issuer (which documents are hereby consented to by the Lenders). Derivatives of such term have corresponding meanings. The Borrower hereby grants to the Administrative Agent, for the benefit of the L/C Issuers and the Revolving Credit Lenders, a security interest in all such cash, deposit accounts and all balances therein and all proceeds of the foregoing. The Administrative Agent shall have exclusive dominion and control, including the exclusive right of withdrawal, over such account. Interest or profits, if any, on such investments shall accumulate in such account. Cash Collateral shall be maintained in accounts satisfactory to the Administrative Agent, in the name of the Administrative Agent and for the benefit of the Revolving Credit Lenders and may be invested in readily available Cash Equivalents at its sole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084" w:right="339" w:bottom="1440" w:gutter="0" w:footer="0" w:header="0"/>
        </w:sectPr>
      </w:pPr>
    </w:p>
    <w:bookmarkStart w:id="196" w:name="page197"/>
    <w:bookmarkEnd w:id="196"/>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discretion. If at any time the Administrative Agent determines that any funds held as Cash Collateral are subject to any right or claim of any Person other than the Administrative Agent (on behalf of the Secured Parties) or that the total amount of such funds is less than the L/C Exposure, the Borrower will, forthwith upon demand by the Administrative Agent, pay to the Administrative Agent, as additional funds to be deposited and held in the deposit accounts specified by the Administrative Agent, an amount equal to the excess of (a) such L/C Exposure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L/C Exposure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costs incidental thereto and so long as no other Event of Default has occurred and is continuing, the excess shall be refunded to the Borrower. If such Event of Default is cured or waived and no other Event of Default is then occurring and continuing, the amount of any Cash Collateral (including any accrued interest thereon) shall be refunded to the Borrower.</w:t>
      </w:r>
    </w:p>
    <w:p>
      <w:pPr>
        <w:spacing w:after="0" w:line="175" w:lineRule="exact"/>
        <w:rPr>
          <w:sz w:val="20"/>
          <w:szCs w:val="20"/>
          <w:color w:val="auto"/>
        </w:rPr>
      </w:pPr>
    </w:p>
    <w:p>
      <w:pPr>
        <w:jc w:val="both"/>
        <w:ind w:firstLine="1304"/>
        <w:spacing w:after="0" w:line="233" w:lineRule="auto"/>
        <w:tabs>
          <w:tab w:leader="none" w:pos="177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The Borrower shall pay to the Administrative Agent in Dollars for the account of each Revolving Credit Lender in accordance with its Applicable Percentage, a Letter of Credit fee for each Letter of Credit issued pursuant to this Agreement equal to the product of (i) Applicable Rate for Letter of Credit fees and (ii) the Dollar Equivalent of the daily maximum amount then available to be drawn under such Letter of Credit. Such letter of credit fees shall be computed on a quarterly basis in arrears. Such letter of credit fees shall be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79" w:lineRule="exact"/>
        <w:rPr>
          <w:rFonts w:ascii="Times New Roman" w:cs="Times New Roman" w:eastAsia="Times New Roman" w:hAnsi="Times New Roman"/>
          <w:sz w:val="22"/>
          <w:szCs w:val="22"/>
          <w:color w:val="auto"/>
        </w:rPr>
      </w:pPr>
    </w:p>
    <w:p>
      <w:pPr>
        <w:jc w:val="both"/>
        <w:ind w:firstLine="1304"/>
        <w:spacing w:after="0" w:line="232" w:lineRule="auto"/>
        <w:tabs>
          <w:tab w:leader="none" w:pos="187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Fronting Fee and Documentary and Processing Charges Payable to L/C Issuers</w:t>
      </w:r>
      <w:r>
        <w:rPr>
          <w:rFonts w:ascii="Times New Roman" w:cs="Times New Roman" w:eastAsia="Times New Roman" w:hAnsi="Times New Roman"/>
          <w:sz w:val="22"/>
          <w:szCs w:val="22"/>
          <w:color w:val="auto"/>
        </w:rPr>
        <w:t>. The Borrower shall pay directly to each L/C Issuer for its own account a fronting fee (a “</w:t>
      </w:r>
      <w:r>
        <w:rPr>
          <w:rFonts w:ascii="Times New Roman" w:cs="Times New Roman" w:eastAsia="Times New Roman" w:hAnsi="Times New Roman"/>
          <w:sz w:val="22"/>
          <w:szCs w:val="22"/>
          <w:u w:val="single" w:color="auto"/>
          <w:color w:val="auto"/>
        </w:rPr>
        <w:t>Fronting Fee</w:t>
      </w:r>
      <w:r>
        <w:rPr>
          <w:rFonts w:ascii="Times New Roman" w:cs="Times New Roman" w:eastAsia="Times New Roman" w:hAnsi="Times New Roman"/>
          <w:sz w:val="22"/>
          <w:szCs w:val="22"/>
          <w:color w:val="auto"/>
        </w:rPr>
        <w:t>”) in Dollars with respect to each Letter of Credit issued by it equal to 0.125% per annum of the Dollar Equivalent of the daily maximum amount then available to be drawn under such Letter of Credit. Such fronting fees shall be computed on a quarterly basis in arrears. Such fronting fees shall be due and payable on the first Business Day after the end of each March, June, September and December, commencing with the first such date to occur after the issuance of such Letter of Credit, on the Letter of Credit Expiration Date and thereafter on demand.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7"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Letter of Credit Application</w:t>
      </w:r>
      <w:r>
        <w:rPr>
          <w:rFonts w:ascii="Times New Roman" w:cs="Times New Roman" w:eastAsia="Times New Roman" w:hAnsi="Times New Roman"/>
          <w:sz w:val="22"/>
          <w:szCs w:val="22"/>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73"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16"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 of an L/C Issuer</w:t>
      </w:r>
      <w:r>
        <w:rPr>
          <w:rFonts w:ascii="Times New Roman" w:cs="Times New Roman" w:eastAsia="Times New Roman" w:hAnsi="Times New Roman"/>
          <w:sz w:val="21"/>
          <w:szCs w:val="21"/>
          <w:color w:val="auto"/>
        </w:rPr>
        <w:t>. A Revolving Credit Lender (or any of its Subsidiaries or affiliates) may become an additional L/C Issuer hereunder pursuant to a written agreement among the Borrower, the Administrative Agent and such Revolving Credit Lender. The Administrative Agent shall notify the Revolving Credit Lenders of any such additional L/C Issuer.</w:t>
      </w:r>
    </w:p>
    <w:p>
      <w:pPr>
        <w:spacing w:after="0" w:line="157" w:lineRule="exact"/>
        <w:rPr>
          <w:rFonts w:ascii="Times New Roman" w:cs="Times New Roman" w:eastAsia="Times New Roman" w:hAnsi="Times New Roman"/>
          <w:sz w:val="21"/>
          <w:szCs w:val="21"/>
          <w:color w:val="auto"/>
        </w:rPr>
      </w:pPr>
    </w:p>
    <w:p>
      <w:pPr>
        <w:jc w:val="both"/>
        <w:ind w:firstLine="1304"/>
        <w:spacing w:after="0" w:line="238" w:lineRule="auto"/>
        <w:tabs>
          <w:tab w:leader="none" w:pos="176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ISP and UCP.</w:t>
      </w:r>
      <w:r>
        <w:rPr>
          <w:rFonts w:ascii="Times New Roman" w:cs="Times New Roman" w:eastAsia="Times New Roman" w:hAnsi="Times New Roman"/>
          <w:sz w:val="22"/>
          <w:szCs w:val="22"/>
          <w:color w:val="auto"/>
        </w:rPr>
        <w:t xml:space="preserve"> Unless otherwise expressly agreed by the L/C Issuer and the Borrower when a Letter of Credit is issued (i) the rules of the ISP shall apply to each standby Letter of Credit, and (ii) the rules of the UCP shall apply to each commercial Letter of Credit.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084" w:right="339" w:bottom="1440" w:gutter="0" w:footer="0" w:header="0"/>
        </w:sectPr>
      </w:pPr>
    </w:p>
    <w:bookmarkStart w:id="197" w:name="page198"/>
    <w:bookmarkEnd w:id="197"/>
    <w:p>
      <w:pPr>
        <w:ind w:left="1720" w:hanging="416"/>
        <w:spacing w:after="0"/>
        <w:tabs>
          <w:tab w:leader="none" w:pos="172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64"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L/C Issuer</w:t>
      </w:r>
      <w:r>
        <w:rPr>
          <w:rFonts w:ascii="Times New Roman" w:cs="Times New Roman" w:eastAsia="Times New Roman" w:hAnsi="Times New Roman"/>
          <w:sz w:val="21"/>
          <w:szCs w:val="21"/>
          <w:color w:val="auto"/>
        </w:rPr>
        <w:t>. Any L/C Issuer may be replaced with another Revolving Credit Lender (or an Affiliate of a Revolving Credit Lender) at any time by written agreement among the Borrower, the Administrative Agent, the Required Revolving Credit Lenders, and the successor L/C Issuer. The Administrative Agent shall notify the Revolving Credit Lenders of any such replacement of such L/C Issuer. At the time any such replacement shall become effective, the Borrower shall</w:t>
      </w:r>
    </w:p>
    <w:p>
      <w:pPr>
        <w:spacing w:after="0" w:line="229" w:lineRule="auto"/>
        <w:rPr>
          <w:sz w:val="20"/>
          <w:szCs w:val="20"/>
          <w:color w:val="auto"/>
        </w:rPr>
      </w:pPr>
      <w:r>
        <w:rPr>
          <w:rFonts w:ascii="Times New Roman" w:cs="Times New Roman" w:eastAsia="Times New Roman" w:hAnsi="Times New Roman"/>
          <w:sz w:val="21"/>
          <w:szCs w:val="21"/>
          <w:color w:val="auto"/>
        </w:rPr>
        <w:t>pay all unpaid fees accrued for the account of the replaced L/C Issuer. From and after the effective date of any such replacement,</w:t>
      </w:r>
    </w:p>
    <w:p>
      <w:pPr>
        <w:spacing w:after="0" w:line="1" w:lineRule="exact"/>
        <w:rPr>
          <w:sz w:val="20"/>
          <w:szCs w:val="20"/>
          <w:color w:val="auto"/>
        </w:rPr>
      </w:pPr>
    </w:p>
    <w:p>
      <w:pPr>
        <w:jc w:val="both"/>
        <w:ind w:firstLine="8"/>
        <w:spacing w:after="0" w:line="232" w:lineRule="auto"/>
        <w:tabs>
          <w:tab w:leader="none" w:pos="28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L/C Issuer shall have all the rights and obligations of the applicable L/C Issuer under this Agreement with respect to Letters of Credit to be issued thereafter, and (ii) references herein to the term “L/C Issuer” shall be deemed to refer to such successor or to any previous L/C Issuer, or to such successor L/C Issuer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760" w:hanging="456"/>
        <w:spacing w:after="0"/>
        <w:tabs>
          <w:tab w:leader="none" w:pos="1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both"/>
        <w:ind w:firstLine="1304"/>
        <w:spacing w:after="0" w:line="250" w:lineRule="auto"/>
        <w:tabs>
          <w:tab w:leader="none" w:pos="181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Administrative Agent by the Borrower, at any time or from time to time voluntarily prepay any Borrowing of any Class in whole or in part without premium or penalty (except as set forth in </w:t>
      </w:r>
      <w:r>
        <w:rPr>
          <w:rFonts w:ascii="Times New Roman" w:cs="Times New Roman" w:eastAsia="Times New Roman" w:hAnsi="Times New Roman"/>
          <w:sz w:val="21"/>
          <w:szCs w:val="21"/>
          <w:u w:val="single" w:color="auto"/>
          <w:color w:val="auto"/>
        </w:rPr>
        <w:t>Section 2.05(a)(iv)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19"/>
          <w:szCs w:val="19"/>
          <w:color w:val="auto"/>
        </w:rPr>
        <w:t>that (1) such notice must be received by the Administrative Agent not later than 1:00 p.m., New York City time (A) three (3)</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 xml:space="preserve">Business Days prior to any date of prepayment of SOFR Loans and (B) on the date of prepayment of Base Rate Loans or Daily SOFR Loans and (2) any prepayment of SOFR Loans shall be in a principal amount of the Borrowing Minimum or a whole multiple of the Borrowing Multiple in excess thereof,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SOFR Loan shall be accompanied by all accrued interest thereon, together with any additional amounts required pursuant to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19"/>
          <w:szCs w:val="19"/>
          <w:color w:val="auto"/>
        </w:rPr>
        <w:t xml:space="preserve">. Each prepayment of the Loans pursuant to this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19"/>
          <w:szCs w:val="19"/>
          <w:color w:val="auto"/>
        </w:rPr>
        <w:t xml:space="preserve"> shall be applied to the installments thereof as directed by the Borrower (it being understood and agreed that if the Borrower does not so direct at the time of such prepayment, such prepayment shall be applied against the scheduled repayments of Term Loans of the relevant Class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2.07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direct order of maturity) and shall be paid to the Appropriate Lenders in accordance with their respective Applicable Percentages.</w:t>
      </w:r>
    </w:p>
    <w:p>
      <w:pPr>
        <w:spacing w:after="0" w:line="17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27"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the Borrower may rescind any notice of prepayment under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0"/>
          <w:szCs w:val="20"/>
          <w:color w:val="auto"/>
        </w:rPr>
        <w:t xml:space="preserve"> if such prepayment would have resulted from a refinancing of all of the Facilities, which refinancing shall not be consummated or shall otherwise be delayed.</w:t>
      </w:r>
    </w:p>
    <w:p>
      <w:pPr>
        <w:spacing w:after="0" w:line="159"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2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Borrower (x) makes any prepayment of any Class of Initial Term Loans in connection with any Repricing Transaction or (y) effects any amendment of this Agreement resulting in a Repricing Transaction with respect to any Class of Initial Term Loans, in each case prior to the six (6) month anniversary of the Amendment No. 1 Effective Date, the Borrower shall pay a premium in an amount equal to 1.00% of (A) in the case of clause (x), the amount of such Initial Term Loans being prepaid or (B) in the case of clause (y), the aggregate amount of the applicable Initial Term Loans outstanding immediately prior to such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08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color w:val="auto"/>
        </w:rPr>
        <w:t>amendment, in each case to the Administrative Agent, for the ratable account of each of the applicable Initial Term Lenders.</w:t>
      </w:r>
    </w:p>
    <w:p>
      <w:pPr>
        <w:spacing w:after="0" w:line="197" w:lineRule="exact"/>
        <w:rPr>
          <w:sz w:val="20"/>
          <w:szCs w:val="20"/>
          <w:color w:val="auto"/>
        </w:rPr>
      </w:pPr>
    </w:p>
    <w:p>
      <w:pPr>
        <w:ind w:left="1780" w:hanging="476"/>
        <w:spacing w:after="0"/>
        <w:tabs>
          <w:tab w:leader="none" w:pos="17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Mandatory </w:t>
      </w:r>
      <w:r>
        <w:rPr>
          <w:rFonts w:ascii="Times New Roman" w:cs="Times New Roman" w:eastAsia="Times New Roman" w:hAnsi="Times New Roman"/>
          <w:sz w:val="22"/>
          <w:szCs w:val="22"/>
          <w:u w:val="single" w:color="auto"/>
          <w:color w:val="auto"/>
        </w:rPr>
        <w:t>Prepayments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48" w:lineRule="auto"/>
        <w:tabs>
          <w:tab w:leader="none" w:pos="1537"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ten (10) Business Days after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19"/>
          <w:szCs w:val="19"/>
          <w:color w:val="auto"/>
        </w:rPr>
        <w:t xml:space="preserve"> and the related Compliance Certificate has been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19"/>
          <w:szCs w:val="19"/>
          <w:color w:val="auto"/>
        </w:rPr>
        <w:t>, commencing with the fiscal year ending December 31, 2021, the Borrower shall cause to be prepaid an aggregate principal amount of Term Loans equal to (A) 50% (such percentage as it may be reduced as described below, the “</w:t>
      </w:r>
      <w:r>
        <w:rPr>
          <w:rFonts w:ascii="Times New Roman" w:cs="Times New Roman" w:eastAsia="Times New Roman" w:hAnsi="Times New Roman"/>
          <w:sz w:val="20"/>
          <w:szCs w:val="20"/>
          <w:u w:val="single" w:color="auto"/>
          <w:color w:val="auto"/>
        </w:rPr>
        <w:t>ECF Percentage</w:t>
      </w:r>
      <w:r>
        <w:rPr>
          <w:rFonts w:ascii="Times New Roman" w:cs="Times New Roman" w:eastAsia="Times New Roman" w:hAnsi="Times New Roman"/>
          <w:sz w:val="19"/>
          <w:szCs w:val="19"/>
          <w:color w:val="auto"/>
        </w:rPr>
        <w:t xml:space="preserve">”) of Excess Cash Flow, if any, for the fiscal year covered by such financial statements, if the extent Excess Cash Flow for such period exceeds $5,000,000 and then, only to the extent of the amount in excess of $5,000,000,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19"/>
          <w:szCs w:val="19"/>
          <w:color w:val="auto"/>
        </w:rPr>
        <w:t xml:space="preserve"> at the Borrower’s option, (B) the sum of (i) (x) all voluntary prepayments of Term Loans (or any Credit Agreement Refinancing Indebtedness in respect thereof) during such fiscal year (and, without duplication of any deduction with respect to any other fiscal year, at the Borrower’s option, following the last day of such fiscal year and on or prior to such required prepayment date), (y) voluntary prepayments of other Indebtedness permitted hereunder that is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19"/>
          <w:szCs w:val="19"/>
          <w:color w:val="auto"/>
        </w:rPr>
        <w:t xml:space="preserve"> basis with the Secured Obligations (including, in the case of clauses (x) and (y), any debt buyback or prepayments at a discount to par under such facilities, with credit given for the actual amount of the cash payment) and (ii) all voluntary prepayments of Revolving Credit Loans </w:t>
      </w:r>
      <w:r>
        <w:rPr>
          <w:rFonts w:ascii="Times New Roman" w:cs="Times New Roman" w:eastAsia="Times New Roman" w:hAnsi="Times New Roman"/>
          <w:sz w:val="20"/>
          <w:szCs w:val="20"/>
          <w:color w:val="FF0000"/>
          <w:strike w:val="1"/>
        </w:rPr>
        <w:t>and Swing Line Loans</w:t>
      </w:r>
      <w:r>
        <w:rPr>
          <w:rFonts w:ascii="Times New Roman" w:cs="Times New Roman" w:eastAsia="Times New Roman" w:hAnsi="Times New Roman"/>
          <w:sz w:val="19"/>
          <w:szCs w:val="19"/>
          <w:color w:val="auto"/>
        </w:rPr>
        <w:t xml:space="preserve"> (or any Credit Agreement Refinancing Indebtedness in respect thereof) during such fiscal year (and, without duplication of any deduction with respect to any other fiscal year, at the Borrower’s option, following the last day of such fiscal year and on or prior to such required prepayment date) to the extent the Revolving Credit Commitments are permanently reduced by the amount of such payments or to the extent drawn to account for any additional OID or upfront fees that are implemented pursuant to the “market flex” provisions of the Fee Letter (or, in each case, any Credit Agreement Refinancing Indebtedness in respect thereof), in the case of each of the immediately preceding clauses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19"/>
          <w:szCs w:val="19"/>
          <w:color w:val="auto"/>
        </w:rPr>
        <w:t xml:space="preserve">, to the extent such prepayments are not funded with the proceeds of Indebtedness;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19"/>
          <w:szCs w:val="19"/>
          <w:color w:val="auto"/>
        </w:rPr>
        <w:t xml:space="preserve"> that (x) the ECF Percentage shall be 25% if the Consolidated First Lien Secured Leverage Ratio (after giving effect to any prepayment of Loans after such year as contemplated above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19"/>
          <w:szCs w:val="19"/>
          <w:color w:val="auto"/>
        </w:rPr>
        <w:t xml:space="preserve">) as of the last day of the fiscal year covered by such financial statements was less than 2.30:1.00 and greater than or equal to 1.80:1.00 and (y) the ECF Percentage shall be 0% if the Consolidated First Lien Secured Leverage Ratio (after giving effect to any prepayment of Loans after such year as contemplated above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19"/>
          <w:szCs w:val="19"/>
          <w:color w:val="auto"/>
        </w:rPr>
        <w:t>) as of the last day of the fiscal year covered by such financial statements was less than 1.80:1.00.</w:t>
      </w: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jc w:val="both"/>
        <w:ind w:firstLine="1304"/>
        <w:spacing w:after="0" w:line="241" w:lineRule="auto"/>
        <w:tabs>
          <w:tab w:leader="none" w:pos="159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Subject to </w:t>
      </w:r>
      <w:r>
        <w:rPr>
          <w:rFonts w:ascii="Times New Roman" w:cs="Times New Roman" w:eastAsia="Times New Roman" w:hAnsi="Times New Roman"/>
          <w:sz w:val="21"/>
          <w:szCs w:val="21"/>
          <w:u w:val="single" w:color="auto"/>
          <w:color w:val="auto"/>
        </w:rPr>
        <w:t>Section 2.05(b)(ii)(B)</w:t>
      </w:r>
      <w:r>
        <w:rPr>
          <w:rFonts w:ascii="Times New Roman" w:cs="Times New Roman" w:eastAsia="Times New Roman" w:hAnsi="Times New Roman"/>
          <w:sz w:val="20"/>
          <w:szCs w:val="20"/>
          <w:color w:val="auto"/>
        </w:rPr>
        <w:t xml:space="preserve">, and any Customary Intercreditor Agreement, if following the Closing Date (x) Holdings, the Borrower or any Restricted Subsidiary consummates any non-ordinary course sale, transfer or other disposition of property or assets permitted by </w:t>
      </w:r>
      <w:r>
        <w:rPr>
          <w:rFonts w:ascii="Times New Roman" w:cs="Times New Roman" w:eastAsia="Times New Roman" w:hAnsi="Times New Roman"/>
          <w:sz w:val="21"/>
          <w:szCs w:val="21"/>
          <w:u w:val="single" w:color="auto"/>
          <w:color w:val="auto"/>
        </w:rPr>
        <w:t>Section 7.05(a)(ii)</w:t>
      </w:r>
      <w:r>
        <w:rPr>
          <w:rFonts w:ascii="Times New Roman" w:cs="Times New Roman" w:eastAsia="Times New Roman" w:hAnsi="Times New Roman"/>
          <w:sz w:val="20"/>
          <w:szCs w:val="20"/>
          <w:color w:val="auto"/>
        </w:rPr>
        <w:t xml:space="preserve"> and clauses (7) though (28) of the definition of Asset Disposition, or (y) any Casualty Event occurs, which in the aggregate results in the realization or receipt by Holdings, the Borrower or such Restricted Subsidiary of Net Available Cash in excess of $5,000,000 (and then, only to the extent of the amount in excess of $5,000,000) in the case of each of, a single Asset Disposition or Casualty Event or series of related Asset Dispositions or Casualty Events, the Borrower shall make a prepayment, in accordance with </w:t>
      </w:r>
      <w:r>
        <w:rPr>
          <w:rFonts w:ascii="Times New Roman" w:cs="Times New Roman" w:eastAsia="Times New Roman" w:hAnsi="Times New Roman"/>
          <w:sz w:val="21"/>
          <w:szCs w:val="21"/>
          <w:u w:val="single" w:color="auto"/>
          <w:color w:val="auto"/>
        </w:rPr>
        <w:t>Section 2.05(b)(ii)(C)</w:t>
      </w:r>
      <w:r>
        <w:rPr>
          <w:rFonts w:ascii="Times New Roman" w:cs="Times New Roman" w:eastAsia="Times New Roman" w:hAnsi="Times New Roman"/>
          <w:sz w:val="19"/>
          <w:szCs w:val="19"/>
          <w:color w:val="auto"/>
        </w:rPr>
        <w:t>, of an aggregate principal amount of Term Loans equal to such Net Available Cash (the “</w:t>
      </w:r>
      <w:r>
        <w:rPr>
          <w:rFonts w:ascii="Times New Roman" w:cs="Times New Roman" w:eastAsia="Times New Roman" w:hAnsi="Times New Roman"/>
          <w:sz w:val="21"/>
          <w:szCs w:val="21"/>
          <w:u w:val="single" w:color="auto"/>
          <w:color w:val="auto"/>
        </w:rPr>
        <w:t>Applicable Proceeds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realized or received;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9"/>
          <w:szCs w:val="19"/>
          <w:color w:val="auto"/>
        </w:rPr>
        <w:t xml:space="preserve"> that no such prepayment shall be required pursuant to this </w:t>
      </w:r>
      <w:r>
        <w:rPr>
          <w:rFonts w:ascii="Times New Roman" w:cs="Times New Roman" w:eastAsia="Times New Roman" w:hAnsi="Times New Roman"/>
          <w:sz w:val="21"/>
          <w:szCs w:val="21"/>
          <w:u w:val="single" w:color="auto"/>
          <w:color w:val="auto"/>
        </w:rPr>
        <w:t>Section 2.05(b)(ii)(A)</w:t>
      </w:r>
      <w:r>
        <w:rPr>
          <w:rFonts w:ascii="Times New Roman" w:cs="Times New Roman" w:eastAsia="Times New Roman" w:hAnsi="Times New Roman"/>
          <w:sz w:val="19"/>
          <w:szCs w:val="19"/>
          <w:color w:val="auto"/>
        </w:rPr>
        <w:t xml:space="preserve"> (I) with respect to such portion of such Net Available Cash that the Borrower intends to reinvest in accordance with </w:t>
      </w:r>
      <w:r>
        <w:rPr>
          <w:rFonts w:ascii="Times New Roman" w:cs="Times New Roman" w:eastAsia="Times New Roman" w:hAnsi="Times New Roman"/>
          <w:sz w:val="21"/>
          <w:szCs w:val="21"/>
          <w:u w:val="single" w:color="auto"/>
          <w:color w:val="auto"/>
        </w:rPr>
        <w:t>Section 2.05(b)(ii)(B)</w:t>
      </w:r>
      <w:r>
        <w:rPr>
          <w:rFonts w:ascii="Times New Roman" w:cs="Times New Roman" w:eastAsia="Times New Roman" w:hAnsi="Times New Roman"/>
          <w:sz w:val="19"/>
          <w:szCs w:val="19"/>
          <w:color w:val="auto"/>
        </w:rPr>
        <w:t xml:space="preserve">, (II) until the aggregate amount of Net Available Cash is reinvested in accordance with </w:t>
      </w:r>
      <w:r>
        <w:rPr>
          <w:rFonts w:ascii="Times New Roman" w:cs="Times New Roman" w:eastAsia="Times New Roman" w:hAnsi="Times New Roman"/>
          <w:sz w:val="21"/>
          <w:szCs w:val="21"/>
          <w:u w:val="single" w:color="auto"/>
          <w:color w:val="auto"/>
        </w:rPr>
        <w:t>Section 2.05(b)(ii)(B)</w:t>
      </w:r>
      <w:r>
        <w:rPr>
          <w:rFonts w:ascii="Times New Roman" w:cs="Times New Roman" w:eastAsia="Times New Roman" w:hAnsi="Times New Roman"/>
          <w:sz w:val="19"/>
          <w:szCs w:val="19"/>
          <w:color w:val="auto"/>
        </w:rPr>
        <w:t xml:space="preserve"> within the time periods set forth therein or (III) with respect to such portion of such Net Available Cash that is used to repay Other Applicable Indebtedness as permitted under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(ii)(C)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38" w:lineRule="auto"/>
        <w:tabs>
          <w:tab w:leader="none" w:pos="186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Applicable Proceeds realized or received with respect to any Asset Disposition (other than any Asset Disposition specifically excluded from the application of </w:t>
      </w:r>
      <w:r>
        <w:rPr>
          <w:rFonts w:ascii="Times New Roman" w:cs="Times New Roman" w:eastAsia="Times New Roman" w:hAnsi="Times New Roman"/>
          <w:sz w:val="22"/>
          <w:szCs w:val="22"/>
          <w:u w:val="single" w:color="auto"/>
          <w:color w:val="auto"/>
        </w:rPr>
        <w:t>Section 2.05(b)(ii)(A)</w:t>
      </w:r>
      <w:r>
        <w:rPr>
          <w:rFonts w:ascii="Times New Roman" w:cs="Times New Roman" w:eastAsia="Times New Roman" w:hAnsi="Times New Roman"/>
          <w:sz w:val="22"/>
          <w:szCs w:val="22"/>
          <w:color w:val="auto"/>
        </w:rPr>
        <w:t>) or any Casualty Event, at the option of the Borrower, the Borrower may (x) reinvest (including capital expenditures) an amount equal to all or any portion of such Applicable Proceeds in (i) Additional Assets (including by means of an investment in Additional Assets by a Restricted Subsidiary) or (ii) in any one or more businesses (provided such business will be a Restricted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089" w:right="339" w:bottom="1440" w:gutter="0" w:footer="0" w:header="0"/>
        </w:sectPr>
      </w:pPr>
    </w:p>
    <w:bookmarkStart w:id="199" w:name="page200"/>
    <w:bookmarkEnd w:id="19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Subsidiary) within twelve (12) months (or one hundred eighty (180) days after the twelve (12) month period following receipt of such Applicable Proceeds if a contractual commitment to reinvest is entered into within twelve (12) months) following receipt of such Applicable Proceeds or (y) such Applicable Proceeds shall be deemed to have been reinvested in assets used or useful in the business of Holdings, the Borrower or any Restricted Subsidiary (including pursuant to a Permitted Acquisition, Investment or capital expenditure) pursuant to any such investment occurring in the 90 days preceding the date of receipt of such Available Proceeds;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Applicable Proceeds are not so reinvested by the deadline specified in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above, as applicable, or if any such Applicable Proceeds are no longer intended to be or cannot be so reinvested at any time after delivery of a notice of reinvestment election, an amount equal to such Applicable Proceeds shall be applied,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2.05(b)(ii)(C)</w:t>
      </w:r>
      <w:r>
        <w:rPr>
          <w:rFonts w:ascii="Times New Roman" w:cs="Times New Roman" w:eastAsia="Times New Roman" w:hAnsi="Times New Roman"/>
          <w:sz w:val="22"/>
          <w:szCs w:val="22"/>
          <w:color w:val="auto"/>
        </w:rPr>
        <w:t xml:space="preserve">, to the prepayment of the Term Loans as set forth in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31" w:lineRule="auto"/>
        <w:tabs>
          <w:tab w:leader="none" w:pos="187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occasion that the Borrower must make a prepayment of the Term Loans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2.05(b)(ii)</w:t>
      </w:r>
      <w:r>
        <w:rPr>
          <w:rFonts w:ascii="Times New Roman" w:cs="Times New Roman" w:eastAsia="Times New Roman" w:hAnsi="Times New Roman"/>
          <w:sz w:val="22"/>
          <w:szCs w:val="22"/>
          <w:color w:val="auto"/>
        </w:rPr>
        <w:t xml:space="preserve">, the Borrower shall, within ten (10) Business Days after the date of realization or receipt of such Applicable Proceeds (or, in the case of prepayments required pursuant to </w:t>
      </w:r>
      <w:r>
        <w:rPr>
          <w:rFonts w:ascii="Times New Roman" w:cs="Times New Roman" w:eastAsia="Times New Roman" w:hAnsi="Times New Roman"/>
          <w:sz w:val="22"/>
          <w:szCs w:val="22"/>
          <w:u w:val="single" w:color="auto"/>
          <w:color w:val="auto"/>
        </w:rPr>
        <w:t>Section 2.05(b)(ii)(B)</w:t>
      </w:r>
      <w:r>
        <w:rPr>
          <w:rFonts w:ascii="Times New Roman" w:cs="Times New Roman" w:eastAsia="Times New Roman" w:hAnsi="Times New Roman"/>
          <w:sz w:val="22"/>
          <w:szCs w:val="22"/>
          <w:color w:val="auto"/>
        </w:rPr>
        <w:t xml:space="preserve">, within ten (10) Business Days of the deadline specified in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thereof, as applicable, or of the date the Borrower reasonably determines that such Applicable Proceeds are no longer intended to be or cannot be so reinvested, as the case may be), make a prepayment, in accordance with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 xml:space="preserve"> below, of the principal amount of Term Loans in an amount equal to such Applicable Proceeds realized or received;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with respect to any prepayment required by Section 2.05(b)(ii)(A), the Borrower may use a portion of such Applicable Proceeds to prepay or repurchase Indebtedness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Liens securing the Secured Obligations (the “</w:t>
      </w:r>
      <w:r>
        <w:rPr>
          <w:rFonts w:ascii="Times New Roman" w:cs="Times New Roman" w:eastAsia="Times New Roman" w:hAnsi="Times New Roman"/>
          <w:sz w:val="22"/>
          <w:szCs w:val="22"/>
          <w:u w:val="single" w:color="auto"/>
          <w:color w:val="auto"/>
        </w:rPr>
        <w:t>Other Applicable Indebtedness</w:t>
      </w:r>
      <w:r>
        <w:rPr>
          <w:rFonts w:ascii="Times New Roman" w:cs="Times New Roman" w:eastAsia="Times New Roman" w:hAnsi="Times New Roman"/>
          <w:sz w:val="22"/>
          <w:szCs w:val="22"/>
          <w:color w:val="auto"/>
        </w:rPr>
        <w:t xml:space="preserve">”) to the extent required pursuant to the terms of the documentation governing such Other Applicable Indebtedness, in which case, the amount of prepayment required to be made with respect to such Applicable Proceeds pursuant to this Section 2.05(b)(ii)(C) shall be deemed to be the amount equal to the product of (x) the amount of such Applicable Proceeds required to be repaid by (y) a fraction, the numerator of which is the outstanding principal amount of Term Loans required to be prepaid pursuant to this Section 2.05(b)(ii)(C) and the denominator of which is the sum of the outstanding principal amount of such Other Applicable Indebtedness required to be prepaid pursuant to the terms of the documents governing such Other Applicable Indebtedness and the outstanding principal amount of Term Loans required to be prepaid pursuant to this paragraph (for the avoidance of doubt, amounts described in this clause (y) in the calculation of such fraction shall be deemed to refer to then outstanding principal amount of such Indebtedness subject to such prepayment requirement, prior to giving effect to any reduction in the amount thereof as the result of such prepayment) and to the extent that the holders of Other Applicable Indebtedness do not accept such prepayment or repurchase, the amount that would otherwise be used to prepay or repurchase such Other Applicable Indebtedness shall be applied to prepayment of the Term Loans in accordance with Section </w:t>
      </w:r>
      <w:r>
        <w:rPr>
          <w:rFonts w:ascii="Times New Roman" w:cs="Times New Roman" w:eastAsia="Times New Roman" w:hAnsi="Times New Roman"/>
          <w:sz w:val="22"/>
          <w:szCs w:val="22"/>
          <w:u w:val="single" w:color="auto"/>
          <w:color w:val="auto"/>
        </w:rPr>
        <w:t>2.05(b)(v)</w:t>
      </w:r>
      <w:r>
        <w:rPr>
          <w:rFonts w:ascii="Times New Roman" w:cs="Times New Roman" w:eastAsia="Times New Roman" w:hAnsi="Times New Roman"/>
          <w:sz w:val="22"/>
          <w:szCs w:val="22"/>
          <w:color w:val="auto"/>
        </w:rPr>
        <w:t xml:space="preserve"> below.</w:t>
      </w:r>
    </w:p>
    <w:p>
      <w:pPr>
        <w:spacing w:after="0" w:line="197" w:lineRule="exact"/>
        <w:rPr>
          <w:sz w:val="20"/>
          <w:szCs w:val="20"/>
          <w:color w:val="auto"/>
        </w:rPr>
      </w:pPr>
    </w:p>
    <w:p>
      <w:pPr>
        <w:jc w:val="both"/>
        <w:ind w:firstLine="1304"/>
        <w:spacing w:after="0" w:line="257" w:lineRule="auto"/>
        <w:tabs>
          <w:tab w:leader="none" w:pos="1858"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(iii) If, following the Closing Date, (I) Holdings or any Restricted Subsidiary incurs or issues any (A) Refinancing Term Loans, (B) Refinancing Indebtedness with respect to Indebtedness permitted pursuant to </w:t>
      </w:r>
      <w:r>
        <w:rPr>
          <w:rFonts w:ascii="Times New Roman" w:cs="Times New Roman" w:eastAsia="Times New Roman" w:hAnsi="Times New Roman"/>
          <w:sz w:val="20"/>
          <w:szCs w:val="20"/>
          <w:u w:val="single" w:color="auto"/>
          <w:color w:val="auto"/>
        </w:rPr>
        <w:t>Section 7.03(b)(i)</w:t>
      </w:r>
      <w:r>
        <w:rPr>
          <w:rFonts w:ascii="Times New Roman" w:cs="Times New Roman" w:eastAsia="Times New Roman" w:hAnsi="Times New Roman"/>
          <w:sz w:val="19"/>
          <w:szCs w:val="19"/>
          <w:color w:val="auto"/>
        </w:rPr>
        <w:t xml:space="preserve"> or (C) Indebtedness not expressly permitted to be incurred or issued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19"/>
          <w:szCs w:val="19"/>
          <w:color w:val="auto"/>
        </w:rPr>
        <w:t xml:space="preserve">, the Borrower shall cause to be prepaid an aggregate principal amount of Term Loans equal to 100.0% of all Net Available Cash received therefrom (x) in the case of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19"/>
          <w:szCs w:val="19"/>
          <w:color w:val="auto"/>
        </w:rPr>
        <w:t xml:space="preserve">, concurrently with the receipt of such net Available Cash or (y) in the case of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19"/>
          <w:szCs w:val="19"/>
          <w:color w:val="auto"/>
        </w:rPr>
        <w:t xml:space="preserve"> on or prior to the date which is one (1) Business Day after the receipt of such Net Available Cash or (II) Holdings consummates an IPO, the Borrower shall cause to be prepaid an aggregate principal amount of Term Loans equal to 100.0% of all Net Available Cash received in connection with such IPO (up to $105.0 million) on or prior to the date that is five (5) Business Days following the consummation of such IPO. If the Borrower obtains any Refinancing Revolving Credit Commitments, the Borrower shall, concurrently with the receipt thereof, terminate Revolving Credit Commitments in an equivalent amount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084" w:right="339" w:bottom="1440" w:gutter="0" w:footer="0" w:header="0"/>
        </w:sectPr>
      </w:pPr>
    </w:p>
    <w:bookmarkStart w:id="200" w:name="page201"/>
    <w:bookmarkEnd w:id="200"/>
    <w:p>
      <w:pPr>
        <w:jc w:val="both"/>
        <w:ind w:firstLine="1304"/>
        <w:spacing w:after="0" w:line="262" w:lineRule="auto"/>
        <w:tabs>
          <w:tab w:leader="none" w:pos="1847"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(iv) Each prepayment of Term Loans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19"/>
          <w:szCs w:val="19"/>
          <w:color w:val="auto"/>
        </w:rPr>
        <w:t xml:space="preserve"> shall be applied on a pro rata basis to each Class of Term Loans and within each Class of Term Loans, as directed by the Borrower or, in the case of no direction,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19"/>
          <w:szCs w:val="19"/>
          <w:color w:val="auto"/>
        </w:rPr>
        <w:t xml:space="preserve">, to the installments thereof pro rata in direct order of maturity for the next four scheduled payments pursuant to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19"/>
          <w:szCs w:val="19"/>
          <w:color w:val="auto"/>
        </w:rPr>
        <w:t xml:space="preserve"> following the applicable prepayment event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19"/>
          <w:szCs w:val="19"/>
          <w:color w:val="auto"/>
        </w:rPr>
        <w:t xml:space="preserve">, to the remaining installments thereof pro rata;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19"/>
          <w:szCs w:val="19"/>
          <w:color w:val="auto"/>
        </w:rPr>
        <w:t xml:space="preserve"> that any mandatory prepayment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19"/>
          <w:szCs w:val="19"/>
          <w:color w:val="auto"/>
        </w:rPr>
        <w:t xml:space="preserve"> shall be applied on a pro rata basis to each Class of Initial Term Loans and, except to the extent a lesser prepayment is required pursuant to the applicable Incremental Facility Amendment or Extension Offer with respect to any applicable Class of Incremental Term Loans or Extended Term Loans, any Incremental Term Loans and Extended Term Loans. Each such prepayment of any Class of Term Loans shall be paid to the Lenders in accordance with their respective Applicable Percentages subject to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jc w:val="both"/>
        <w:ind w:firstLine="1304"/>
        <w:spacing w:after="0" w:line="245" w:lineRule="auto"/>
        <w:tabs>
          <w:tab w:leader="none" w:pos="158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in writing of any mandatory prepayment of Term Loans required to be made pursuant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0"/>
          <w:szCs w:val="20"/>
          <w:color w:val="auto"/>
        </w:rPr>
        <w:t xml:space="preserve"> prior to 1:00 p.m. at least one (1) Business Day prior to the date of such prepayment.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Applicable Percentage of the prepayment with respect to any Class of Term Loans. Each Appropriate Lender may reject all or a portion of its Applicable Percentage of any mandatory prepayment (such declined amounts, the “</w:t>
      </w:r>
      <w:r>
        <w:rPr>
          <w:rFonts w:ascii="Times New Roman" w:cs="Times New Roman" w:eastAsia="Times New Roman" w:hAnsi="Times New Roman"/>
          <w:sz w:val="21"/>
          <w:szCs w:val="21"/>
          <w:u w:val="single" w:color="auto"/>
          <w:color w:val="auto"/>
        </w:rPr>
        <w:t>Declined Proceeds</w:t>
      </w:r>
      <w:r>
        <w:rPr>
          <w:rFonts w:ascii="Times New Roman" w:cs="Times New Roman" w:eastAsia="Times New Roman" w:hAnsi="Times New Roman"/>
          <w:sz w:val="20"/>
          <w:szCs w:val="20"/>
          <w:color w:val="auto"/>
        </w:rPr>
        <w:t xml:space="preserve">”) of Term Loans required to be made pursuant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0"/>
          <w:szCs w:val="20"/>
          <w:color w:val="auto"/>
        </w:rPr>
        <w:t xml:space="preserve"> by providing written notice (each, a “</w:t>
      </w:r>
      <w:r>
        <w:rPr>
          <w:rFonts w:ascii="Times New Roman" w:cs="Times New Roman" w:eastAsia="Times New Roman" w:hAnsi="Times New Roman"/>
          <w:sz w:val="21"/>
          <w:szCs w:val="21"/>
          <w:u w:val="single" w:color="auto"/>
          <w:color w:val="auto"/>
        </w:rPr>
        <w:t>Rejection Notice</w:t>
      </w:r>
      <w:r>
        <w:rPr>
          <w:rFonts w:ascii="Times New Roman" w:cs="Times New Roman" w:eastAsia="Times New Roman" w:hAnsi="Times New Roman"/>
          <w:sz w:val="20"/>
          <w:szCs w:val="20"/>
          <w:color w:val="auto"/>
        </w:rPr>
        <w:t>”) to the Administrative Agent and the Borrower no later than 5:00 p.m. three (3) Business Days after the date of such Lender’s receipt of notice from the Administrative Agent regarding such prepayment. Each Rejection Notice from a given Lender shall specify the principal amount of the mandatory prepayment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Borrower (“</w:t>
      </w:r>
      <w:r>
        <w:rPr>
          <w:rFonts w:ascii="Times New Roman" w:cs="Times New Roman" w:eastAsia="Times New Roman" w:hAnsi="Times New Roman"/>
          <w:sz w:val="21"/>
          <w:szCs w:val="21"/>
          <w:u w:val="single" w:color="auto"/>
          <w:color w:val="auto"/>
        </w:rPr>
        <w:t>Retained Declined Proceeds</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1304"/>
        <w:spacing w:after="0" w:line="244" w:lineRule="auto"/>
        <w:tabs>
          <w:tab w:leader="none" w:pos="163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0"/>
          <w:szCs w:val="20"/>
          <w:color w:val="auto"/>
        </w:rPr>
        <w:t xml:space="preserve">, (i) to the extent that any or all of the Net Available Cash of any Asset Disposition by a Foreign Subsidiary otherwise giving rise to a prepayment pursuant to </w:t>
      </w:r>
      <w:r>
        <w:rPr>
          <w:rFonts w:ascii="Times New Roman" w:cs="Times New Roman" w:eastAsia="Times New Roman" w:hAnsi="Times New Roman"/>
          <w:sz w:val="21"/>
          <w:szCs w:val="21"/>
          <w:u w:val="single" w:color="auto"/>
          <w:color w:val="auto"/>
        </w:rPr>
        <w:t>Section 2.05(b)(ii)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u w:val="single" w:color="auto"/>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19"/>
          <w:szCs w:val="19"/>
          <w:color w:val="auto"/>
        </w:rPr>
        <w:t>”), the Net Available Cash of any Casualty Event of a Foreign Subsidiary (a “</w:t>
      </w:r>
      <w:r>
        <w:rPr>
          <w:rFonts w:ascii="Times New Roman" w:cs="Times New Roman" w:eastAsia="Times New Roman" w:hAnsi="Times New Roman"/>
          <w:sz w:val="21"/>
          <w:szCs w:val="21"/>
          <w:u w:val="single" w:color="auto"/>
          <w:color w:val="auto"/>
        </w:rPr>
        <w:t>Restricted Casualty Event</w:t>
      </w:r>
      <w:r>
        <w:rPr>
          <w:rFonts w:ascii="Times New Roman" w:cs="Times New Roman" w:eastAsia="Times New Roman" w:hAnsi="Times New Roman"/>
          <w:sz w:val="19"/>
          <w:szCs w:val="19"/>
          <w:color w:val="auto"/>
        </w:rPr>
        <w:t>”) or Excess 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Flow attributable to Foreign Subsidiaries would be prohibited or delayed by applicable local law from being distributed or otherwise transferred to the Borrower, the realization or receipt of the portion of such Net Available Cash or Excess Cash Flow so affected will not be taken into account in measuring the Borrower’s obligation to repay Term Loans at the times provided in </w:t>
      </w:r>
      <w:r>
        <w:rPr>
          <w:rFonts w:ascii="Times New Roman" w:cs="Times New Roman" w:eastAsia="Times New Roman" w:hAnsi="Times New Roman"/>
          <w:sz w:val="21"/>
          <w:szCs w:val="21"/>
          <w:u w:val="single" w:color="auto"/>
          <w:color w:val="auto"/>
        </w:rPr>
        <w:t>Section 2.05(b)(i)</w:t>
      </w:r>
      <w:r>
        <w:rPr>
          <w:rFonts w:ascii="Times New Roman" w:cs="Times New Roman" w:eastAsia="Times New Roman" w:hAnsi="Times New Roman"/>
          <w:sz w:val="19"/>
          <w:szCs w:val="19"/>
          <w:color w:val="auto"/>
        </w:rPr>
        <w:t xml:space="preserve">, or the Borrower shall not be required to make a prepayment at the time provided in </w:t>
      </w:r>
      <w:r>
        <w:rPr>
          <w:rFonts w:ascii="Times New Roman" w:cs="Times New Roman" w:eastAsia="Times New Roman" w:hAnsi="Times New Roman"/>
          <w:sz w:val="21"/>
          <w:szCs w:val="21"/>
          <w:u w:val="single" w:color="auto"/>
          <w:color w:val="auto"/>
        </w:rPr>
        <w:t>Section 2.05(b)(ii)</w:t>
      </w:r>
      <w:r>
        <w:rPr>
          <w:rFonts w:ascii="Times New Roman" w:cs="Times New Roman" w:eastAsia="Times New Roman" w:hAnsi="Times New Roman"/>
          <w:sz w:val="19"/>
          <w:szCs w:val="19"/>
          <w:color w:val="auto"/>
        </w:rPr>
        <w:t xml:space="preserve">, as the case may be, for so long, but only so long, as the applicable local law will not permit such distribution or transfer (the Borrower hereby agreeing to cause the applicable Foreign Subsidiary to promptly take all commercially reasonable actions available under the applicable local law to permit such repatriation), and once distribution or transfer of any of such affected Net Available Cash or Excess Cash Flow is permitted under the applicable local law, the amount of such Net Available Cash or Excess Cash Flow permitted to be distributed or transferred (net of additional taxes payable or reserved against as a result thereof) will be promptly (and in any event not later than three (3) Business Days after such distribution or transfer is permitted) taken into account in measuring the Borrower’s obligation to repay the Term Loans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19"/>
          <w:szCs w:val="19"/>
          <w:color w:val="auto"/>
        </w:rPr>
        <w:t xml:space="preserve"> to the extent provided herein, and (ii) to the extent that the Borrower has determined in good faith that repatriation of any or all of the Net Available Cash of any Restricted Disposition or any Restricted Casualty Event or Excess Cash Flow, in each case attributable to Foreign Subsidiaries, would have (x) an adverse tax consequence that is not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19"/>
          <w:szCs w:val="19"/>
          <w:color w:val="auto"/>
        </w:rPr>
        <w:t xml:space="preserve"> (including any withholding tax and taking into account any foreign tax credit or benefit received in connection with such repatriation) or (y) would be material constituent document restrictions (as a result of minority ownership by third parties) and other material agreements (so long as any prohibition is not created in contemplation of such prepayment), the amount of the Net Available Cash or Excess Cash Flow so affected shall not be taken into account in measuring the Borrower’s obligation to repay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084" w:right="339" w:bottom="1440" w:gutter="0" w:footer="0" w:header="0"/>
        </w:sectPr>
      </w:pPr>
    </w:p>
    <w:bookmarkStart w:id="201" w:name="page202"/>
    <w:bookmarkEnd w:id="20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Loans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0"/>
          <w:szCs w:val="20"/>
          <w:color w:val="auto"/>
        </w:rPr>
        <w:t>. Notwithstanding the foregoing, (x) Holdings and its Foreign Subsidiaries will undertake to use commercially reasonable efforts for one year to overcome or eliminate any such restrictions (subject to the considerations above and as determined in the Borrower’s reasonable business judgment) to make the relevant prepayment and (y) any prepayments required after application of the above provision shall be net of any costs, expenses or Taxes (other than any Taxes already taken into account in the definition of Net Available Cash or Excess Cash Flow, as applicable) incurred by the Borrower or any of its Affiliates and arising as a result of compliance with immediately preceding clause (x).</w:t>
      </w:r>
    </w:p>
    <w:p>
      <w:pPr>
        <w:spacing w:after="0" w:line="187" w:lineRule="exact"/>
        <w:rPr>
          <w:sz w:val="20"/>
          <w:szCs w:val="20"/>
          <w:color w:val="auto"/>
        </w:rPr>
      </w:pPr>
    </w:p>
    <w:p>
      <w:pPr>
        <w:jc w:val="both"/>
        <w:ind w:firstLine="1304"/>
        <w:spacing w:after="0" w:line="242" w:lineRule="auto"/>
        <w:tabs>
          <w:tab w:leader="none" w:pos="169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the aggregate Revolving Credit Exposures of all Lenders at any time exceeds the aggregate Revolving Credit Commitments then in effect (including, for the avoidance of doubt, as a result of currency fluctuations or the termination of such Revolving Credit Commitments on the Maturity Date with respect thereto), the Borrower shall promptly prepay or cause to be promptly prepaid Revolving Credit Loans and/or Cash Collateralize the L/C Obligations in an aggregate amount equal to such excess;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the Borrower shall not be required to Cash Collateralize the L/C Obligations pursuant to this </w:t>
      </w:r>
      <w:r>
        <w:rPr>
          <w:rFonts w:ascii="Times New Roman" w:cs="Times New Roman" w:eastAsia="Times New Roman" w:hAnsi="Times New Roman"/>
          <w:sz w:val="21"/>
          <w:szCs w:val="21"/>
          <w:u w:val="single" w:color="auto"/>
          <w:color w:val="auto"/>
        </w:rPr>
        <w:t>Section 2.05(b)(vii)</w:t>
      </w:r>
      <w:r>
        <w:rPr>
          <w:rFonts w:ascii="Times New Roman" w:cs="Times New Roman" w:eastAsia="Times New Roman" w:hAnsi="Times New Roman"/>
          <w:sz w:val="20"/>
          <w:szCs w:val="20"/>
          <w:color w:val="auto"/>
        </w:rPr>
        <w:t xml:space="preserve"> unless after the prepayment in full of the Revolving Credit Loans, the aggregate Revolving Credit Exposures exceed the aggregate Revolving Credit Commitments.</w:t>
      </w:r>
    </w:p>
    <w:p>
      <w:pPr>
        <w:spacing w:after="0" w:line="170" w:lineRule="exact"/>
        <w:rPr>
          <w:sz w:val="20"/>
          <w:szCs w:val="20"/>
          <w:color w:val="auto"/>
        </w:rPr>
      </w:pPr>
    </w:p>
    <w:p>
      <w:pPr>
        <w:jc w:val="both"/>
        <w:ind w:firstLine="1304"/>
        <w:spacing w:after="0" w:line="239" w:lineRule="auto"/>
        <w:tabs>
          <w:tab w:leader="none" w:pos="179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Funding Losses, Etc</w:t>
      </w:r>
      <w:r>
        <w:rPr>
          <w:rFonts w:ascii="Times New Roman" w:cs="Times New Roman" w:eastAsia="Times New Roman" w:hAnsi="Times New Roman"/>
          <w:sz w:val="22"/>
          <w:szCs w:val="22"/>
          <w:color w:val="auto"/>
        </w:rPr>
        <w:t xml:space="preserve">. All prepayments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shall be accompanied by all accrued interest thereon in the currency in which such Loan is denominated, together with, in the case of any such prepayment of a SOFR Loan on a date other than the last day of an Interest Period therefor, any amounts owing in respect of such SOFR Loan pursuant to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 of the other provisions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so long as no Event of Default shall have occurred and be continuing, if any prepayment of SOFR Loans is required to be made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prior to the last day of the Interest Period therefor, in lieu of making any payment pursuant to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in respect of any such SOFR Loan prior to the last day of the Interest Period therefor, the Borrower may, in its sole discretion, deposit with the Administrative Agent in the currency in which such Loan is denominated the amount of any such prepayment otherwise required to be made hereunder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Such deposit shall constitute cash collateral for the SOFR Loans to be so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may at any time direct that such deposit be applied to make the applicable payment required pursuant to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1780" w:hanging="476"/>
        <w:spacing w:after="0"/>
        <w:tabs>
          <w:tab w:leader="none" w:pos="17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Discounted </w:t>
      </w:r>
      <w:r>
        <w:rPr>
          <w:rFonts w:ascii="Times New Roman" w:cs="Times New Roman" w:eastAsia="Times New Roman" w:hAnsi="Times New Roman"/>
          <w:sz w:val="22"/>
          <w:szCs w:val="22"/>
          <w:u w:val="single" w:color="auto"/>
          <w:color w:val="auto"/>
        </w:rPr>
        <w:t>Voluntary Prepayments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42" w:lineRule="auto"/>
        <w:tabs>
          <w:tab w:leader="none" w:pos="179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(including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0"/>
          <w:szCs w:val="20"/>
          <w:color w:val="auto"/>
        </w:rPr>
        <w:t>) or any other Loan Document, the Borrower shall have the right at any time and from time to time to prepay one or more Classes of Term Loans to the Lenders at a discount to the par value of such Loans and on a non pro rata basis (each, a “</w:t>
      </w:r>
      <w:r>
        <w:rPr>
          <w:rFonts w:ascii="Times New Roman" w:cs="Times New Roman" w:eastAsia="Times New Roman" w:hAnsi="Times New Roman"/>
          <w:sz w:val="21"/>
          <w:szCs w:val="21"/>
          <w:u w:val="single" w:color="auto"/>
          <w:color w:val="auto"/>
        </w:rPr>
        <w:t>Discounted Voluntary Prepayment</w:t>
      </w:r>
      <w:r>
        <w:rPr>
          <w:rFonts w:ascii="Times New Roman" w:cs="Times New Roman" w:eastAsia="Times New Roman" w:hAnsi="Times New Roman"/>
          <w:sz w:val="20"/>
          <w:szCs w:val="20"/>
          <w:color w:val="auto"/>
        </w:rPr>
        <w:t xml:space="preserve">”) pursuant to the procedures described in this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(A) no proceeds from Revolving Credit Loans shall be used to consummate any such Discounted Voluntary Prepayment, (B) any Discounted Voluntary Prepayment shall be offered to all Term Lenders of such Class on a pro rata basis, (C) [reserved] and (D) the Borrower shall deliver to the Administrative Agent, together with each Discounted Prepayment Option Notice, a certificate of a Responsible Officer of the Borrower (1) stating that no Event of Default under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1"/>
          <w:szCs w:val="21"/>
          <w:u w:val="single" w:color="auto"/>
          <w:color w:val="auto"/>
        </w:rPr>
        <w:t>Section 8.01(f)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each case, with respect to the Borrower) has occurred and is continuing or would result from the Discounted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Voluntary Prepayment, (2) stating that each of the conditions to such Discounted Voluntary Prepayment contained in this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19"/>
          <w:szCs w:val="19"/>
          <w:color w:val="auto"/>
        </w:rPr>
        <w:t xml:space="preserve"> has been satisfied and (3) specifying the aggregate principal amount of Term Loans of any Class offered to be prepaid pursuant to such Discounted Voluntary Prepayment.</w:t>
      </w:r>
    </w:p>
    <w:p>
      <w:pPr>
        <w:spacing w:after="0" w:line="201" w:lineRule="exact"/>
        <w:rPr>
          <w:rFonts w:ascii="Times New Roman" w:cs="Times New Roman" w:eastAsia="Times New Roman" w:hAnsi="Times New Roman"/>
          <w:sz w:val="20"/>
          <w:szCs w:val="20"/>
          <w:color w:val="auto"/>
        </w:rPr>
      </w:pPr>
    </w:p>
    <w:p>
      <w:pPr>
        <w:ind w:firstLine="1304"/>
        <w:spacing w:after="0" w:line="262" w:lineRule="auto"/>
        <w:tabs>
          <w:tab w:leader="none" w:pos="177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To the extent the Borrower seeks to make a Discounted Voluntary Prepayment, the Borrower will provide written notice to the Administrative Agent substantially in the form of </w:t>
      </w:r>
      <w:r>
        <w:rPr>
          <w:rFonts w:ascii="Times New Roman" w:cs="Times New Roman" w:eastAsia="Times New Roman" w:hAnsi="Times New Roman"/>
          <w:sz w:val="21"/>
          <w:szCs w:val="21"/>
          <w:u w:val="single" w:color="auto"/>
          <w:color w:val="auto"/>
        </w:rPr>
        <w:t>Exhibit H</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084" w:right="339" w:bottom="1440" w:gutter="0" w:footer="0" w:header="0"/>
        </w:sectPr>
      </w:pPr>
    </w:p>
    <w:bookmarkStart w:id="202" w:name="page203"/>
    <w:bookmarkEnd w:id="202"/>
    <w:p>
      <w:pPr>
        <w:jc w:val="both"/>
        <w:spacing w:after="0" w:line="245" w:lineRule="auto"/>
        <w:rPr>
          <w:sz w:val="20"/>
          <w:szCs w:val="20"/>
          <w:color w:val="auto"/>
        </w:rPr>
      </w:pPr>
      <w:r>
        <w:rPr>
          <w:rFonts w:ascii="Times New Roman" w:cs="Times New Roman" w:eastAsia="Times New Roman" w:hAnsi="Times New Roman"/>
          <w:sz w:val="20"/>
          <w:szCs w:val="20"/>
          <w:color w:val="auto"/>
        </w:rPr>
        <w:t>hereto (each, a “</w:t>
      </w:r>
      <w:r>
        <w:rPr>
          <w:rFonts w:ascii="Times New Roman" w:cs="Times New Roman" w:eastAsia="Times New Roman" w:hAnsi="Times New Roman"/>
          <w:sz w:val="21"/>
          <w:szCs w:val="21"/>
          <w:u w:val="single" w:color="auto"/>
          <w:color w:val="auto"/>
        </w:rPr>
        <w:t>Discounted Prepayment Option Notice</w:t>
      </w:r>
      <w:r>
        <w:rPr>
          <w:rFonts w:ascii="Times New Roman" w:cs="Times New Roman" w:eastAsia="Times New Roman" w:hAnsi="Times New Roman"/>
          <w:sz w:val="20"/>
          <w:szCs w:val="20"/>
          <w:color w:val="auto"/>
        </w:rPr>
        <w:t>”) that the Borrower desires to prepay Term Loans of one or more specified Classes in an aggregate principal amount specified therein by the Borrower (each, a “</w:t>
      </w:r>
      <w:r>
        <w:rPr>
          <w:rFonts w:ascii="Times New Roman" w:cs="Times New Roman" w:eastAsia="Times New Roman" w:hAnsi="Times New Roman"/>
          <w:sz w:val="21"/>
          <w:szCs w:val="21"/>
          <w:u w:val="single" w:color="auto"/>
          <w:color w:val="auto"/>
        </w:rPr>
        <w:t>Proposed Discounted Prepayment Amount</w:t>
      </w:r>
      <w:r>
        <w:rPr>
          <w:rFonts w:ascii="Times New Roman" w:cs="Times New Roman" w:eastAsia="Times New Roman" w:hAnsi="Times New Roman"/>
          <w:sz w:val="20"/>
          <w:szCs w:val="20"/>
          <w:color w:val="auto"/>
        </w:rPr>
        <w:t>”), in each case at a discount to the par value of such Loans as specified below. The Proposed Discounted Prepayment Amount of any Loans shall not be less than $5.0 million. The Discounted Prepayment Option Notice shall further specify with respect to the proposed Discounted Voluntary Prepayment (A) the Proposed Discounted Prepayment Amount for Loans to be prepaid, (B) a discount range (which may be a single percentage) selected by the Borrower with respect to such proposed Discounted Voluntary Prepayment equal to a percentage of par of the principal amount of the Loans to be prepaid (the “</w:t>
      </w:r>
      <w:r>
        <w:rPr>
          <w:rFonts w:ascii="Times New Roman" w:cs="Times New Roman" w:eastAsia="Times New Roman" w:hAnsi="Times New Roman"/>
          <w:sz w:val="21"/>
          <w:szCs w:val="21"/>
          <w:u w:val="single" w:color="auto"/>
          <w:color w:val="auto"/>
        </w:rPr>
        <w:t>Discount Range</w:t>
      </w:r>
      <w:r>
        <w:rPr>
          <w:rFonts w:ascii="Times New Roman" w:cs="Times New Roman" w:eastAsia="Times New Roman" w:hAnsi="Times New Roman"/>
          <w:sz w:val="20"/>
          <w:szCs w:val="20"/>
          <w:color w:val="auto"/>
        </w:rPr>
        <w:t>”), and (C) the date by which Lenders are required to indicate their election to participate in such proposed Discounted Voluntary Prepayment, which shall be at least five Business Days from and including the date of the Discounted Prepayment Option Notice (the “</w:t>
      </w:r>
      <w:r>
        <w:rPr>
          <w:rFonts w:ascii="Times New Roman" w:cs="Times New Roman" w:eastAsia="Times New Roman" w:hAnsi="Times New Roman"/>
          <w:sz w:val="21"/>
          <w:szCs w:val="21"/>
          <w:u w:val="single" w:color="auto"/>
          <w:color w:val="auto"/>
        </w:rPr>
        <w:t>Acceptance Date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45" w:lineRule="auto"/>
        <w:tabs>
          <w:tab w:leader="none" w:pos="185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(iii) Upon receipt of a Discounted Prepayment Option Notice, the Administrative Agent shall promptly notify each applicable Lender thereof. On or prior to the Acceptance Date, each such Lender may specify by written notice substantially in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hereto (each, a “</w:t>
      </w:r>
      <w:r>
        <w:rPr>
          <w:rFonts w:ascii="Times New Roman" w:cs="Times New Roman" w:eastAsia="Times New Roman" w:hAnsi="Times New Roman"/>
          <w:sz w:val="21"/>
          <w:szCs w:val="21"/>
          <w:u w:val="single" w:color="auto"/>
          <w:color w:val="auto"/>
        </w:rPr>
        <w:t>Lender Participation Notice</w:t>
      </w:r>
      <w:r>
        <w:rPr>
          <w:rFonts w:ascii="Times New Roman" w:cs="Times New Roman" w:eastAsia="Times New Roman" w:hAnsi="Times New Roman"/>
          <w:sz w:val="19"/>
          <w:szCs w:val="19"/>
          <w:color w:val="auto"/>
        </w:rPr>
        <w:t>”) to the Administrative Agent (A) a maximum discount to par (the “</w:t>
      </w:r>
      <w:r>
        <w:rPr>
          <w:rFonts w:ascii="Times New Roman" w:cs="Times New Roman" w:eastAsia="Times New Roman" w:hAnsi="Times New Roman"/>
          <w:sz w:val="21"/>
          <w:szCs w:val="21"/>
          <w:u w:val="single" w:color="auto"/>
          <w:color w:val="auto"/>
        </w:rPr>
        <w:t>Acceptable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Discount</w:t>
      </w:r>
      <w:r>
        <w:rPr>
          <w:rFonts w:ascii="Times New Roman" w:cs="Times New Roman" w:eastAsia="Times New Roman" w:hAnsi="Times New Roman"/>
          <w:sz w:val="19"/>
          <w:szCs w:val="19"/>
          <w:color w:val="auto"/>
        </w:rPr>
        <w:t>”) within the Discount Range (for example, a Lender specifying a discount to par of 20.0% would accept a purchase price of 80.0%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the par value of the Loans to be prepaid) and (B) a maximum principal amount (subject to rounding requirements specified by the Administrative Agent) of the Term Loans to be prepaid held by such Lender with respect to which such Lender is willing to permit a Discounted Voluntary Prepayment at the Acceptable Discount (“</w:t>
      </w:r>
      <w:r>
        <w:rPr>
          <w:rFonts w:ascii="Times New Roman" w:cs="Times New Roman" w:eastAsia="Times New Roman" w:hAnsi="Times New Roman"/>
          <w:sz w:val="21"/>
          <w:szCs w:val="21"/>
          <w:u w:val="single" w:color="auto"/>
          <w:color w:val="auto"/>
        </w:rPr>
        <w:t>Offered Loans</w:t>
      </w:r>
      <w:r>
        <w:rPr>
          <w:rFonts w:ascii="Times New Roman" w:cs="Times New Roman" w:eastAsia="Times New Roman" w:hAnsi="Times New Roman"/>
          <w:sz w:val="19"/>
          <w:szCs w:val="19"/>
          <w:color w:val="auto"/>
        </w:rPr>
        <w:t>”). Based on the Acceptable Discounts and principal amounts of the Term Loans to be prepaid specified by the Lenders in the applicable Lender Participation Notice, the Administrative Agent, in consultation with the Borrower, shall determine the applicable discount for such Term Loans to be prepaid (the “</w:t>
      </w:r>
      <w:r>
        <w:rPr>
          <w:rFonts w:ascii="Times New Roman" w:cs="Times New Roman" w:eastAsia="Times New Roman" w:hAnsi="Times New Roman"/>
          <w:sz w:val="21"/>
          <w:szCs w:val="21"/>
          <w:u w:val="single" w:color="auto"/>
          <w:color w:val="auto"/>
        </w:rPr>
        <w:t>Applicable Discount</w:t>
      </w:r>
      <w:r>
        <w:rPr>
          <w:rFonts w:ascii="Times New Roman" w:cs="Times New Roman" w:eastAsia="Times New Roman" w:hAnsi="Times New Roman"/>
          <w:sz w:val="19"/>
          <w:szCs w:val="19"/>
          <w:color w:val="auto"/>
        </w:rPr>
        <w:t xml:space="preserve">”), which Applicable Discount shall be (A) the percentage specified by the Borrower if the Borrower has selected a single percentage pursuant to </w:t>
      </w:r>
      <w:r>
        <w:rPr>
          <w:rFonts w:ascii="Times New Roman" w:cs="Times New Roman" w:eastAsia="Times New Roman" w:hAnsi="Times New Roman"/>
          <w:sz w:val="21"/>
          <w:szCs w:val="21"/>
          <w:u w:val="single" w:color="auto"/>
          <w:color w:val="auto"/>
        </w:rPr>
        <w:t>Section 2.05(d)(ii)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for the Discounted Voluntary Prepayment or (B) otherwise, the highest Acceptable Discount at which the Borrower can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pay the Proposed Discounted Prepayment Amount in full (determined by adding the Outstanding Amount of Offered Loans commencing with the Offered Loans with the highest Acceptable Discount);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19"/>
          <w:szCs w:val="19"/>
          <w:color w:val="auto"/>
        </w:rPr>
        <w:t>, that in the event that such Proposed Discounted Prepayment Amount cannot be repaid in full at any Acceptable Discount, the Applicable Discount shall be the lowest Acceptable Discount specified by the Lenders that is within the Discount Range. The Applicable Discount shall be applicable for all Lenders who have offered to participate in the Discounted Voluntary Prepayment and have Qualifying Loans. Any Lender with outstanding Term Loans to be prepaid whose Lender Participation Notice is not received by the Administrative Agent by the Acceptance Date shall be deemed to have declined to accept a Discounted Voluntary Prepayment of any of its Loans at any discount to their par value within the Applicable Discount.</w:t>
      </w:r>
    </w:p>
    <w:p>
      <w:pPr>
        <w:spacing w:after="0" w:line="198" w:lineRule="exact"/>
        <w:rPr>
          <w:rFonts w:ascii="Times New Roman" w:cs="Times New Roman" w:eastAsia="Times New Roman" w:hAnsi="Times New Roman"/>
          <w:sz w:val="20"/>
          <w:szCs w:val="20"/>
          <w:color w:val="auto"/>
        </w:rPr>
      </w:pPr>
    </w:p>
    <w:p>
      <w:pPr>
        <w:jc w:val="both"/>
        <w:ind w:firstLine="1304"/>
        <w:spacing w:after="0"/>
        <w:tabs>
          <w:tab w:leader="none" w:pos="185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make a Discounted Voluntary Prepayment by prepaying those Term Loans to be prepaid (or the respective portions thereof) offered by the Lenders (“</w:t>
      </w:r>
      <w:r>
        <w:rPr>
          <w:rFonts w:ascii="Times New Roman" w:cs="Times New Roman" w:eastAsia="Times New Roman" w:hAnsi="Times New Roman"/>
          <w:sz w:val="21"/>
          <w:szCs w:val="21"/>
          <w:u w:val="single" w:color="auto"/>
          <w:color w:val="auto"/>
        </w:rPr>
        <w:t>Qualifying Lenders</w:t>
      </w:r>
      <w:r>
        <w:rPr>
          <w:rFonts w:ascii="Times New Roman" w:cs="Times New Roman" w:eastAsia="Times New Roman" w:hAnsi="Times New Roman"/>
          <w:sz w:val="20"/>
          <w:szCs w:val="20"/>
          <w:color w:val="auto"/>
        </w:rPr>
        <w:t>”) that specify an Acceptable Discount that is equal to or greater than the Applicable Discount (“</w:t>
      </w:r>
      <w:r>
        <w:rPr>
          <w:rFonts w:ascii="Times New Roman" w:cs="Times New Roman" w:eastAsia="Times New Roman" w:hAnsi="Times New Roman"/>
          <w:sz w:val="21"/>
          <w:szCs w:val="21"/>
          <w:u w:val="single" w:color="auto"/>
          <w:color w:val="auto"/>
        </w:rPr>
        <w:t>Qualifying Loans</w:t>
      </w:r>
      <w:r>
        <w:rPr>
          <w:rFonts w:ascii="Times New Roman" w:cs="Times New Roman" w:eastAsia="Times New Roman" w:hAnsi="Times New Roman"/>
          <w:sz w:val="20"/>
          <w:szCs w:val="20"/>
          <w:color w:val="auto"/>
        </w:rPr>
        <w:t xml:space="preserve">”) at the Applicable Discount,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if the aggregate proceeds required to prepay all Qualifying Loans (disregarding any interest payable at such time) would exceed the amount of aggregate proceeds required to prepay the Proposed Discounted Prepayment Amount, such amounts in each case calculated by applying the Applicable Discount, the Borrower shall prepay such Qualifying Loans ratably among the Qualifying Lenders based on their respective principal amounts of such Qualifying Loans (subject to rounding requirements specified by the Administrative Agent). If the aggregate proceeds required to prepay all Qualifying Loans (disregarding any interest payable at such time) would be less than the amount of aggregate proceeds required to prepay the Proposed Discounted Prepayment Amount, such amounts in each case calculated by applying the Applicable Discount, the Borrower shall prepay all Qualifying Loans.</w:t>
      </w:r>
    </w:p>
    <w:p>
      <w:pPr>
        <w:spacing w:after="0" w:line="18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7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Discounted Voluntary Prepayment shall be made within five (5) Business Days of the Acceptance Date (or such later date as the Administrative Agent shall reasonably agree, given the time required to calculate the Applicable Discount and determine the amount and holders of Qualifying Loans), without premium or penalty (but subject to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0"/>
          <w:szCs w:val="20"/>
          <w:color w:val="auto"/>
        </w:rPr>
        <w:t xml:space="preserve">), upon irrevocable notice substantially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1"/>
          <w:szCs w:val="21"/>
          <w:u w:val="single" w:color="auto"/>
          <w:color w:val="auto"/>
        </w:rPr>
        <w:t>Discounted Voluntary Prepayment Notice</w:t>
      </w:r>
      <w:r>
        <w:rPr>
          <w:rFonts w:ascii="Times New Roman" w:cs="Times New Roman" w:eastAsia="Times New Roman" w:hAnsi="Times New Roman"/>
          <w:sz w:val="20"/>
          <w:szCs w:val="20"/>
          <w:color w:val="auto"/>
        </w:rPr>
        <w:t>”),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084" w:right="339" w:bottom="1440" w:gutter="0" w:footer="0" w:header="0"/>
        </w:sectPr>
      </w:pPr>
    </w:p>
    <w:bookmarkStart w:id="203" w:name="page204"/>
    <w:bookmarkEnd w:id="203"/>
    <w:p>
      <w:pPr>
        <w:jc w:val="both"/>
        <w:spacing w:after="0" w:line="247" w:lineRule="auto"/>
        <w:rPr>
          <w:sz w:val="20"/>
          <w:szCs w:val="20"/>
          <w:color w:val="auto"/>
        </w:rPr>
      </w:pPr>
      <w:r>
        <w:rPr>
          <w:rFonts w:ascii="Times New Roman" w:cs="Times New Roman" w:eastAsia="Times New Roman" w:hAnsi="Times New Roman"/>
          <w:sz w:val="20"/>
          <w:szCs w:val="20"/>
          <w:color w:val="auto"/>
        </w:rPr>
        <w:t>no later than 1:00 p.m., New York City time, three (3) Business Days prior to the date of such Discounted Voluntary Prepayment, which notice shall specify the date and amount of the Discounted Voluntary Prepayment and the Applicable Discount determined by the</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Administrative Agent. Upon receipt of any Discounted Voluntary Prepayment Notice, the Administrative Agent shall promptly notify each relevant Lender thereof. If any Discounted Voluntary Prepayment Notice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 The par principal amount of each Discounted Voluntary Prepayment of a Term Loan shall be applied ratably to reduce the remaining installments of such Class of Term Loans (as applicable).</w:t>
      </w:r>
    </w:p>
    <w:p>
      <w:pPr>
        <w:spacing w:after="0" w:line="200" w:lineRule="exact"/>
        <w:rPr>
          <w:sz w:val="20"/>
          <w:szCs w:val="20"/>
          <w:color w:val="auto"/>
        </w:rPr>
      </w:pPr>
    </w:p>
    <w:p>
      <w:pPr>
        <w:jc w:val="both"/>
        <w:ind w:firstLine="1304"/>
        <w:spacing w:after="0" w:line="251" w:lineRule="auto"/>
        <w:tabs>
          <w:tab w:leader="none" w:pos="163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expressly provided for herein, each Discounted Voluntary Prepayment shall be consummated pursuant to procedures (including as to timing, rounding, minimum amounts, Type and Interest Periods and calculation of Applicable Discount in accordance with </w:t>
      </w:r>
      <w:r>
        <w:rPr>
          <w:rFonts w:ascii="Times New Roman" w:cs="Times New Roman" w:eastAsia="Times New Roman" w:hAnsi="Times New Roman"/>
          <w:sz w:val="21"/>
          <w:szCs w:val="21"/>
          <w:u w:val="single" w:color="auto"/>
          <w:color w:val="auto"/>
        </w:rPr>
        <w:t>Section 2.05(d)(ii)</w:t>
      </w:r>
      <w:r>
        <w:rPr>
          <w:rFonts w:ascii="Times New Roman" w:cs="Times New Roman" w:eastAsia="Times New Roman" w:hAnsi="Times New Roman"/>
          <w:sz w:val="20"/>
          <w:szCs w:val="20"/>
          <w:color w:val="auto"/>
        </w:rPr>
        <w:t xml:space="preserve"> above) established by the Administrative Agent and the Borrower, each acting reasonably.</w:t>
      </w:r>
    </w:p>
    <w:p>
      <w:pPr>
        <w:spacing w:after="0" w:line="184"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1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delivery of a Discounted Voluntary Prepayment Notice, (A) upon written notice to the Administrative Agent, the Borrower may withdraw or modify its offer to make a Discounted Voluntary Prepayment pursuant to any Discounted Prepayment Option Notice and (B) no Lender may withdraw its offer to participate in a Discounted Voluntary Prepayment pursuant to any Lender Participation Notice unless the terms of such proposed Discounted Voluntary Prepayment have been modified by the Borrower after the date of such Lender Participation Notice.</w:t>
      </w:r>
    </w:p>
    <w:p>
      <w:pPr>
        <w:spacing w:after="0" w:line="186"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0"/>
          <w:szCs w:val="20"/>
          <w:color w:val="auto"/>
        </w:rPr>
        <w:t xml:space="preserve"> shall require the Borrower to undertake any Discounted Voluntary Prepayment.</w:t>
      </w:r>
    </w:p>
    <w:p>
      <w:pPr>
        <w:spacing w:after="0" w:line="21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Termination or Reduction of Commitments</w:t>
      </w:r>
    </w:p>
    <w:p>
      <w:pPr>
        <w:spacing w:after="0" w:line="193" w:lineRule="exact"/>
        <w:rPr>
          <w:sz w:val="20"/>
          <w:szCs w:val="20"/>
          <w:color w:val="auto"/>
        </w:rPr>
      </w:pPr>
    </w:p>
    <w:p>
      <w:pPr>
        <w:jc w:val="both"/>
        <w:ind w:firstLine="1304"/>
        <w:spacing w:after="0" w:line="232" w:lineRule="auto"/>
        <w:tabs>
          <w:tab w:leader="none" w:pos="198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The Borrower may at any time, without premium or penalty, upon written notice to the Administrative Agent, terminate the unused Commitments of any Class, or from time to time permanently reduce the unused Commitments of any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(i) any such notice shall be received by the Administrative Agent three (3) Business Days prior to the date of termination or reduction, (ii) any such partial reduction shall be in an aggregate amount that is an integral multiple of $1.0 million and not less than $1.0 million and (iii) the Borrower shall not terminate or reduce any Class of Revolving Credit Commitments if, after giving effect to any concurrent repayment of the Revolving Credit Loans of such Class, the aggregate Revolving Credit Exposure of all Lenders in respect of the Revolving Credit Facility (excluding the portion of such Class of Revolving Credit Exposures attributable to outstanding Letters of Credit if and to the extent that the Borrower has made arrangements satisfactory to the Administrative Agent and the applicable L/C Issuer with respect to such Letters of Credit and such L/C Issuer has released the Revolving Credit Lenders from their participation obligations with respect to such Letters of Credit) would exceed the aggregate Revolving Credit Commitments. The amount of any such Commitment reduction shall not be applied to the Letter of Credit Sublimit unless, after giving effect to any reduction of the Commitments, the Letter of Credit Sublimit exceeds the amount of the Revolving Credit Facility, in which case such sublimit shall be automatically reduced by the amount of such excess. Notwithstanding the foregoing, the Borrower may rescind or postpone any notice of termination of the Commitments if such termination would have resulted from a refinancing, which refinancing shall not be consummated or otherwise shall be delayed.</w:t>
      </w:r>
    </w:p>
    <w:p>
      <w:pPr>
        <w:spacing w:after="0" w:line="17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5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 xml:space="preserve">. The </w:t>
      </w:r>
      <w:r>
        <w:rPr>
          <w:rFonts w:ascii="Cambria" w:cs="Cambria" w:eastAsia="Cambria" w:hAnsi="Cambria"/>
          <w:sz w:val="22"/>
          <w:szCs w:val="22"/>
          <w:b w:val="1"/>
          <w:bCs w:val="1"/>
          <w:color w:val="auto"/>
        </w:rPr>
        <w:t>Initial</w:t>
      </w:r>
      <w:r>
        <w:rPr>
          <w:rFonts w:ascii="Times New Roman" w:cs="Times New Roman" w:eastAsia="Times New Roman" w:hAnsi="Times New Roman"/>
          <w:sz w:val="22"/>
          <w:szCs w:val="22"/>
          <w:color w:val="auto"/>
        </w:rPr>
        <w:t xml:space="preserve"> Term Commitment of each Term Lender shall be automatically and permanently reduced to $0 upon the making of such Initial Term Lender’s Term Loans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The Revolving Credit Commitments shall terminate on the Maturity Date therefor. The Extended Revolving Credit Commitments shall terminate on the respective maturity dates applicable thereto.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089" w:right="339" w:bottom="1440" w:gutter="0" w:footer="0" w:header="0"/>
        </w:sectPr>
      </w:pPr>
    </w:p>
    <w:bookmarkStart w:id="204" w:name="page205"/>
    <w:bookmarkEnd w:id="204"/>
    <w:p>
      <w:pPr>
        <w:jc w:val="both"/>
        <w:ind w:firstLine="1304"/>
        <w:spacing w:after="0" w:line="236" w:lineRule="auto"/>
        <w:tabs>
          <w:tab w:leader="none" w:pos="1819"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Commitment Reductions; Payment of Fees</w:t>
      </w:r>
      <w:r>
        <w:rPr>
          <w:rFonts w:ascii="Times New Roman" w:cs="Times New Roman" w:eastAsia="Times New Roman" w:hAnsi="Times New Roman"/>
          <w:sz w:val="22"/>
          <w:szCs w:val="22"/>
          <w:color w:val="auto"/>
        </w:rPr>
        <w:t xml:space="preserve">. The Administrative Agent will promptly notify the Lenders of any termination or reduction of unused Commitments of any Class under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Upon any reduction of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All Commitment Fees accrued until the Closing Date of any termination of the Revolving Credit Commitments shall be paid on the Closing Date of such termination.</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Repayment of Loans.</w:t>
      </w:r>
    </w:p>
    <w:p>
      <w:pPr>
        <w:spacing w:after="0" w:line="206" w:lineRule="exact"/>
        <w:rPr>
          <w:sz w:val="20"/>
          <w:szCs w:val="20"/>
          <w:color w:val="auto"/>
        </w:rPr>
      </w:pPr>
    </w:p>
    <w:p>
      <w:pPr>
        <w:jc w:val="both"/>
        <w:ind w:firstLine="1304"/>
        <w:spacing w:after="0" w:line="242" w:lineRule="auto"/>
        <w:tabs>
          <w:tab w:leader="none" w:pos="181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19"/>
          <w:szCs w:val="19"/>
          <w:color w:val="auto"/>
        </w:rPr>
        <w:t>. Commencing on June 30, 2021, the Borrower shall repay to the Administrative Agent for the ratable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account of the Term Lenders holding Initial Term Loans (i) on the last Business Day of each March, June, September and December that occurs prior to the Amendment No. 1 Effective Date, commencing with the first such date to occur after the Closing Date, an aggregate principal amount equal to 0.25% of the aggregate principal amount of the Initial Term Loans funded on the Closing Date, (ii) on the last Business Day of each March, June, September and December </w:t>
      </w:r>
      <w:r>
        <w:rPr>
          <w:rFonts w:ascii="Times New Roman" w:cs="Times New Roman" w:eastAsia="Times New Roman" w:hAnsi="Times New Roman"/>
          <w:sz w:val="21"/>
          <w:szCs w:val="21"/>
          <w:color w:val="auto"/>
        </w:rPr>
        <w:t>that occurs prior to the Initial Term Loan Maturity Date,</w:t>
      </w:r>
      <w:r>
        <w:rPr>
          <w:rFonts w:ascii="Times New Roman" w:cs="Times New Roman" w:eastAsia="Times New Roman" w:hAnsi="Times New Roman"/>
          <w:sz w:val="19"/>
          <w:szCs w:val="19"/>
          <w:color w:val="auto"/>
        </w:rPr>
        <w:t xml:space="preserve"> commencing with the first such date to occur after the Amendment No. 1 Effective Date, an aggregate principal amount equal to 0.25% of the aggregate principal amount of all Initial Term Loans on the Amendment No. 1 Effective Date and (iii) on the Maturity Date for the Initial Term Loans, the aggregate principal amount of all Initial Term Loans outstanding on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9"/>
          <w:szCs w:val="19"/>
          <w:color w:val="auto"/>
        </w:rPr>
        <w:t xml:space="preserve"> that payments required by </w:t>
      </w:r>
      <w:r>
        <w:rPr>
          <w:rFonts w:ascii="Times New Roman" w:cs="Times New Roman" w:eastAsia="Times New Roman" w:hAnsi="Times New Roman"/>
          <w:sz w:val="21"/>
          <w:szCs w:val="21"/>
          <w:u w:val="single" w:color="auto"/>
          <w:color w:val="auto"/>
        </w:rPr>
        <w:t>Section 2.07(a)(i)</w:t>
      </w:r>
      <w:r>
        <w:rPr>
          <w:rFonts w:ascii="Times New Roman" w:cs="Times New Roman" w:eastAsia="Times New Roman" w:hAnsi="Times New Roman"/>
          <w:sz w:val="19"/>
          <w:szCs w:val="19"/>
          <w:color w:val="auto"/>
        </w:rPr>
        <w:t xml:space="preserve"> above shall be reduced as a result of the application of prepayments in accordance with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19"/>
          <w:szCs w:val="19"/>
          <w:color w:val="auto"/>
        </w:rPr>
        <w:t>. In the event any Incremental Term Loans or Extended Term Loans are made, such Incremental Term Loans or Extended Term Loans, as applicable, shall be repaid by the Borrower in the amounts and on the dates set forth in the definitive documentation with respect thereto and on the applicable Maturity Date thereof.</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firstLine="1304"/>
        <w:spacing w:after="0"/>
        <w:tabs>
          <w:tab w:leader="none" w:pos="188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19"/>
          <w:szCs w:val="19"/>
          <w:color w:val="auto"/>
        </w:rPr>
        <w:t>. The Borrower shall repay to the Administrative Agent for the ratable account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Appropriate Lenders on the Maturity Date for the Revolving Credit Facility the principal amount of each of its Revolving Credit Loans outstanding on such date in the currency in which such Revolving Credit Loan is denominated (which for the avoidance of doubt shall be Dollars).</w:t>
      </w:r>
    </w:p>
    <w:p>
      <w:pPr>
        <w:spacing w:after="0" w:line="39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both"/>
        <w:ind w:firstLine="1304"/>
        <w:spacing w:after="0" w:line="236" w:lineRule="auto"/>
        <w:tabs>
          <w:tab w:leader="none" w:pos="187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(i) each SOFR Loan shall bear interest on the outstanding principal amount thereof for each Interest Period at a rate per annum equal to Adjusted Term SOFR for such Interest Period plus the Applicable Rate; (ii) each Base Rate Loan shall bear interest on the outstanding </w:t>
      </w:r>
      <w:r>
        <w:rPr>
          <w:rFonts w:ascii="Times New Roman" w:cs="Times New Roman" w:eastAsia="Times New Roman" w:hAnsi="Times New Roman"/>
          <w:sz w:val="19"/>
          <w:szCs w:val="19"/>
          <w:color w:val="auto"/>
        </w:rPr>
        <w:t>principal</w:t>
      </w:r>
      <w:r>
        <w:rPr>
          <w:rFonts w:ascii="Times New Roman" w:cs="Times New Roman" w:eastAsia="Times New Roman" w:hAnsi="Times New Roman"/>
          <w:sz w:val="22"/>
          <w:szCs w:val="22"/>
          <w:color w:val="auto"/>
        </w:rPr>
        <w:t xml:space="preserve"> amount thereof from the applicable borrowing date at a rate per annum equal to the Base Rate plus the Applicable Rate; and (iii) if applicable, each Daily SOFR Loan shall bear interest on the outstanding principal amount thereof from the applicable borrowing date at a rate per annum equal to Daily Simple SOFR plus the Applicable Rate.</w:t>
      </w:r>
    </w:p>
    <w:p>
      <w:pPr>
        <w:spacing w:after="0" w:line="18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0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interest on past due amounts under this Agreement at a fluctuating interest rate per annum at all times equal to the Default Rate to the fullest extent permitted by applicable Laws. Accrued and unpaid interest on past due amounts (including interest on past due interest) shall be due and payable upon demand to the fullest extent permitted by and subject to applicable Laws, including in relation to any required additional agreements.</w:t>
      </w:r>
    </w:p>
    <w:p>
      <w:pPr>
        <w:spacing w:after="0" w:line="179"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76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in the currency in which such Loan is denominated in arrears on each Interest Payment Date applicable thereto and at such other times as may be specified herein. Interest hereunder shall be due and payable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08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hereof before and after judgment, and before and after the commencement of any proceeding under any Debtor Relief Law.</w:t>
      </w:r>
    </w:p>
    <w:p>
      <w:pPr>
        <w:spacing w:after="0" w:line="20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 xml:space="preserve">Fees. </w:t>
      </w:r>
      <w:r>
        <w:rPr>
          <w:rFonts w:ascii="Times New Roman" w:cs="Times New Roman" w:eastAsia="Times New Roman" w:hAnsi="Times New Roman"/>
          <w:sz w:val="21"/>
          <w:szCs w:val="21"/>
          <w:color w:val="auto"/>
        </w:rPr>
        <w:t>In addition to certain fees described in</w:t>
      </w:r>
      <w:r>
        <w:rPr>
          <w:rFonts w:ascii="Times New Roman" w:cs="Times New Roman" w:eastAsia="Times New Roman" w:hAnsi="Times New Roman"/>
          <w:sz w:val="21"/>
          <w:szCs w:val="21"/>
          <w:u w:val="single" w:color="auto"/>
          <w:color w:val="auto"/>
        </w:rPr>
        <w:t xml:space="preserve"> Sections 2.03(g)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(h)</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60" w:firstLine="644"/>
        <w:spacing w:after="0" w:line="245" w:lineRule="auto"/>
        <w:tabs>
          <w:tab w:leader="none" w:pos="183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The Borrower shall pay to the Administrative Agent for the account of each Revolving Credit Lender under the Revolving Credit Facility a commitment fee in Dollars (the “</w:t>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xml:space="preserve">”) at a per annum rate equal to the Applicable Rate on the actual daily amount by which the Revolving Credit Commitment of such Revolving Credit Lender exceeds the Revolving Credit Exposure of such Lender. The Commitment Fee for the Revolving Credit Facility shall accrue at all times from the Closing Date until the Maturity Date for the Revolving Credit Facility, including at any time during which one or more of the conditions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 not met, and shall be due and payable quarterly in arrears on the last Business Day of each March, June, September and December, commencing with the second such date to occur after the Closing Date, and on the Maturity Date for the Revolving Credit Facility.</w:t>
      </w:r>
    </w:p>
    <w:p>
      <w:pPr>
        <w:spacing w:after="0" w:line="174" w:lineRule="exact"/>
        <w:rPr>
          <w:rFonts w:ascii="Times New Roman" w:cs="Times New Roman" w:eastAsia="Times New Roman" w:hAnsi="Times New Roman"/>
          <w:sz w:val="21"/>
          <w:szCs w:val="21"/>
          <w:color w:val="auto"/>
        </w:rPr>
      </w:pPr>
    </w:p>
    <w:p>
      <w:pPr>
        <w:jc w:val="both"/>
        <w:ind w:left="660" w:firstLine="644"/>
        <w:spacing w:after="0" w:line="244" w:lineRule="auto"/>
        <w:tabs>
          <w:tab w:leader="none" w:pos="184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The Borrower shall pay to the Agents such fees as shall have been separately agreed upon in writing in the amounts and at the times so specified. Such fees shall be fully earned when paid and shall not be refundable for any reason whatsoever (except as expressly agreed between the Borrower and the applicable Agent).</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Computation of Interest and Fees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4" w:lineRule="auto"/>
        <w:tabs>
          <w:tab w:leader="none" w:pos="1777"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computations of interest for Base Rate Loans when the Base Rate is determined by the Prime Rate shall be made on the basis of a year of 365 or 366 days, as the case may be, and actual days elapsed. All other computations of fees and interest shall be made on the basis of a three hundred sixty (360) day year and actual days elapsed. Interest shall accrue on each Loan for the day on which such Loan is made, and shall not accrue on such Loan, or any portion thereof, for the day on which such Loan or such portion is 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Loan that is repaid on the same day on which it is made shall, subject to Section 2.12(a), bear interest for one (1) day. Each determination by the Administrative Agent of an interest rate or fee hereunder shall be conclusive and binding for all purposes, absent manifest error.</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Agreement, whenever interest is to be calculated on the basis of a period of time other than a calendar year, the annual rate of interest to which each rate of interest determined pursuant to such calculation is equivalent for the purposes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is such rate as so determined multiplied by the actual number of days in the calendar year in which the same is to be ascertained and divided by the number of days used in the basis of such determination.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5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all calculations of interest under the Loan Documents are to be made on the basis of the nominal interest rate described herein and not on the basis of effective yearly rates or on any other basis which gives effect to the principle of deemed reinvestment of interest. The parties acknowledge that there is a material difference between the stated nominal interest rates and the effective yearly rates of interest and that they are capable of making the calculations required to determine such effective yearly rates of interest.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Evidence of Indebtedness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4" w:lineRule="auto"/>
        <w:tabs>
          <w:tab w:leader="none" w:pos="192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084" w:right="339" w:bottom="1440" w:gutter="0" w:footer="0" w:header="0"/>
        </w:sectPr>
      </w:pPr>
    </w:p>
    <w:bookmarkStart w:id="206" w:name="page207"/>
    <w:bookmarkEnd w:id="206"/>
    <w:p>
      <w:pPr>
        <w:jc w:val="both"/>
        <w:spacing w:after="0" w:line="236" w:lineRule="auto"/>
        <w:rPr>
          <w:sz w:val="20"/>
          <w:szCs w:val="20"/>
          <w:color w:val="auto"/>
        </w:rPr>
      </w:pPr>
      <w:r>
        <w:rPr>
          <w:rFonts w:ascii="Times New Roman" w:cs="Times New Roman" w:eastAsia="Times New Roman" w:hAnsi="Times New Roman"/>
          <w:sz w:val="22"/>
          <w:szCs w:val="22"/>
          <w:color w:val="auto"/>
        </w:rPr>
        <w:t>Borrower hereunder to pay any amount owing with respect to the Secured Obligations. In the event of any conflict between the accounts and records maintained by any Lender and the Register, the Register shall be conclusive in the absence of demonstrable error. Upon the request of any Lender made through the Administrative Agent, the Borrower shall execute and deliver to such Lender (through the Administrative Agent) a Note payable to such Lender or its registered assigns,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68" w:lineRule="exact"/>
        <w:rPr>
          <w:sz w:val="20"/>
          <w:szCs w:val="20"/>
          <w:color w:val="auto"/>
        </w:rPr>
      </w:pPr>
    </w:p>
    <w:p>
      <w:pPr>
        <w:jc w:val="both"/>
        <w:ind w:firstLine="1304"/>
        <w:spacing w:after="0" w:line="238" w:lineRule="auto"/>
        <w:tabs>
          <w:tab w:leader="none" w:pos="183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accounts and records referred to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Register and the accounts and records of any Lender in respect of such matters, the Register shall be conclusive in the absence of demonstrable error.</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Payments Generally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2" w:lineRule="auto"/>
        <w:tabs>
          <w:tab w:leader="none" w:pos="198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and in immediately available funds not later than 2:00 p.m., Local Time, on the date specified herein.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2:00 p.m., Local Time, shall (in the sole discretion of the Administrative Agent) be deemed received on the next succeeding Business Day and any applicable interest or fee shall continue to accrue. All payments under each Loan Document of principal or interest in respect of any Loan (or of any breakage indemnity in respect of any Loan) shall be made in the currency of such Loan, and, except as otherwise expressly set forth in any Loan Document, all other payments under each Loan Document shall be made in Dollars.</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3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extension would cause payment of interest on or principal of SOFR Loans to be made in the next succeeding calendar month, such payment shall be made on the immediately preceding Business Day.</w:t>
      </w:r>
    </w:p>
    <w:p>
      <w:pPr>
        <w:spacing w:after="0" w:line="16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0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181" w:lineRule="exact"/>
        <w:rPr>
          <w:sz w:val="20"/>
          <w:szCs w:val="20"/>
          <w:color w:val="auto"/>
        </w:rPr>
      </w:pPr>
    </w:p>
    <w:p>
      <w:pPr>
        <w:jc w:val="both"/>
        <w:ind w:firstLine="1304"/>
        <w:spacing w:after="0" w:line="238" w:lineRule="auto"/>
        <w:tabs>
          <w:tab w:leader="none" w:pos="174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failed to make such payment, then the applicable Lender agrees to pay to the Administrative Agent forthwith on demand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084" w:right="339" w:bottom="1440" w:gutter="0" w:footer="0" w:header="0"/>
        </w:sectPr>
      </w:pPr>
    </w:p>
    <w:bookmarkStart w:id="207" w:name="page208"/>
    <w:bookmarkEnd w:id="207"/>
    <w:p>
      <w:pPr>
        <w:jc w:val="both"/>
        <w:spacing w:after="0" w:line="239" w:lineRule="auto"/>
        <w:rPr>
          <w:sz w:val="20"/>
          <w:szCs w:val="20"/>
          <w:color w:val="auto"/>
        </w:rPr>
      </w:pPr>
      <w:r>
        <w:rPr>
          <w:rFonts w:ascii="Times New Roman" w:cs="Times New Roman" w:eastAsia="Times New Roman" w:hAnsi="Times New Roman"/>
          <w:sz w:val="22"/>
          <w:szCs w:val="22"/>
          <w:color w:val="auto"/>
        </w:rPr>
        <w:t>funds at the greater of the Federal Funds Rate and a rate determined by the Administrative Agent in accordance with banking industry rules on interbank compensation, it being understood that nothing herein shall be deemed to relieve any Lender from its obligation to fulfill its Commitment or to prejudice any rights which the Administrative Agent or the Borrower may have against any Lender as a result of any default by such Lender hereunder; and</w:t>
      </w:r>
    </w:p>
    <w:p>
      <w:pPr>
        <w:spacing w:after="0" w:line="180" w:lineRule="exact"/>
        <w:rPr>
          <w:sz w:val="20"/>
          <w:szCs w:val="20"/>
          <w:color w:val="auto"/>
        </w:rPr>
      </w:pPr>
    </w:p>
    <w:p>
      <w:pPr>
        <w:jc w:val="both"/>
        <w:ind w:firstLine="1304"/>
        <w:spacing w:after="0" w:line="232" w:lineRule="auto"/>
        <w:tabs>
          <w:tab w:leader="none" w:pos="177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Times New Roman" w:cs="Times New Roman" w:eastAsia="Times New Roman" w:hAnsi="Times New Roman"/>
          <w:sz w:val="22"/>
          <w:szCs w:val="22"/>
          <w:u w:val="single" w:color="auto"/>
          <w:color w:val="auto"/>
        </w:rPr>
        <w:t>Compensation Period</w:t>
      </w:r>
      <w:r>
        <w:rPr>
          <w:rFonts w:ascii="Times New Roman" w:cs="Times New Roman" w:eastAsia="Times New Roman" w:hAnsi="Times New Roman"/>
          <w:sz w:val="22"/>
          <w:szCs w:val="22"/>
          <w:color w:val="auto"/>
        </w:rPr>
        <w:t>”) at the greater of the Federal Funds Rate and a rate determined by the Administrative Agent in accordance with banking industry rules on interbank compensation.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69"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A notice of the Administrative Agent to any Lender or the Borrower with respect to any amount owing under this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xml:space="preserve"> shall be conclusive, absent demonstrable error.</w:t>
      </w:r>
    </w:p>
    <w:p>
      <w:pPr>
        <w:spacing w:after="0" w:line="158" w:lineRule="exact"/>
        <w:rPr>
          <w:sz w:val="20"/>
          <w:szCs w:val="20"/>
          <w:color w:val="auto"/>
        </w:rPr>
      </w:pPr>
    </w:p>
    <w:p>
      <w:pPr>
        <w:jc w:val="both"/>
        <w:ind w:firstLine="1304"/>
        <w:spacing w:after="0" w:line="238" w:lineRule="auto"/>
        <w:tabs>
          <w:tab w:leader="none" w:pos="177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return such funds (in like funds as received from such Lender) to such Lender, without interest.</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0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0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3"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6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If the Administrative Agent receives funds for application to the Secured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084" w:right="339" w:bottom="1440" w:gutter="0" w:footer="0" w:header="0"/>
        </w:sectPr>
      </w:pPr>
    </w:p>
    <w:bookmarkStart w:id="208" w:name="page209"/>
    <w:bookmarkEnd w:id="20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and (b) the Outstanding Amount of all L/C Obligations outstanding at such time, in repayment or prepayment of such of the outstanding Loans or other Secured Obligations then owing to such Lender.</w:t>
      </w:r>
    </w:p>
    <w:p>
      <w:pPr>
        <w:spacing w:after="0" w:line="158"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Sharing of Payments</w:t>
      </w:r>
      <w:r>
        <w:rPr>
          <w:rFonts w:ascii="Times New Roman" w:cs="Times New Roman" w:eastAsia="Times New Roman" w:hAnsi="Times New Roman"/>
          <w:sz w:val="21"/>
          <w:szCs w:val="21"/>
          <w:color w:val="auto"/>
        </w:rPr>
        <w:t xml:space="preserve">. If, other than as expressly provided elsewhere herein, any Lender shall obtain on account of the Loans made by it, or its participations in L/C Obligations,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if all or any portion of such excess payment is thereafter recovered from the purchasing Lender under any of the circumstances described in </w:t>
      </w: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w:t>
      </w:r>
    </w:p>
    <w:p>
      <w:pPr>
        <w:spacing w:after="0" w:line="5" w:lineRule="exact"/>
        <w:rPr>
          <w:sz w:val="20"/>
          <w:szCs w:val="20"/>
          <w:color w:val="auto"/>
        </w:rPr>
      </w:pPr>
    </w:p>
    <w:p>
      <w:pPr>
        <w:jc w:val="both"/>
        <w:ind w:firstLine="8"/>
        <w:spacing w:after="0" w:line="241" w:lineRule="auto"/>
        <w:tabs>
          <w:tab w:leader="none" w:pos="324"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total amount so recovered from the purchasing Lender) of any interest or other amount paid or payable by the purchasing Lender in respect of the total amount so recovered, without further interest thereon and (y) the provisions of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Obligations to any assignee or participant.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demonstrable error) of participations purchased under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shall from and after such purchase have the right to give all notices, requests, demands, directions and other communications under this Agreement with respect to the portion of the Secured Obligations purchased to the same extent as though the purchasing Lender were the original owner of the Secured Obligations purchased.</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color w:val="auto"/>
        </w:rPr>
        <w:t>I</w:t>
      </w:r>
      <w:r>
        <w:rPr>
          <w:rFonts w:ascii="Times New Roman" w:cs="Times New Roman" w:eastAsia="Times New Roman" w:hAnsi="Times New Roman"/>
          <w:sz w:val="21"/>
          <w:szCs w:val="21"/>
          <w:u w:val="single" w:color="auto"/>
          <w:color w:val="auto"/>
        </w:rPr>
        <w:t>ncremental Credit Extensions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43" w:lineRule="auto"/>
        <w:tabs>
          <w:tab w:leader="none" w:pos="1774"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and from time to time, subject to the terms and conditions set forth herein, the Borrower or any Subsidiary Guarantor may, by notice to the Administrative Agent (whereupon the Administrative Agent shall promptly deliver a copy to each of the Lenders), request to increase the amount of any Class of Initial Term Loans or add one or more additional tranches of term loans (any such Initial Term Loans or additional tranche of term loans, the “</w:t>
      </w:r>
      <w:r>
        <w:rPr>
          <w:rFonts w:ascii="Times New Roman" w:cs="Times New Roman" w:eastAsia="Times New Roman" w:hAnsi="Times New Roman"/>
          <w:sz w:val="21"/>
          <w:szCs w:val="21"/>
          <w:u w:val="single" w:color="auto"/>
          <w:color w:val="auto"/>
        </w:rPr>
        <w:t>Incremental Term Loans</w:t>
      </w:r>
      <w:r>
        <w:rPr>
          <w:rFonts w:ascii="Times New Roman" w:cs="Times New Roman" w:eastAsia="Times New Roman" w:hAnsi="Times New Roman"/>
          <w:sz w:val="21"/>
          <w:szCs w:val="21"/>
          <w:color w:val="auto"/>
        </w:rPr>
        <w:t>”) and/or one or more increases in the Revolving Credit Commitments (a “</w:t>
      </w:r>
      <w:r>
        <w:rPr>
          <w:rFonts w:ascii="Times New Roman" w:cs="Times New Roman" w:eastAsia="Times New Roman" w:hAnsi="Times New Roman"/>
          <w:sz w:val="21"/>
          <w:szCs w:val="21"/>
          <w:u w:val="single" w:color="auto"/>
          <w:color w:val="auto"/>
        </w:rPr>
        <w:t>Revolving Credit Commitment Increase</w:t>
      </w:r>
      <w:r>
        <w:rPr>
          <w:rFonts w:ascii="Times New Roman" w:cs="Times New Roman" w:eastAsia="Times New Roman" w:hAnsi="Times New Roman"/>
          <w:sz w:val="21"/>
          <w:szCs w:val="21"/>
          <w:color w:val="auto"/>
        </w:rPr>
        <w:t>”) and/or the establishment of one or more new revolving credit commitments (an “</w:t>
      </w:r>
      <w:r>
        <w:rPr>
          <w:rFonts w:ascii="Times New Roman" w:cs="Times New Roman" w:eastAsia="Times New Roman" w:hAnsi="Times New Roman"/>
          <w:sz w:val="21"/>
          <w:szCs w:val="21"/>
          <w:u w:val="single" w:color="auto"/>
          <w:color w:val="auto"/>
        </w:rPr>
        <w:t>Additional Revolving Credit Commitment</w:t>
      </w:r>
      <w:r>
        <w:rPr>
          <w:rFonts w:ascii="Times New Roman" w:cs="Times New Roman" w:eastAsia="Times New Roman" w:hAnsi="Times New Roman"/>
          <w:sz w:val="21"/>
          <w:szCs w:val="21"/>
          <w:color w:val="auto"/>
        </w:rPr>
        <w:t>” and, together any Revolving Credit Commitment Increases, the “</w:t>
      </w:r>
      <w:r>
        <w:rPr>
          <w:rFonts w:ascii="Times New Roman" w:cs="Times New Roman" w:eastAsia="Times New Roman" w:hAnsi="Times New Roman"/>
          <w:sz w:val="21"/>
          <w:szCs w:val="21"/>
          <w:u w:val="single" w:color="auto"/>
          <w:color w:val="auto"/>
        </w:rPr>
        <w:t>Incremental Revolving Credit Commitments</w:t>
      </w:r>
      <w:r>
        <w:rPr>
          <w:rFonts w:ascii="Times New Roman" w:cs="Times New Roman" w:eastAsia="Times New Roman" w:hAnsi="Times New Roman"/>
          <w:sz w:val="21"/>
          <w:szCs w:val="21"/>
          <w:color w:val="auto"/>
        </w:rPr>
        <w:t>”; together with the Incremental Term Loans, the “</w:t>
      </w:r>
      <w:r>
        <w:rPr>
          <w:rFonts w:ascii="Times New Roman" w:cs="Times New Roman" w:eastAsia="Times New Roman" w:hAnsi="Times New Roman"/>
          <w:sz w:val="21"/>
          <w:szCs w:val="21"/>
          <w:u w:val="single" w:color="auto"/>
          <w:color w:val="auto"/>
        </w:rPr>
        <w:t>Incremental Facilities</w:t>
      </w:r>
      <w:r>
        <w:rPr>
          <w:rFonts w:ascii="Times New Roman" w:cs="Times New Roman" w:eastAsia="Times New Roman" w:hAnsi="Times New Roman"/>
          <w:sz w:val="21"/>
          <w:szCs w:val="21"/>
          <w:color w:val="auto"/>
        </w:rPr>
        <w:t>”). Notwithstanding anything to contrary herein, the aggregate Dollar Equivalent amount of all Incremental Facilities (other than Refinancing Term Loans and Refinancing Revolving Credit Commitments) (determined at the time of incurrence), together with the aggregate principal amount of all Permitted Alternative Incremental Facilities Debt, shall not exceed the sum of (i) the greater of (x) $160.0 million and (y) 75.0% of LTM EBITDA (such amount, the “</w:t>
      </w:r>
      <w:r>
        <w:rPr>
          <w:rFonts w:ascii="Times New Roman" w:cs="Times New Roman" w:eastAsia="Times New Roman" w:hAnsi="Times New Roman"/>
          <w:sz w:val="21"/>
          <w:szCs w:val="21"/>
          <w:u w:val="single" w:color="auto"/>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Starter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(I) the aggregate amount of any voluntary prepayments, repurchases, redemptions or other retirements of the Term Loans and any other Indebtedness (in the case of such other Indebtedness,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084" w:right="339" w:bottom="1440" w:gutter="0" w:footer="0" w:header="0"/>
        </w:sectPr>
      </w:pPr>
    </w:p>
    <w:bookmarkStart w:id="209" w:name="page210"/>
    <w:bookmarkEnd w:id="209"/>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to the extent such Indebtedness is (x)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respect to security with the Obligations, (y) secured on a junior lien basis with the Obligations or (z) unsecured, and solely to the extent it was, in the case of clause (y) or (z), originally incurred pursuant to the Unrestricted Incremental Amount), payments made pursuant to </w:t>
      </w:r>
      <w:r>
        <w:rPr>
          <w:rFonts w:ascii="Times New Roman" w:cs="Times New Roman" w:eastAsia="Times New Roman" w:hAnsi="Times New Roman"/>
          <w:sz w:val="21"/>
          <w:szCs w:val="21"/>
          <w:u w:val="single" w:color="auto"/>
          <w:color w:val="auto"/>
        </w:rPr>
        <w:t>Section 3.06(a)</w:t>
      </w:r>
      <w:r>
        <w:rPr>
          <w:rFonts w:ascii="Times New Roman" w:cs="Times New Roman" w:eastAsia="Times New Roman" w:hAnsi="Times New Roman"/>
          <w:sz w:val="21"/>
          <w:szCs w:val="21"/>
          <w:color w:val="auto"/>
        </w:rPr>
        <w:t xml:space="preserve"> (to the extent such Indebtedness is retired rather than assigned) and voluntary permanent reductions of the Revolving Credit Commitments effected after the Closing Date (in each case, including pursuant to debt buy-backs made by Holdings or any Restricted Subsidiary pursuant to “Dutch Auction” procedures and open market purchases permitted hereunder, in an amount equal to the principal amount thereof, but excluding (A) any prepayment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long term Indebtedness (other than borrowings under the Revolving Credit Facility and other revolving Indebtedness, in each case without a substantially concurrent permanent commitment reduction)) and (II) in the case of an Incremental Facility (that is being incurred using the Unrestricted Incremental Amount) that serves to effectively extend the maturity of the Initial Term Loans, the Revolving Credit Facility and/or any other Incremental Facility, an amount equal to the portion of the Initial Term Loans, the Revolving Credit Facility and/or any other Incremental Facilities to be replaced with such Incremental Facility (such amount under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Voluntary Prepayment Amount</w:t>
      </w:r>
      <w:r>
        <w:rPr>
          <w:rFonts w:ascii="Times New Roman" w:cs="Times New Roman" w:eastAsia="Times New Roman" w:hAnsi="Times New Roman"/>
          <w:sz w:val="21"/>
          <w:szCs w:val="21"/>
          <w:color w:val="auto"/>
        </w:rPr>
        <w:t>” and, together with the Incremental Starter Amount, the “</w:t>
      </w:r>
      <w:r>
        <w:rPr>
          <w:rFonts w:ascii="Times New Roman" w:cs="Times New Roman" w:eastAsia="Times New Roman" w:hAnsi="Times New Roman"/>
          <w:sz w:val="21"/>
          <w:szCs w:val="21"/>
          <w:u w:val="single" w:color="auto"/>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Starter Basket</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Unrestricted Incremental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unlimited additional Incremental Facilities and Permitted Alternative Incremental Facilities Debt so long as, after giving pro forma effect thereto and after giving effect to any Permitted Investment consummated in connection therewith, any indebtedness repaid with the proceeds thereof and any other acquisition, disposition, debt incurrence, debt retirement and other appropriate pro forma adjustments and all other appropriate pro forma adjustments (but excluding the cash proceeds of any such Incremental Facilities and Permitted Alternative Incremental Facilities Debt and without giving effect to any amount incurred simultaneously under (x) the Unrestricted Incremental Amount, (y) any other fixed dollar incurrence basket or (z) the Revolving Credit Facility) (and, in each case, for the avoidance of doubt, for purposes of calculating the Interest Coverage Ratio, without giving effect to any interest expense attributable to any such Indebtedness in connection therewith), (A) if such Incremental Facility is secured by a Lien on the Collateral that is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Liens securing the Initial Term Loans, the Consolidated First Lien Secured Leverage Ratio for the most recently ended Test Period does not exceed 2.55:1.00 (or, to the extent such Incremental Facility is incurred in connection with any Permitted Investment, the Consolidated First Lien Secured Leverage Ratio for the most recently ended Test Period does not exceed the greater of 2.55:1.00 and the Consolidated First Lien Secured Leverage Ratio immediately prior to such Permitted Investment),</w:t>
      </w:r>
    </w:p>
    <w:p>
      <w:pPr>
        <w:spacing w:after="0" w:line="2" w:lineRule="exact"/>
        <w:rPr>
          <w:sz w:val="20"/>
          <w:szCs w:val="20"/>
          <w:color w:val="auto"/>
        </w:rPr>
      </w:pPr>
    </w:p>
    <w:p>
      <w:pPr>
        <w:jc w:val="both"/>
        <w:ind w:firstLine="8"/>
        <w:spacing w:after="0" w:line="230" w:lineRule="auto"/>
        <w:tabs>
          <w:tab w:leader="none" w:pos="35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Incremental Facility is secured by a Lien on the Collateral that is junior to the Liens securing the Initial Term Loans, the Consolidated Total Senior Secured Leverage Ratio for the most recently ended Test Period does not exceed 3.05:1.00 (or, to the extent such Incremental Facility is incurred in connection with any Permitted Investment, the Consolidated Total Senior Secured Leverage Ratio for the most recently ended Test Period does not exceed the greater of 3.05:1.00 and the Consolidated Total Senior Secured Leverage Ratio immediately prior to such Permitted Investment) or (C) if such Incremental Facility is unsecured, the Consolidated Total Leverage Ratio for the most recently ended Test Period does not exceed 3.05:1.00 (or, to the extent such Incremental Facility is incurred in connection with any Permitted Investment, the Consolidated Total Leverage Ratio for the most recently ended Test Period does not exceed the greater of 3.05:1.00 and the Consolidated Total Leverage Ratio immediately prior to such Permitted Investment)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Incremental Incurrence Test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Incremental Facilities may be incurred pursuant to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prior to utilization of the Unrestricted Incremental Amount, (y) assuming for purposes of such calculation that the full committed amount of any new Incremental Revolving Credit Commitments and/or any Permitted Alternative Incremental Facilities Debt constituting a revolving credit commitment then being incurred shall be treated as outstanding Indebtedness and (z) any Indebtedness originally incurred under the Unrestricted Incremental Amount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080" w:right="339" w:bottom="1440" w:gutter="0" w:footer="0" w:header="0"/>
        </w:sectPr>
      </w:pPr>
    </w:p>
    <w:bookmarkStart w:id="210" w:name="page211"/>
    <w:bookmarkEnd w:id="21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shall be automatically and immediately reclassified (unless the Borrower otherwise elects from time to time) as having been incurred under this clause (iii), at any time the Borrower would be permitted to incur under this clause (iii) the aggregate principal amount of the Indebtedness being so reclassified (for purposes of clarity, with any such reclassification having the effect of increasing the Borrower’s ability to incur Indebtedness under the Unrestricted Incremental Amount on and after the date of such reclassification by the amount of Indebtedness so re-designated). Each Incremental Facility shall be in an integral multiple of $1.0 million and be in an aggregate principal amount that is not less than $5.0 million in case of Incremental Term Loans or $5.0 million in case of Incremental Revolving Credit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amount may be less than the applicable minimum amount if such amount represents all the remaining availability hereunder as set forth above.</w:t>
      </w:r>
    </w:p>
    <w:p>
      <w:pPr>
        <w:spacing w:after="0" w:line="182" w:lineRule="exact"/>
        <w:rPr>
          <w:sz w:val="20"/>
          <w:szCs w:val="20"/>
          <w:color w:val="auto"/>
        </w:rPr>
      </w:pPr>
    </w:p>
    <w:p>
      <w:pPr>
        <w:jc w:val="both"/>
        <w:ind w:firstLine="1304"/>
        <w:spacing w:after="0" w:line="230" w:lineRule="auto"/>
        <w:tabs>
          <w:tab w:leader="none" w:pos="2003"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Incremental Term Loans (other than Refinancing Term Loans) (i) for purposes of mandatory prepayments, shall be treated substantially the same as (and in any event no more favorably than) the Term Loans, (ii) shall have interest rate margins (including “MFN” protection), (subject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amortization schedule and other terms as determined by the Borrower and the Lenders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Effective Yield of any Incremental Term Loans that are MFN Qualifying Term Loans exceeds the Effective Yield of the Initial Term Loans immediately prior to the effectiveness of the applicable Incremental Facility Amendment by more than 0.50% per annum, the Applicable Rate and/or, as set forth below, the interest rate floor relating to such Initial Term Loans shall be adjusted such that the Effective Yield of such Initial Term Loans is equal to the Effective Yield of such Incremental Term Loans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0.50% per annum, it being understood and agreed that the relative rate differentials in any pricing grid specified in the Applicable Rate shall continue to be maintained (the foregoing, including all qualifications and exceptions thereto, collectively, the “</w:t>
      </w:r>
      <w:r>
        <w:rPr>
          <w:rFonts w:ascii="Times New Roman" w:cs="Times New Roman" w:eastAsia="Times New Roman" w:hAnsi="Times New Roman"/>
          <w:sz w:val="22"/>
          <w:szCs w:val="22"/>
          <w:u w:val="single" w:color="auto"/>
          <w:color w:val="auto"/>
        </w:rPr>
        <w:t>MFN 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increase in Effective Yield with respect to the Initial Term Loans due to the application of an interest rate floor to any Incremental Term Loan greater than the interest rate floor applicable to the applicable Initial Term Loans shall be effected solely through an increase in the interest rate floor applicable to such Initial Term Loans), (iii) any Incremental Term Loan shall not have a final maturity date earlier than the Maturity Date applicable to the Initial Term Loans, (iv) any Incremental Term Loan shall not have a Weighted Average Life to Maturity that is shorter than the Weighted Average Life to Maturity of the Initial Term Loans (without giving effect to any prepayments), (v) shall not be guaranteed by any person other than the Loan Parties and, to the extent secured, shall not be secured by any assets other than the Collateral, (vi) for purposes of voluntary and mandatory prepayments, shall, unless less favorable treatment is otherwise agreed by the Lenders providing such Incremental Term Loans, share ratably in (or, if junior in right of payment or as to security, on a junior basis with respect to the Initial Term Loans) any voluntary and mandatory prepayments of the Initial Term Loans and (vii) shall be on terms and conditions and pursuant to documentation to </w:t>
      </w:r>
      <w:r>
        <w:rPr>
          <w:rFonts w:ascii="Cambria" w:cs="Cambria" w:eastAsia="Cambria" w:hAnsi="Cambria"/>
          <w:sz w:val="22"/>
          <w:szCs w:val="22"/>
          <w:b w:val="1"/>
          <w:bCs w:val="1"/>
          <w:color w:val="auto"/>
        </w:rPr>
        <w:t>be</w:t>
      </w:r>
      <w:r>
        <w:rPr>
          <w:rFonts w:ascii="Times New Roman" w:cs="Times New Roman" w:eastAsia="Times New Roman" w:hAnsi="Times New Roman"/>
          <w:sz w:val="22"/>
          <w:szCs w:val="22"/>
          <w:color w:val="auto"/>
        </w:rPr>
        <w:t xml:space="preserve"> </w:t>
      </w:r>
      <w:r>
        <w:rPr>
          <w:rFonts w:ascii="Cambria" w:cs="Cambria" w:eastAsia="Cambria" w:hAnsi="Cambria"/>
          <w:sz w:val="22"/>
          <w:szCs w:val="22"/>
          <w:b w:val="1"/>
          <w:bCs w:val="1"/>
          <w:color w:val="auto"/>
        </w:rPr>
        <w:t xml:space="preserve">determined </w:t>
      </w:r>
      <w:r>
        <w:rPr>
          <w:rFonts w:ascii="Times New Roman" w:cs="Times New Roman" w:eastAsia="Times New Roman" w:hAnsi="Times New Roman"/>
          <w:sz w:val="22"/>
          <w:szCs w:val="22"/>
          <w:color w:val="auto"/>
        </w:rPr>
        <w:t>between the Borrower and the Lenders providing such Incremental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to the extent such</w:t>
      </w:r>
      <w:r>
        <w:rPr>
          <w:rFonts w:ascii="Cambria" w:cs="Cambria" w:eastAsia="Cambria" w:hAnsi="Cambria"/>
          <w:sz w:val="22"/>
          <w:szCs w:val="22"/>
          <w:b w:val="1"/>
          <w:bCs w:val="1"/>
          <w:color w:val="auto"/>
        </w:rPr>
        <w:t xml:space="preserve"> </w:t>
      </w:r>
      <w:r>
        <w:rPr>
          <w:rFonts w:ascii="Times New Roman" w:cs="Times New Roman" w:eastAsia="Times New Roman" w:hAnsi="Times New Roman"/>
          <w:sz w:val="22"/>
          <w:szCs w:val="22"/>
          <w:color w:val="auto"/>
        </w:rPr>
        <w:t xml:space="preserve">terms and documentation are not consistent with the existing Term Loans (but excluding any terms applicable only after the applicable Term Loan Maturity Date), they shall either, at the option of the Borrower, (A) reflect market terms and conditions (taken as a whole) at the time of (subject to </w:t>
      </w:r>
      <w:r>
        <w:rPr>
          <w:rFonts w:ascii="Times New Roman" w:cs="Times New Roman" w:eastAsia="Times New Roman" w:hAnsi="Times New Roman"/>
          <w:sz w:val="22"/>
          <w:szCs w:val="22"/>
          <w:u w:val="single" w:color="auto"/>
          <w:color w:val="auto"/>
        </w:rPr>
        <w:t>Section 1.09(a)</w:t>
      </w:r>
      <w:r>
        <w:rPr>
          <w:rFonts w:ascii="Times New Roman" w:cs="Times New Roman" w:eastAsia="Times New Roman" w:hAnsi="Times New Roman"/>
          <w:sz w:val="22"/>
          <w:szCs w:val="22"/>
          <w:color w:val="auto"/>
        </w:rPr>
        <w:t>) incurrence or effectiveness (as determined by the Borrower in good faith) or (B) be reasonably satisfactory to the Administrative Agent (it being understood that no consent shall be required from the Administrative Agent for any terms or conditions that are not market terms if the Lenders under the Term Loans existing on the date of incurrence of such Incremental Term Loans receive the benefit of such terms or conditions through their addition to the Loan Documents)).</w:t>
      </w:r>
    </w:p>
    <w:p>
      <w:pPr>
        <w:spacing w:after="0" w:line="195"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Incremental Revolving Credit Commitments (other than Refinancing Revolving Credit Commitments)</w:t>
      </w:r>
    </w:p>
    <w:p>
      <w:pPr>
        <w:spacing w:after="0" w:line="25" w:lineRule="exact"/>
        <w:rPr>
          <w:rFonts w:ascii="Times New Roman" w:cs="Times New Roman" w:eastAsia="Times New Roman" w:hAnsi="Times New Roman"/>
          <w:sz w:val="21"/>
          <w:szCs w:val="21"/>
          <w:color w:val="auto"/>
        </w:rPr>
      </w:pPr>
    </w:p>
    <w:p>
      <w:pPr>
        <w:jc w:val="both"/>
        <w:ind w:firstLine="8"/>
        <w:spacing w:after="0" w:line="231" w:lineRule="auto"/>
        <w:tabs>
          <w:tab w:leader="none" w:pos="26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mandatory prepayments, shall be treated substantially the same as (and in any event no more favorably than) the Revolving Credit Commitments, (ii) shall have interest rate margins and (subject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amortization schedule as determined by the Borrower and the lenders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the case of a Revolving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084" w:right="339" w:bottom="1440" w:gutter="0" w:footer="0" w:header="0"/>
        </w:sectPr>
      </w:pPr>
    </w:p>
    <w:bookmarkStart w:id="211" w:name="page212"/>
    <w:bookmarkEnd w:id="211"/>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Credit Commitment Increase, the maturity date of such Revolving Credit Commitment Increase shall be the same as the Maturity Date applicable to the Revolving Credit Commitments, such Revolving Credit Commitment Increase shall require no scheduled amortization or mandatory commitment reduction prior to the final Maturity Date applicable to the Revolving Credit Commitments and the Revolving Credit Commitment Increase shall be on the exact same terms and pursuant to the exact same documentation applicable to the Revolving Credit Commitments and (B) in the case of an Additional Revolving Credit Commitment, the maturity date of such Additional Revolving Credit Commitment shall be no earlier than the Maturity Date applicable to the Revolving Credit Commitments and such Additional Revolving Credit Commitment shall require no scheduled amortization or mandatory commitment reduction prior to the final Maturity Date of the Revolving Credit Commitments), (iii) any Incremental Revolving Credit Commitments shall not have a final maturity date earlier than the Maturity Date applicable to the Revolving Credit Commitments, (iv) any Incremental Revolving Credit Commitments shall not have a Weighted Average Life to Maturity that is shorter than the Weighted Average Life to Maturity of the Revolving Credit Commitments, and (v) shall be on terms and conditions and pursuant to documentation to </w:t>
      </w:r>
      <w:r>
        <w:rPr>
          <w:rFonts w:ascii="Cambria" w:cs="Cambria" w:eastAsia="Cambria" w:hAnsi="Cambria"/>
          <w:sz w:val="22"/>
          <w:szCs w:val="22"/>
          <w:b w:val="1"/>
          <w:bCs w:val="1"/>
          <w:color w:val="auto"/>
        </w:rPr>
        <w:t>be determined</w:t>
      </w:r>
      <w:r>
        <w:rPr>
          <w:rFonts w:ascii="Times New Roman" w:cs="Times New Roman" w:eastAsia="Times New Roman" w:hAnsi="Times New Roman"/>
          <w:sz w:val="22"/>
          <w:szCs w:val="22"/>
          <w:color w:val="auto"/>
        </w:rPr>
        <w:t xml:space="preserve"> between the Borrower and the Lenders providing such Incremental Revolving Credit Commitments.</w:t>
      </w:r>
    </w:p>
    <w:p>
      <w:pPr>
        <w:spacing w:after="0" w:line="178" w:lineRule="exact"/>
        <w:rPr>
          <w:sz w:val="20"/>
          <w:szCs w:val="20"/>
          <w:color w:val="auto"/>
        </w:rPr>
      </w:pPr>
    </w:p>
    <w:p>
      <w:pPr>
        <w:jc w:val="both"/>
        <w:ind w:firstLine="1304"/>
        <w:spacing w:after="0"/>
        <w:tabs>
          <w:tab w:leader="none" w:pos="1912"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notice from the Borrower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shall set forth the requested amount and proposed terms of the relevant Incremental Term Loans and/or Incremental Revolving Credit Commitments. Any additional bank, financial institution, existing Lender or other Person that elects to extend Incremental Term Loans or Incremental Revolving Credit Commitments shall be reasonably satisfactory to the Borrower and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Administrative Agent’s consent shall only be required if such consent would be required pursuant to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xml:space="preserve"> and such consent shall not be unreasonably withheld or delayed) (any such bank, financial institution, existing Lender or other Person being called an “</w:t>
      </w:r>
      <w:r>
        <w:rPr>
          <w:rFonts w:ascii="Times New Roman" w:cs="Times New Roman" w:eastAsia="Times New Roman" w:hAnsi="Times New Roman"/>
          <w:sz w:val="21"/>
          <w:szCs w:val="21"/>
          <w:u w:val="single" w:color="auto"/>
          <w:color w:val="auto"/>
        </w:rPr>
        <w:t>Additional Lender</w:t>
      </w:r>
      <w:r>
        <w:rPr>
          <w:rFonts w:ascii="Times New Roman" w:cs="Times New Roman" w:eastAsia="Times New Roman" w:hAnsi="Times New Roman"/>
          <w:sz w:val="21"/>
          <w:szCs w:val="21"/>
          <w:color w:val="auto"/>
        </w:rPr>
        <w:t>”) and, if not already a Lender, shall become a Lender under this Agreement pursuant to an amendment (an “</w:t>
      </w:r>
      <w:r>
        <w:rPr>
          <w:rFonts w:ascii="Times New Roman" w:cs="Times New Roman" w:eastAsia="Times New Roman" w:hAnsi="Times New Roman"/>
          <w:sz w:val="21"/>
          <w:szCs w:val="21"/>
          <w:u w:val="single" w:color="auto"/>
          <w:color w:val="auto"/>
        </w:rPr>
        <w:t>Incremental Facility Amendment</w:t>
      </w:r>
      <w:r>
        <w:rPr>
          <w:rFonts w:ascii="Times New Roman" w:cs="Times New Roman" w:eastAsia="Times New Roman" w:hAnsi="Times New Roman"/>
          <w:sz w:val="21"/>
          <w:szCs w:val="21"/>
          <w:color w:val="auto"/>
        </w:rPr>
        <w:t xml:space="preserve">”) to this Agreement and, as appropriate, the other Loan Documents, executed by Holdings, the Borrower, such Additional Lender, the Administrative Agent and, in the case of any Incremental Revolving Credit Commitments and each L/C Issuer;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Administrative Agent’s and/or L/C Issuer’s consent shall only be required if such consent would be required pursuant to </w:t>
      </w:r>
      <w:r>
        <w:rPr>
          <w:rFonts w:ascii="Times New Roman" w:cs="Times New Roman" w:eastAsia="Times New Roman" w:hAnsi="Times New Roman"/>
          <w:sz w:val="21"/>
          <w:szCs w:val="21"/>
          <w:u w:val="single" w:color="auto"/>
          <w:color w:val="auto"/>
        </w:rPr>
        <w:t>Section 10.07</w:t>
      </w:r>
      <w:r>
        <w:rPr>
          <w:rFonts w:ascii="Times New Roman" w:cs="Times New Roman" w:eastAsia="Times New Roman" w:hAnsi="Times New Roman"/>
          <w:sz w:val="21"/>
          <w:szCs w:val="21"/>
          <w:color w:val="auto"/>
        </w:rPr>
        <w:t xml:space="preserve"> and such consent shall not be unreasonably withheld or delayed or otherwise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For the avoidance of doubt, no L/C Issuer is required to act as such for any Additional Revolving Credit Commitments unless they so consent. No Incremental Facility Amendment shall require the consent of any Lenders other than the Additional Lenders with respect to such Incremental Facility Amendment. No Lender shall be obligated to provide any Incremental Term Loans or Incremental Revolving Credit Commitments, unless it so agrees. Commitments in respect of any Incremental Term Loans or Incremental Revolving Credit Commitments may become Commitments under this Agreement. An Incremental Facility Amendment may, without the consent of any other Lenders, effect such amendments to any Loan Documents as may be necessary or appropriate, in the opinion of the Administrative Agent, to effect the provisions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The effectiveness of any Incremental Facility Amendment shall, unless otherwise agreed by the Additional Lenders, be subject to the satisfaction on the date thereof (each, an “</w:t>
      </w:r>
      <w:r>
        <w:rPr>
          <w:rFonts w:ascii="Times New Roman" w:cs="Times New Roman" w:eastAsia="Times New Roman" w:hAnsi="Times New Roman"/>
          <w:sz w:val="21"/>
          <w:szCs w:val="21"/>
          <w:u w:val="single" w:color="auto"/>
          <w:color w:val="auto"/>
        </w:rPr>
        <w:t>Incremental Facility Closing Date</w:t>
      </w:r>
      <w:r>
        <w:rPr>
          <w:rFonts w:ascii="Times New Roman" w:cs="Times New Roman" w:eastAsia="Times New Roman" w:hAnsi="Times New Roman"/>
          <w:sz w:val="21"/>
          <w:szCs w:val="21"/>
          <w:color w:val="auto"/>
        </w:rPr>
        <w:t xml:space="preserve">”) of each of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(it being understood that (x) all references to “the date of such Credit Extension”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shall be deemed to refer to the Incremental Facility Closing Date and (y) if the proceeds of such Incremental Facility are to be used, in whole or in part, (1) to finance a Permitted Investment, (A) the only representations and warranties that will be required to be true and correct in all material respects as of the applicable Incremental Facility Closing Date shall be the Specified Representations and (B) no Specified Default shall have occurred and </w:t>
      </w: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shall not apply or (2) to finance a Limited Condition Transaction, (A) the only representations and warranties that will be required to be true and correct in all material respects as of the applicable Incremental Facility Closing Date shall be the Specified Representations and</w:t>
      </w:r>
    </w:p>
    <w:p>
      <w:pPr>
        <w:spacing w:after="0" w:line="24"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Specified Default shall have occurred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084" w:right="339" w:bottom="1440" w:gutter="0" w:footer="0" w:header="0"/>
        </w:sectPr>
      </w:pPr>
    </w:p>
    <w:bookmarkStart w:id="212" w:name="page213"/>
    <w:bookmarkEnd w:id="212"/>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auto"/>
        </w:rPr>
        <w:t>Section 4.02(b)</w:t>
      </w:r>
      <w:r>
        <w:rPr>
          <w:rFonts w:ascii="Times New Roman" w:cs="Times New Roman" w:eastAsia="Times New Roman" w:hAnsi="Times New Roman"/>
          <w:sz w:val="21"/>
          <w:szCs w:val="21"/>
          <w:color w:val="auto"/>
        </w:rPr>
        <w:t xml:space="preserve"> shall not apply). The proceeds of any Incremental Term Loans will be used only for working capital needs and other general corporate purposes (including, without limitation, capital expenditures, acquisitions and investments, working capital and/or purchase price adjustments, restricted payments, prepayments of Subordinated Indebtedness and related fees and expenses) and for any other purposes not prohibited by this Agreement. Upon each increase in the Revolving Credit Commitments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each Revolving Credit Lender immediately prior to such increase will automatically and without further act be deemed to have assigned to each Lender providing a portion of the Incremental Revolving Credit Commitment (each, an “</w:t>
      </w:r>
      <w:r>
        <w:rPr>
          <w:rFonts w:ascii="Times New Roman" w:cs="Times New Roman" w:eastAsia="Times New Roman" w:hAnsi="Times New Roman"/>
          <w:sz w:val="21"/>
          <w:szCs w:val="21"/>
          <w:u w:val="single" w:color="auto"/>
          <w:color w:val="auto"/>
        </w:rPr>
        <w:t>Incremental Revolving Lender</w:t>
      </w:r>
      <w:r>
        <w:rPr>
          <w:rFonts w:ascii="Times New Roman" w:cs="Times New Roman" w:eastAsia="Times New Roman" w:hAnsi="Times New Roman"/>
          <w:sz w:val="21"/>
          <w:szCs w:val="21"/>
          <w:color w:val="auto"/>
        </w:rPr>
        <w:t>”)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held by each Revolving Credit Lender (including each such Incremental Revolving Lender) will equal the percentage of the aggregate Revolving Credit Commitments of all Revolving Credit Lenders represented by such Revolving Credit Lender’s Revolving Credit Commitment. Additionally, if any Revolving Credit Loans are outstanding at the time any Incremental Revolving Credit Commitments are established, the Revolving Credit Lenders immediately after effectiveness of such Incremental Revolving Credit Commitments shall purchase and assign at par such amounts of the Revolving Credit Loans outstanding at such time as the Administrative Agent may require such that each Revolving Credit Lender holds its Applicable Percentage of all Revolving Credit Loans outstanding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80" w:lineRule="exact"/>
        <w:rPr>
          <w:sz w:val="20"/>
          <w:szCs w:val="20"/>
          <w:color w:val="auto"/>
        </w:rPr>
      </w:pPr>
    </w:p>
    <w:p>
      <w:pPr>
        <w:jc w:val="both"/>
        <w:ind w:firstLine="1304"/>
        <w:spacing w:after="0" w:line="238" w:lineRule="auto"/>
        <w:tabs>
          <w:tab w:leader="none" w:pos="1808"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any Incremental Facility incurred other than under the Incremental Incurrence Test may be reclassified at any time, as the Borrower may elect from time to time, as incurred under the Incremental Incurrence Test if the Borrower meets the applicable ratio under the Incremental Incurrence Test at such time on a pro forma basis for such reclassification at any time subsequent to the incurrence of such Incremental Facility (or would have met such ratio, in which case, such reclassification shall be deemed to have automatically occurred if not elected by the Borrower).</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u w:val="single" w:color="auto"/>
          <w:color w:val="auto"/>
        </w:rPr>
        <w:t>Extensions of Term Loans and Revolving Credit Commitments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42" w:lineRule="auto"/>
        <w:tabs>
          <w:tab w:leader="none" w:pos="1911"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pursuant to one or more offers (each, an “</w:t>
      </w:r>
      <w:r>
        <w:rPr>
          <w:rFonts w:ascii="Times New Roman" w:cs="Times New Roman" w:eastAsia="Times New Roman" w:hAnsi="Times New Roman"/>
          <w:sz w:val="21"/>
          <w:szCs w:val="21"/>
          <w:u w:val="single" w:color="auto"/>
          <w:color w:val="auto"/>
        </w:rPr>
        <w:t>Extension Offer</w:t>
      </w:r>
      <w:r>
        <w:rPr>
          <w:rFonts w:ascii="Times New Roman" w:cs="Times New Roman" w:eastAsia="Times New Roman" w:hAnsi="Times New Roman"/>
          <w:sz w:val="21"/>
          <w:szCs w:val="21"/>
          <w:color w:val="auto"/>
        </w:rPr>
        <w:t>”) made from time to time by the Borrower to all Lenders of any Class of Term Loans or any Class of Revolving Credit Commitments, in each case on a pro rata basis (based on the aggregate outstanding principal amount of the respective Term Loans or Revolving Credit Commitments of the applicable Class) and on the same terms to each such Lender, the Borrower is hereby permitted to consummate from time to time transactions with individual Lenders that accept the terms contained in such Extension Offers to extend the maturity date of each such Lender’s Term Loans and/or Revolving Credit Commitments of the applicable Class and otherwise modify the terms of such Term Loans and/or Revolving Credit Commitments pursuant to the terms of the relevant Extension Offer (including, without limitation, by increasing the interest rate or fees payable in respect of such Term Loans and/or Revolving Credit Commitments (and related outstandings) and/or modifying the amortization schedule in respect of such Lender’s Term Loans) (each, an “</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and each group of Term Loans or Revolving Credit Commitments, as applicable, in each case as so extended, as well as the original Term Loans and the original Revolving Credit Commitments (in each case not so extended), being a separate Class of Term Loans from the Class of Term Loans from which they were converted, and any Extended Revolving Credit Commitments (as defined below) shall constitute a separate Class 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084" w:right="339" w:bottom="1440" w:gutter="0" w:footer="0" w:header="0"/>
        </w:sectPr>
      </w:pPr>
    </w:p>
    <w:bookmarkStart w:id="213" w:name="page214"/>
    <w:bookmarkEnd w:id="213"/>
    <w:p>
      <w:pPr>
        <w:jc w:val="both"/>
        <w:spacing w:after="0" w:line="249" w:lineRule="auto"/>
        <w:rPr>
          <w:sz w:val="20"/>
          <w:szCs w:val="20"/>
          <w:color w:val="auto"/>
        </w:rPr>
      </w:pPr>
      <w:r>
        <w:rPr>
          <w:rFonts w:ascii="Times New Roman" w:cs="Times New Roman" w:eastAsia="Times New Roman" w:hAnsi="Times New Roman"/>
          <w:sz w:val="21"/>
          <w:szCs w:val="21"/>
          <w:color w:val="auto"/>
        </w:rPr>
        <w:t>Revolving Credit Commitments from the Class of Revolving Credit Commitments from which they were converted, it being understood that an Extension may be in the form of an increase in the amount of any other then outstanding Class of Term Loans or Revolving Credit Commitments otherwise satisfying the criteria set forth below), so long as the following terms are satisfied:</w:t>
      </w:r>
    </w:p>
    <w:p>
      <w:pPr>
        <w:spacing w:after="0" w:line="1" w:lineRule="exact"/>
        <w:rPr>
          <w:sz w:val="20"/>
          <w:szCs w:val="20"/>
          <w:color w:val="auto"/>
        </w:rPr>
      </w:pPr>
    </w:p>
    <w:p>
      <w:pPr>
        <w:jc w:val="both"/>
        <w:ind w:firstLine="8"/>
        <w:spacing w:after="0" w:line="229" w:lineRule="auto"/>
        <w:tabs>
          <w:tab w:leader="none" w:pos="27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and final maturity (which shall be determined by the Borrower and set forth in the relevant Extension Offer), the Revolving Credit Commitment of any Revolving Credit Lender that agrees to an extension with respect to such Revolving Credit Commitment extended pursuant to an Extension (an “</w:t>
      </w:r>
      <w:r>
        <w:rPr>
          <w:rFonts w:ascii="Times New Roman" w:cs="Times New Roman" w:eastAsia="Times New Roman" w:hAnsi="Times New Roman"/>
          <w:sz w:val="22"/>
          <w:szCs w:val="22"/>
          <w:u w:val="single" w:color="auto"/>
          <w:color w:val="auto"/>
        </w:rPr>
        <w:t>Extended Revolving Credit Commitment</w:t>
      </w:r>
      <w:r>
        <w:rPr>
          <w:rFonts w:ascii="Times New Roman" w:cs="Times New Roman" w:eastAsia="Times New Roman" w:hAnsi="Times New Roman"/>
          <w:sz w:val="22"/>
          <w:szCs w:val="22"/>
          <w:color w:val="auto"/>
        </w:rPr>
        <w:t xml:space="preserve">”), and the related outstandings, shall be a Revolving Credit Commitment (or related outstandings, as the case may be) with the same terms as the original Class of Revolving Credit Commitments (and related outstandings);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no time shall there be Revolving Credit Commitments hereunder (including Extended Revolving Credit Commitments and any original Revolving Credit Commitments) which have more than three different maturity dates, (ii) except as to interest rates, fees, amortization, final maturity date, premium, required prepayment dates and participation in prepayments (which shall, subject to immediately succeeding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be determined between the Borrower and set forth in the relevant Extension Offer), the Term Loans of any Term Lender that agrees to an extension with respect to such Term Loans extended pursuant to any Extension (“</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xml:space="preserve">”) shall have the same terms as the Class of Term Loans subject to such Extension Offer, (iii) the final maturity date of any Extended Term Loans shall be no earlier than the then latest maturity date hereunder and the amortization schedule applicable to Term Loans pursuant to </w:t>
      </w:r>
      <w:r>
        <w:rPr>
          <w:rFonts w:ascii="Times New Roman" w:cs="Times New Roman" w:eastAsia="Times New Roman" w:hAnsi="Times New Roman"/>
          <w:sz w:val="22"/>
          <w:szCs w:val="22"/>
          <w:u w:val="single" w:color="auto"/>
          <w:color w:val="auto"/>
        </w:rPr>
        <w:t>Section 2.07(a)</w:t>
      </w:r>
      <w:r>
        <w:rPr>
          <w:rFonts w:ascii="Times New Roman" w:cs="Times New Roman" w:eastAsia="Times New Roman" w:hAnsi="Times New Roman"/>
          <w:sz w:val="22"/>
          <w:szCs w:val="22"/>
          <w:color w:val="auto"/>
        </w:rPr>
        <w:t xml:space="preserve"> for periods prior to the Maturity Date for Initial Term Loans may not be increased, (iv) the Weighted Average Life to Maturity of any Extended Term Loans shall be no shorter than the remaining Weighted Average Life to Maturity of the Term Loans extended thereby, (v) any Extended Term Loans may participate on a pro rata basis or a less than pro rata basis (but not greater than a pro rata basis) in any voluntary or mandatory repayments or prepayments hereunder, in each case as specified in the respective Extension Offer, (vi) if the aggregate principal amount of the Class of Term Loans (calculated on the face amount thereof) or Revolving Credit Commitments, as the case may be, in respect of which Term Lenders or Revolving Credit Lenders, as the case may be, shall have accepted the relevant Extension Offer shall exceed the maximum aggregate principal amount of Term Loans or Revolving Credit Commitments of such Class, as the case may be, offered to be extended by the Borrower pursuant to such Extension Offer, then the Term Loans or Revolving Credit Commitments of such Class, as the case may be, of such Term Lenders or Revolving Credit Lenders, as the case may be, shall be extended ratably up to such maximum amount based on the respective principal amounts (but not to exceed actual holdings of record) with respect to which such Term Lenders or Revolving Credit Lenders, as the case may be, have accepted such Extension Offer, (vii) all documentation in respect of such Extension shall be consistent with the foregoing, (viii) any applicable Minimum Extension Condition shall be satisfied unless waived by the Borrower and (ix) the Minimum Tranche Amount shall be satisfied unless waived by the Administrative Agent. No Lender shall be obligated to extend its Term Loans or Revolving Credit Commitments unless it so agrees.</w:t>
      </w:r>
    </w:p>
    <w:p>
      <w:pPr>
        <w:spacing w:after="0" w:line="196" w:lineRule="exact"/>
        <w:rPr>
          <w:rFonts w:ascii="Times New Roman" w:cs="Times New Roman" w:eastAsia="Times New Roman" w:hAnsi="Times New Roman"/>
          <w:sz w:val="22"/>
          <w:szCs w:val="22"/>
          <w:color w:val="auto"/>
        </w:rPr>
      </w:pPr>
    </w:p>
    <w:p>
      <w:pPr>
        <w:jc w:val="both"/>
        <w:ind w:firstLine="1304"/>
        <w:spacing w:after="0" w:line="242" w:lineRule="auto"/>
        <w:tabs>
          <w:tab w:leader="none" w:pos="1946"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all Extensions consummated by the Borrower pursuant to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(i) such Extensions shall not constitute voluntary or mandatory payments or prepayments for purposes of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(ii) no Extension Offer is required to be in any minimum amount or any minimum increment,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the Borrower may at its election specify as a condition (a “</w:t>
      </w:r>
      <w:r>
        <w:rPr>
          <w:rFonts w:ascii="Times New Roman" w:cs="Times New Roman" w:eastAsia="Times New Roman" w:hAnsi="Times New Roman"/>
          <w:sz w:val="21"/>
          <w:szCs w:val="21"/>
          <w:u w:val="single" w:color="auto"/>
          <w:color w:val="auto"/>
        </w:rPr>
        <w:t>Minimum Extension Condition</w:t>
      </w:r>
      <w:r>
        <w:rPr>
          <w:rFonts w:ascii="Times New Roman" w:cs="Times New Roman" w:eastAsia="Times New Roman" w:hAnsi="Times New Roman"/>
          <w:sz w:val="21"/>
          <w:szCs w:val="21"/>
          <w:color w:val="auto"/>
        </w:rPr>
        <w:t xml:space="preserve">”) to consummating any such Extension that a minimum amount (to be determined and specified in the relevant Extension Offer in the Borrower’s sole discretion and may be waived by the Borrower) of Term Loans or Revolving Credit Commitments (as applicable) of any or all applicable Classes be tendered, (y) no Class of Extended Term Loans shall be in a Dollar Equivalent amount of less than $15.0 million and (z) no Class of Extended Revolving Credit Commitments shall be in a Dollar Equivalent amount of less than $5.0 million (each amount in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xml:space="preserve"> and</w:t>
      </w:r>
    </w:p>
    <w:p>
      <w:pPr>
        <w:spacing w:after="0" w:line="6" w:lineRule="exact"/>
        <w:rPr>
          <w:rFonts w:ascii="Times New Roman" w:cs="Times New Roman" w:eastAsia="Times New Roman" w:hAnsi="Times New Roman"/>
          <w:sz w:val="21"/>
          <w:szCs w:val="21"/>
          <w:color w:val="auto"/>
        </w:rPr>
      </w:pPr>
    </w:p>
    <w:p>
      <w:pPr>
        <w:ind w:firstLine="8"/>
        <w:spacing w:after="0" w:line="237" w:lineRule="auto"/>
        <w:tabs>
          <w:tab w:leader="none" w:pos="316" w:val="left"/>
        </w:tabs>
        <w:numPr>
          <w:ilvl w:val="0"/>
          <w:numId w:val="2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the “</w:t>
      </w:r>
      <w:r>
        <w:rPr>
          <w:rFonts w:ascii="Times New Roman" w:cs="Times New Roman" w:eastAsia="Times New Roman" w:hAnsi="Times New Roman"/>
          <w:sz w:val="22"/>
          <w:szCs w:val="22"/>
          <w:u w:val="single" w:color="auto"/>
          <w:color w:val="auto"/>
        </w:rPr>
        <w:t>Minimum Tranche Amount</w:t>
      </w:r>
      <w:r>
        <w:rPr>
          <w:rFonts w:ascii="Times New Roman" w:cs="Times New Roman" w:eastAsia="Times New Roman" w:hAnsi="Times New Roman"/>
          <w:sz w:val="22"/>
          <w:szCs w:val="22"/>
          <w:color w:val="auto"/>
        </w:rPr>
        <w:t>”), unless such Minimum Tranche Amount is waived by the Administrative Agent. The Administrative Agent and the Lenders hereby consent to the transactions contemplated by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084" w:right="339" w:bottom="1440" w:gutter="0" w:footer="0" w:header="0"/>
        </w:sectPr>
      </w:pPr>
    </w:p>
    <w:bookmarkStart w:id="214" w:name="page215"/>
    <w:bookmarkEnd w:id="21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(including, for the avoidance of doubt, payment of any interest, fees or premium in respect of any Extended Term Loans and/or Extended Revolving Credit Commitments on the such terms as may be set forth in the relevant Extension Offer) and hereby waive the requirements of any provision of this Agreement (including, without limitation, </w:t>
      </w:r>
      <w:r>
        <w:rPr>
          <w:rFonts w:ascii="Times New Roman" w:cs="Times New Roman" w:eastAsia="Times New Roman" w:hAnsi="Times New Roman"/>
          <w:sz w:val="22"/>
          <w:szCs w:val="22"/>
          <w:u w:val="single" w:color="auto"/>
          <w:color w:val="auto"/>
        </w:rPr>
        <w:t>Sections 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or any other Loan Document that may otherwise prohibit any such Extension or any other transaction contemplated by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304"/>
        <w:spacing w:after="0" w:line="242" w:lineRule="auto"/>
        <w:tabs>
          <w:tab w:leader="none" w:pos="1811"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consent of any Lender or the Administrative Agent shall be required to effectuate any Extension, other than (A) the consent of each Lender agreeing to such Extension with respect to one or more of its Term Loans and/or Revolving Credit Commitments (or a portion thereof) and (B) with respect to any Extension of any Class of Revolving Credit Commitments, the consent of the relevant L/C Issuer (if such L/C Issuer is being requested to issue letters of credit with respect to the Class of Extended Revolving Credit Commitments). All Extended Term Loans, Extended Revolving Credit Commitments and all obligations in respect thereof shall be Secured Obligations under this Agreement and the other Loan Documents that are secured by the Collateral on a pari passu basis with all other applicable Secured Obligations under this Agreement and the other Loan Documents. The Lenders hereby irrevocably authorize the Administrative Agent to enter into amendments to this Agreement and the other Loan Documents with the Borrower as may be necessary in order to establish new Classes in respect of Revolving Credit Commitments or Term Loans so extended and such technical amendments as may be necessary or appropriate in the reasonable opinion of the Administrative Agent and the Borrower in connection with the establishment of such new Classes, in each case on terms consistent with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w:t>
      </w:r>
    </w:p>
    <w:p>
      <w:pPr>
        <w:spacing w:after="0" w:line="181" w:lineRule="exact"/>
        <w:rPr>
          <w:rFonts w:ascii="Times New Roman" w:cs="Times New Roman" w:eastAsia="Times New Roman" w:hAnsi="Times New Roman"/>
          <w:sz w:val="21"/>
          <w:szCs w:val="21"/>
          <w:color w:val="auto"/>
        </w:rPr>
      </w:pPr>
    </w:p>
    <w:p>
      <w:pPr>
        <w:jc w:val="both"/>
        <w:ind w:firstLine="1304"/>
        <w:spacing w:after="0" w:line="238" w:lineRule="auto"/>
        <w:tabs>
          <w:tab w:leader="none" w:pos="1875"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79" w:lineRule="exact"/>
        <w:rPr>
          <w:sz w:val="20"/>
          <w:szCs w:val="20"/>
          <w:color w:val="auto"/>
        </w:rPr>
      </w:pPr>
    </w:p>
    <w:p>
      <w:pPr>
        <w:ind w:firstLine="1304"/>
        <w:spacing w:after="0" w:line="258" w:lineRule="auto"/>
        <w:tabs>
          <w:tab w:leader="none" w:pos="160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 Fee shall cease to accrue on any of the Revolving Credit Commitments of such Defaulting Lender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2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 Outstanding Amount of Term Loans and Revolving Credit Exposure of such Defaulting Lender shall not be included in determining whether all Lenders, the Required Lenders or the Required Revolving Credit Lenders have taken or may take any action hereunder (including any consent to any amendment, waiver or other modification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waiver, amendment or modification of a type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first proviso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would apply to the Commitments or Secured Obligations owing to such Defaulting Lender shall require the consent of such Defaulting Lender with respect to the effectiveness of such waiver, amendment or modification with respect to the Commitments or Secured Obligations owing to such Defaulting Lender;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084" w:right="339" w:bottom="1440" w:gutter="0" w:footer="0" w:header="0"/>
        </w:sectPr>
      </w:pPr>
    </w:p>
    <w:bookmarkStart w:id="215" w:name="page216"/>
    <w:bookmarkEnd w:id="215"/>
    <w:p>
      <w:pPr>
        <w:ind w:left="1300"/>
        <w:spacing w:after="0"/>
        <w:rPr>
          <w:sz w:val="20"/>
          <w:szCs w:val="20"/>
          <w:color w:val="auto"/>
        </w:rPr>
      </w:pPr>
      <w:r>
        <w:rPr>
          <w:rFonts w:ascii="Times New Roman" w:cs="Times New Roman" w:eastAsia="Times New Roman" w:hAnsi="Times New Roman"/>
          <w:sz w:val="22"/>
          <w:szCs w:val="22"/>
          <w:color w:val="auto"/>
        </w:rPr>
        <w:t>(c) if any L/C Exposure exists at the time a Lender under the Revolving Credit Facility becomes a Defaulting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then:</w:t>
      </w:r>
    </w:p>
    <w:p>
      <w:pPr>
        <w:spacing w:after="0" w:line="182" w:lineRule="exact"/>
        <w:rPr>
          <w:sz w:val="20"/>
          <w:szCs w:val="20"/>
          <w:color w:val="auto"/>
        </w:rPr>
      </w:pPr>
    </w:p>
    <w:p>
      <w:pPr>
        <w:jc w:val="both"/>
        <w:ind w:left="1300" w:firstLine="652"/>
        <w:spacing w:after="0" w:line="239" w:lineRule="auto"/>
        <w:tabs>
          <w:tab w:leader="none" w:pos="2233"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the L/C Exposure of such Defaulting Lender shall be reallocated among the non-Defaulting Lenders in accordance with their respective Applicable Percentages but only to the extent the sum of all non-Defaulting Lenders’ Revolving Credit Exposures plus such Defaulting Lender’s L/C Exposure does not exceed the total of all non-Defaulting Lenders’ Commitments;</w:t>
      </w:r>
    </w:p>
    <w:p>
      <w:pPr>
        <w:spacing w:after="0" w:line="166" w:lineRule="exact"/>
        <w:rPr>
          <w:rFonts w:ascii="Times New Roman" w:cs="Times New Roman" w:eastAsia="Times New Roman" w:hAnsi="Times New Roman"/>
          <w:sz w:val="22"/>
          <w:szCs w:val="22"/>
          <w:color w:val="auto"/>
        </w:rPr>
      </w:pPr>
    </w:p>
    <w:p>
      <w:pPr>
        <w:jc w:val="both"/>
        <w:ind w:left="1300" w:firstLine="652"/>
        <w:spacing w:after="0" w:line="238" w:lineRule="auto"/>
        <w:tabs>
          <w:tab w:leader="none" w:pos="226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reallocation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cannot, or can only partially, be effected, the Borrower shall within three (3) Business Days following notice by the Administrative Agent Cash Collateralize for the benefit of the L/C Issuer only the Borrower’s obligations corresponding to such Defaulting Lender’s L/C Exposure (after giving effect to any partial reallocation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in accordance with the procedures set forth in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for so long as such L/C Exposure is outstanding;</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39" w:lineRule="auto"/>
        <w:tabs>
          <w:tab w:leader="none" w:pos="232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Cash Collateralizes any portion of such Defaulting Lender’s L/C Exposure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the Borrower shall not be required to pay any fees to such Defaulting Lender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2.03(h)</w:t>
      </w:r>
      <w:r>
        <w:rPr>
          <w:rFonts w:ascii="Times New Roman" w:cs="Times New Roman" w:eastAsia="Times New Roman" w:hAnsi="Times New Roman"/>
          <w:sz w:val="22"/>
          <w:szCs w:val="22"/>
          <w:color w:val="auto"/>
        </w:rPr>
        <w:t xml:space="preserve"> with respect to such Defaulting Lender’s L/C Exposure during the period such Defaulting Lender’s L/C Exposure is Cash Collateralized;</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38" w:lineRule="auto"/>
        <w:tabs>
          <w:tab w:leader="none" w:pos="2314"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L/C Exposures of the non-Defaulting Lenders are increased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then the fees payable to the Lenders pursuant to </w:t>
      </w:r>
      <w:r>
        <w:rPr>
          <w:rFonts w:ascii="Times New Roman" w:cs="Times New Roman" w:eastAsia="Times New Roman" w:hAnsi="Times New Roman"/>
          <w:sz w:val="22"/>
          <w:szCs w:val="22"/>
          <w:u w:val="single" w:color="auto"/>
          <w:color w:val="auto"/>
        </w:rPr>
        <w:t>Sections 2.09(a)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2.03(h)</w:t>
      </w:r>
      <w:r>
        <w:rPr>
          <w:rFonts w:ascii="Times New Roman" w:cs="Times New Roman" w:eastAsia="Times New Roman" w:hAnsi="Times New Roman"/>
          <w:sz w:val="22"/>
          <w:szCs w:val="22"/>
          <w:color w:val="auto"/>
        </w:rPr>
        <w:t xml:space="preserve"> shall be adjusted in accordance with such non-Defaulting Lenders’ Applicable Percentages; and</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38" w:lineRule="auto"/>
        <w:tabs>
          <w:tab w:leader="none" w:pos="2308"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all or any portion of such Defaulting Lender’s L/C Exposure is neither reallocated nor Cash Collateralized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then, without prejudice to any rights or remedies of the L/C Issuer or any other Lender hereunder, all letter of credit fees payable under </w:t>
      </w:r>
      <w:r>
        <w:rPr>
          <w:rFonts w:ascii="Times New Roman" w:cs="Times New Roman" w:eastAsia="Times New Roman" w:hAnsi="Times New Roman"/>
          <w:sz w:val="22"/>
          <w:szCs w:val="22"/>
          <w:u w:val="single" w:color="auto"/>
          <w:color w:val="auto"/>
        </w:rPr>
        <w:t>Section 2.03(h)</w:t>
      </w:r>
      <w:r>
        <w:rPr>
          <w:rFonts w:ascii="Times New Roman" w:cs="Times New Roman" w:eastAsia="Times New Roman" w:hAnsi="Times New Roman"/>
          <w:sz w:val="22"/>
          <w:szCs w:val="22"/>
          <w:color w:val="auto"/>
        </w:rPr>
        <w:t xml:space="preserve"> with respect to such portion of such Defaulting Lender’s L/C Exposure shall be payable to the L/C Issuer until and to the extent that such L/C Exposure is reallocated and/or Cash Collateralized;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such Lender is a Defaulting Lender under the Revolving Credit Facility, the L/C Issuer shall not be required to issue, amend or increase any Letter of Credit, unless it has received assurances satisfactory to it that non-Defaulting Lenders will cover the related exposure and/or cash collateral will be provided by the Borrower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2.16(c)</w:t>
      </w:r>
      <w:r>
        <w:rPr>
          <w:rFonts w:ascii="Times New Roman" w:cs="Times New Roman" w:eastAsia="Times New Roman" w:hAnsi="Times New Roman"/>
          <w:sz w:val="22"/>
          <w:szCs w:val="22"/>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22"/>
          <w:szCs w:val="22"/>
          <w:u w:val="single" w:color="auto"/>
          <w:color w:val="auto"/>
        </w:rPr>
        <w:t>Section 2.16(c)(i)</w:t>
      </w:r>
      <w:r>
        <w:rPr>
          <w:rFonts w:ascii="Times New Roman" w:cs="Times New Roman" w:eastAsia="Times New Roman" w:hAnsi="Times New Roman"/>
          <w:sz w:val="22"/>
          <w:szCs w:val="22"/>
          <w:color w:val="auto"/>
        </w:rPr>
        <w:t xml:space="preserve"> (and such Defaulting Lender shall not participate therein).</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In the event that the Administrative Agent, the Borrower and the L/C Issuer each agrees that a Defaulting Lender has adequately remedied all matters that caused such Lender to be a Defaulting Lender, then the L/C Exposures of the Revolving Credit Lenders shall be readjusted to reflect the inclusion of such Lender’s Revolving Credit Commitment and on such date such Lender shall purchase at par such of the Revolving Credit Loans of the other Revolving Credit Lenders as the Administrative Agent shall determine may be necessary in order for such Lender to hold such Revolving Credit Loans in accordance with its Applicable Percentage.</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Permitted Debt Exchanges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084" w:right="339" w:bottom="1440" w:gutter="0" w:footer="0" w:header="0"/>
        </w:sectPr>
      </w:pPr>
    </w:p>
    <w:bookmarkStart w:id="216" w:name="page217"/>
    <w:bookmarkEnd w:id="216"/>
    <w:p>
      <w:pPr>
        <w:jc w:val="both"/>
        <w:ind w:firstLine="1304"/>
        <w:spacing w:after="0" w:line="233" w:lineRule="auto"/>
        <w:tabs>
          <w:tab w:leader="none" w:pos="1774"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pursuant to one or more offers (each, a “</w:t>
      </w:r>
      <w:r>
        <w:rPr>
          <w:rFonts w:ascii="Times New Roman" w:cs="Times New Roman" w:eastAsia="Times New Roman" w:hAnsi="Times New Roman"/>
          <w:sz w:val="22"/>
          <w:szCs w:val="22"/>
          <w:u w:val="single" w:color="auto"/>
          <w:color w:val="auto"/>
        </w:rPr>
        <w:t>Permitted Debt Exchange Offer</w:t>
      </w:r>
      <w:r>
        <w:rPr>
          <w:rFonts w:ascii="Times New Roman" w:cs="Times New Roman" w:eastAsia="Times New Roman" w:hAnsi="Times New Roman"/>
          <w:sz w:val="22"/>
          <w:szCs w:val="22"/>
          <w:color w:val="auto"/>
        </w:rPr>
        <w:t>”) made from time to time by the Borrower to all Term Lenders (other than, with respect to any Permitted Debt Exchange Offer that constitutes an offering of securities, any Lender that, if requested by the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with outstanding Term Loans of a particular Class, the Borrower may from time to time consummate one or more exchanges of such Term Loans for Indebtedness (in the form of senior secured, senior unsecured, senior subordinated, or subordinated notes or loans) (such Indebtedness, “</w:t>
      </w:r>
      <w:r>
        <w:rPr>
          <w:rFonts w:ascii="Times New Roman" w:cs="Times New Roman" w:eastAsia="Times New Roman" w:hAnsi="Times New Roman"/>
          <w:sz w:val="22"/>
          <w:szCs w:val="22"/>
          <w:u w:val="single" w:color="auto"/>
          <w:color w:val="auto"/>
        </w:rPr>
        <w:t>Permitted Debt Exchange Notes</w:t>
      </w:r>
      <w:r>
        <w:rPr>
          <w:rFonts w:ascii="Times New Roman" w:cs="Times New Roman" w:eastAsia="Times New Roman" w:hAnsi="Times New Roman"/>
          <w:sz w:val="22"/>
          <w:szCs w:val="22"/>
          <w:color w:val="auto"/>
        </w:rPr>
        <w:t>” and each such exchange, a “</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so long as the following conditions are satisfied:</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584"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Permitted Debt Exchange Offer shall be made on a pro rata basis to the Term Lenders (other than, with respect to any Permitted Debt Exchange Offer that constitutes an offering of securities, any Lender that, if requested by the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of each applicable Class based on their respective aggregate principal amounts of outstanding Term Loans under each such Class;</w:t>
      </w:r>
    </w:p>
    <w:p>
      <w:pPr>
        <w:spacing w:after="0" w:line="183"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59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(calculated on the face amount thereof) of such Permitted Debt Exchange Notes shall not exceed the aggregate principal amount (calculated on the face amount thereof) of Term Loans so refinanced, except by an amount equal to any fees, expenses, commissions, underwriting discounts and premiums payable in connection with such Permitted Debt Exchange;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596"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stated final maturity of such Permitted Debt Exchange Notes is not earlier than the Latest Maturity Date for the Class or Classes of Term Loans being exchanged, and such stated final maturity is not subject to any conditions that could result in such stated final maturity occurring on a date that precedes such latest maturity date (it being understood that acceleration or mandatory repayment, prepayment, redemption or repurchase of such Permitted Debt Exchange Notes upon the occurrence of an event of default, a change in control, an event of loss or an asset disposition shall not be deemed to constitute a change in the stated final maturity thereof);</w:t>
      </w:r>
    </w:p>
    <w:p>
      <w:pPr>
        <w:spacing w:after="0" w:line="169"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584"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Permitted Debt Exchange Notes are not required to be repaid, prepaid, redeemed, repurchased or defeased, whether on one or more fixed dates, upon the occurrence of one or more events or at the option of any holder thereof (except, in each case, upon the occurrence of an event of default, a change in control, an event of loss or an asset disposition) prior to the Latest Maturity Date for the Class or Classes of Term Loans being exchanged,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scheduled amortization payments (however denominated, including scheduled offers to repurchase) of such Permitted Debt Exchange Notes shall be permitted so long as the Weighted Average Life to Maturity of such Indebtedness shall be longer than the remaining Weighted Average Life to Maturity of the Class or Classes of Term Loans being exchanged;</w:t>
      </w:r>
    </w:p>
    <w:p>
      <w:pPr>
        <w:spacing w:after="0" w:line="178" w:lineRule="exact"/>
        <w:rPr>
          <w:rFonts w:ascii="Times New Roman" w:cs="Times New Roman" w:eastAsia="Times New Roman" w:hAnsi="Times New Roman"/>
          <w:sz w:val="22"/>
          <w:szCs w:val="22"/>
          <w:color w:val="auto"/>
        </w:rPr>
      </w:pPr>
    </w:p>
    <w:p>
      <w:pPr>
        <w:ind w:left="1300" w:firstLine="652"/>
        <w:spacing w:after="0" w:line="258" w:lineRule="auto"/>
        <w:tabs>
          <w:tab w:leader="none" w:pos="2591"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Restricted Subsidiary is a borrower or guarantor with respect to such Indebtedness unless such Restricted Subsidiary is or substantially concurrently becomes a Loan Party;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084" w:right="339" w:bottom="1440" w:gutter="0" w:footer="0" w:header="0"/>
        </w:sectPr>
      </w:pPr>
    </w:p>
    <w:bookmarkStart w:id="217" w:name="page218"/>
    <w:bookmarkEnd w:id="217"/>
    <w:p>
      <w:pPr>
        <w:jc w:val="both"/>
        <w:ind w:left="180" w:firstLine="652"/>
        <w:spacing w:after="0" w:line="238" w:lineRule="auto"/>
        <w:tabs>
          <w:tab w:leader="none" w:pos="146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Permitted Debt Exchange Notes are secured, such Permitted Debt Exchange Notes are secured on a pari passu basis or junior priority basis to the Secured Obligations and (A) such Permitted Debt Exchange Notes are not secured by any assets not securing the Secured Obligations unless such assets substantially concurrently secure the Secured Obligations and (B) the beneficiaries thereof (or an agent on their behalf) shall have entered into a Customary Intercreditor Agreement with the Administrative Agent;</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36" w:lineRule="auto"/>
        <w:tabs>
          <w:tab w:leader="none" w:pos="147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such Permitted Debt Exchange Notes (excluding pricing and optional prepayment or redemption terms or covenants or other provisions applicable only to periods after the Maturity Date of the Class or Classes of Term Loans being exchanged) reflect market terms and conditions at the time of incurrence or issuance as reasonably determined by the Borrower in good faith;</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32" w:lineRule="auto"/>
        <w:tabs>
          <w:tab w:leader="none" w:pos="147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 Loans exchanged under each applicable Class by the Borrower pursuant to any Permitted Debt Exchange shall automatically be cancelled and retired by the Borrower on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and accrued and unpaid interest on such Term Loans shall be paid to the exchanging Lenders on the date of consummation of such Permitted Debt Exchange, or, if agreed to by the Borrower and the Administrative Agent, the next scheduled Interest Payment Date with respect to such Term Loans (with such interest accruing until the date of consummation of such Permitted Debt Exchange);</w:t>
      </w:r>
    </w:p>
    <w:p>
      <w:pPr>
        <w:spacing w:after="0" w:line="187" w:lineRule="exact"/>
        <w:rPr>
          <w:rFonts w:ascii="Times New Roman" w:cs="Times New Roman" w:eastAsia="Times New Roman" w:hAnsi="Times New Roman"/>
          <w:sz w:val="22"/>
          <w:szCs w:val="22"/>
          <w:color w:val="auto"/>
        </w:rPr>
      </w:pPr>
    </w:p>
    <w:p>
      <w:pPr>
        <w:jc w:val="both"/>
        <w:ind w:left="180" w:firstLine="652"/>
        <w:spacing w:after="0" w:line="243" w:lineRule="auto"/>
        <w:tabs>
          <w:tab w:leader="none" w:pos="1464"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each Class, and the aggregate principal amount of all Term Loans (calculated on the face amount thereof) of all Classes tendered by Lenders in respect of the 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Borrower pursuant to such Permitted Debt Exchange Offer, then the Borrower shall exchange Term Loans across all Classes subject to such Permitted Debt Exchange Offer tendered by such Lenders ratably up to such maximum amount based on the respective principal amounts so tendered;</w:t>
      </w:r>
    </w:p>
    <w:p>
      <w:pPr>
        <w:spacing w:after="0" w:line="180" w:lineRule="exact"/>
        <w:rPr>
          <w:rFonts w:ascii="Times New Roman" w:cs="Times New Roman" w:eastAsia="Times New Roman" w:hAnsi="Times New Roman"/>
          <w:sz w:val="21"/>
          <w:szCs w:val="21"/>
          <w:color w:val="auto"/>
        </w:rPr>
      </w:pPr>
    </w:p>
    <w:p>
      <w:pPr>
        <w:jc w:val="both"/>
        <w:ind w:left="180" w:firstLine="652"/>
        <w:spacing w:after="0" w:line="239" w:lineRule="auto"/>
        <w:tabs>
          <w:tab w:leader="none" w:pos="147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0120"/>
          </w:cols>
          <w:pgMar w:left="1440" w:top="1084" w:right="339" w:bottom="1440" w:gutter="0" w:footer="0" w:header="0"/>
        </w:sectPr>
      </w:pPr>
    </w:p>
    <w:bookmarkStart w:id="218" w:name="page219"/>
    <w:bookmarkEnd w:id="218"/>
    <w:p>
      <w:pPr>
        <w:ind w:left="1300" w:firstLine="652"/>
        <w:spacing w:after="0" w:line="258" w:lineRule="auto"/>
        <w:tabs>
          <w:tab w:leader="none" w:pos="258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Tender Condition or Maximum Tender Condition, as the case may be, shall be satisfied or waived by the Borrower.</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herein, no Lender shall have any obligation to agree to have any of its Loans or Commitments exchanged pursuant to any Permitted Debt Exchange Offer.</w:t>
      </w:r>
    </w:p>
    <w:p>
      <w:pPr>
        <w:spacing w:after="0" w:line="158" w:lineRule="exact"/>
        <w:rPr>
          <w:sz w:val="20"/>
          <w:szCs w:val="20"/>
          <w:color w:val="auto"/>
        </w:rPr>
      </w:pPr>
    </w:p>
    <w:p>
      <w:pPr>
        <w:jc w:val="both"/>
        <w:ind w:firstLine="1304"/>
        <w:spacing w:after="0" w:line="232" w:lineRule="auto"/>
        <w:tabs>
          <w:tab w:leader="none" w:pos="1817"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all Permitted Debt Exchanges effected by the Borrower pursuant to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such Permitted Debt Exchange Offer shall be made for not less than $15.0 million in aggregate principal amount of Term Loans,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subject to the foregoing the Borrower may at its election specify (A) as a condition (a “</w:t>
      </w:r>
      <w:r>
        <w:rPr>
          <w:rFonts w:ascii="Times New Roman" w:cs="Times New Roman" w:eastAsia="Times New Roman" w:hAnsi="Times New Roman"/>
          <w:sz w:val="22"/>
          <w:szCs w:val="22"/>
          <w:u w:val="single" w:color="auto"/>
          <w:color w:val="auto"/>
        </w:rPr>
        <w:t>Minimum Tender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Condition</w:t>
      </w:r>
      <w:r>
        <w:rPr>
          <w:rFonts w:ascii="Times New Roman" w:cs="Times New Roman" w:eastAsia="Times New Roman" w:hAnsi="Times New Roman"/>
          <w:sz w:val="22"/>
          <w:szCs w:val="22"/>
          <w:color w:val="auto"/>
        </w:rPr>
        <w:t>”) to consummating any such Permitted Debt Exchange that a minimum amount (to be determined and specified in the relevant Permitted Debt Exchange Offer in the Borrower’s discretion) of Term Loans of any or all applicable Classes be tendered and/or (B) as a condition (a “</w:t>
      </w:r>
      <w:r>
        <w:rPr>
          <w:rFonts w:ascii="Times New Roman" w:cs="Times New Roman" w:eastAsia="Times New Roman" w:hAnsi="Times New Roman"/>
          <w:sz w:val="22"/>
          <w:szCs w:val="22"/>
          <w:u w:val="single" w:color="auto"/>
          <w:color w:val="auto"/>
        </w:rPr>
        <w:t>Maximum Tender Condition</w:t>
      </w:r>
      <w:r>
        <w:rPr>
          <w:rFonts w:ascii="Times New Roman" w:cs="Times New Roman" w:eastAsia="Times New Roman" w:hAnsi="Times New Roman"/>
          <w:sz w:val="22"/>
          <w:szCs w:val="22"/>
          <w:color w:val="auto"/>
        </w:rPr>
        <w:t xml:space="preserve">”) to consummating any such Permitted Debt Exchange that no more than a maximum amount (to be determined and specified in the relevant Permitted Debt Exchange Offer in the Borrower’s discretion) of Term Loans of any or all applicable Classes will be accepted for exchange. The Administrative Agent and the Lenders hereby acknowledge and agree that the provisions of </w:t>
      </w:r>
      <w:r>
        <w:rPr>
          <w:rFonts w:ascii="Times New Roman" w:cs="Times New Roman" w:eastAsia="Times New Roman" w:hAnsi="Times New Roman"/>
          <w:sz w:val="22"/>
          <w:szCs w:val="22"/>
          <w:u w:val="single" w:color="auto"/>
          <w:color w:val="auto"/>
        </w:rPr>
        <w:t>Sections 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do not apply to the Permitted Debt Exchange and the other transactions contemplated by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and hereby agree not to assert any Default or Event of Default in connection with the implementation of any such Permitted Debt Exchange or any other transaction contemplated by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32" w:lineRule="auto"/>
        <w:tabs>
          <w:tab w:leader="none" w:pos="180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each Permitted Debt Exchange, the Borrower shall provide the Administrative Agent at least five (5) Business Days’ (or such shorter period as may be agreed by the Administrative Agent) prior written notice thereof, and the Borrower and the Administrative Agent, acting reasonably, shall mutually agree to such procedures as may be necessary or advisable to accomplish the purposes of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Borrower shall provide the final results of such Permitted Debt Exchange to the Administrative Agent no later than three (3) Business Days prior to the proposed date of effectiveness for such Permitted Debt Exchange (or such shorter period agreed to by the Administrative Agent in its sole discretion) and the Administrative Agent shall be entitled to conclusively rely on such results.</w:t>
      </w:r>
    </w:p>
    <w:p>
      <w:pPr>
        <w:spacing w:after="0" w:line="187"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45"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responsible for compliance with, and hereby agrees to comply with, all applicable securities and other laws in connection with each Permitted Debt Exchange, it being understood and agreed that (i) neither the Administrative Agent nor any Lender assumes any responsibility in connection with the Borrower’s compliance with such laws in connection with any Permitted Debt Exchange and (ii) each Lender shall be solely responsible for its compliance with any applicable “insider trading” laws and regulations to which such Lender may be subject under the Exchange Act.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Refinancing Facilities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4" w:lineRule="auto"/>
        <w:tabs>
          <w:tab w:leader="none" w:pos="176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Closing Date, the Borrower may obtain, from any Lender or any Additional Lender (to the extent agreed to by such Lender or Additional Lender in its sole discretion), Credit Agreement Refinancing Indebtedness in respect of all or any portion of the Term Loans, Revolving Credit Loans and/or Revolving Credit Commitments then outstanding under this Agreement (which will be deemed to include any then outstanding Incremental Term Loans under any Incremental Facilities or any Incremental Revolving Credit Commitments then outstanding under this Agreement (or any Revolving Credit Loans outstanding pursuant thereto)) or any then outstanding Refinancing Term Loans or any then outstanding Refinancing Revolving Credit Loans or Refinancing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084" w:right="339" w:bottom="1440" w:gutter="0" w:footer="0" w:header="0"/>
        </w:sectPr>
      </w:pPr>
    </w:p>
    <w:bookmarkStart w:id="219" w:name="page220"/>
    <w:bookmarkEnd w:id="219"/>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Revolving Credit Commitments in the form of Refinancing Revolving Credit Loans or Refinancing Revolving Credit Commitments, respectively, in each case, pursuant to a Refinancing Amendment, together with any applicable Customary Intercreditor Agreement or other customary subordination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Credit Agreement Refinancing Indebtedness (i) will, to the extent secured,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or junior in right of payment and of security with the other Loans and Commitments hereunder (but for the avoidance of doubt, such Credit Agreement Refinancing Indebtedness may be unsecured),</w:t>
      </w:r>
    </w:p>
    <w:p>
      <w:pPr>
        <w:spacing w:after="0" w:line="1" w:lineRule="exact"/>
        <w:rPr>
          <w:sz w:val="20"/>
          <w:szCs w:val="20"/>
          <w:color w:val="auto"/>
        </w:rPr>
      </w:pPr>
    </w:p>
    <w:p>
      <w:pPr>
        <w:jc w:val="both"/>
        <w:ind w:firstLine="8"/>
        <w:spacing w:after="0" w:line="230" w:lineRule="auto"/>
        <w:tabs>
          <w:tab w:leader="none" w:pos="338"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will, to the extent permitted by the definition of “Credit Agreement Refinancing Indebtedness,” have such pricing, interest rate margins (including “MFN” provisions), rate floors, discounts, fees, premiums and prepayment or redemption provisions and terms as may be agreed by the Borrower and the Lenders or Additional Lenders with respect thereto, (iii) will, to the extent in the form of Refinancing Revolving Credit Loans or Refinancing Revolving Credit Commitments, participate in the payment, borrowing, participation and commitment reduction provisions herein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with any then outstanding Revolving Credit Loans and Revolving Credit Commitments, except that the Borrower shall be permitted to permanently repay and terminate commitments of any such Class on a better than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as compared to any other Class with a later maturity date than such Class and (iv) will, to the extent in the form of Refinancing Revolving Credit Loans or Refinancing Revolving Credit Commitments and unless the Required Revolving Credit Lenders shall have consented thereto, have terms and conditions (other than interest rate margins and commitment fees) identical to those applicable to the Revolving Credit Commitments and Revolving Credit Loans being refinanced. The effectiveness of any Refinancing Amendment shall be subject to, to the extent reasonably requested by the Administrative Agent, receipt by the Administrative Agent of reaffirmation agreements and board resolutions, officers’ certificates and legal opinions consistent with those delivered on the Closing Date.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Refinancing Term Loans, Refinancing Revolving Credit Loans or Refinancing Revolving Credit Loan Commitments, as applicable) and any Indebtedness being replaced or refinanced with such Credit Agreement Refinancing Indebtedness shall be deemed permanently reduced and satisfied in all respects. Any Refinancing Amendment may, without the consent of any other Lenders, effect such amendments to this Agreement and the other Loan Documents as may be necessary or appropriate, to effect the provisions of this Section.</w:t>
      </w:r>
    </w:p>
    <w:p>
      <w:pPr>
        <w:spacing w:after="0" w:line="16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shall supersede any provisions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to the contrary.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Taxes, Increased Costs Protection and Illegality</w:t>
      </w:r>
    </w:p>
    <w:p>
      <w:pPr>
        <w:spacing w:after="0" w:line="20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5" w:lineRule="auto"/>
        <w:tabs>
          <w:tab w:leader="none" w:pos="1877"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required by applicable law, any and all payments by or with respect to any obligation of the Borrower (the term Borrower under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being deemed to include any Subsidiary for whose account a Letter of Credit is issued) or any Guarantor to or for the account of any Agent or any Lender under any Loan Document shall be made free and clear of and without deduction or withholding for any Taxes;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applicable law (as determined in the good faith discretion of the applicable withholding agent) requires the deduction or withholding of any Tax from any such payment by a withholding agent and such Tax is an Indemnified Tax, then (i) the sum payable by the Borrower or applicable Guarantor shall be increased as necessary so that after making all required deductions and withholdings (including deductions and withholdings applicable to additional sums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any Recipient receives an amount equal to the sum it would have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084" w:right="339" w:bottom="1440" w:gutter="0" w:footer="0" w:header="0"/>
        </w:sectPr>
      </w:pPr>
    </w:p>
    <w:bookmarkStart w:id="220" w:name="page221"/>
    <w:bookmarkEnd w:id="220"/>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received had no such deductions or withholdings been made, (ii) the applicable withholding agent shall make such deductions and withholdings, and (iii) the applicable withholding agent shall timely pay the full amount deducted or withheld to the relevant Governmental Authority in accordance with applicable law. In addition, and without duplication of any amounts payable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the Borrower agrees to pay, or at the option of the Administrative Agent timely reimburse it for, all Other Taxes.</w:t>
      </w:r>
    </w:p>
    <w:p>
      <w:pPr>
        <w:spacing w:after="0" w:line="177" w:lineRule="exact"/>
        <w:rPr>
          <w:sz w:val="20"/>
          <w:szCs w:val="20"/>
          <w:color w:val="auto"/>
        </w:rPr>
      </w:pPr>
    </w:p>
    <w:p>
      <w:pPr>
        <w:jc w:val="both"/>
        <w:ind w:firstLine="1304"/>
        <w:spacing w:after="0" w:line="241" w:lineRule="auto"/>
        <w:tabs>
          <w:tab w:leader="none" w:pos="180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duplication of any amounts payable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the Borrower agrees to indemnify each Agent and each Lender, within 10 Business Days after written demand therefor, for (i) the full amount of any Indemnified Taxes (including any Indemnified Taxes imposed or asserted on or attributable to amounts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payable by such Agent and such Lender and (ii) any reasonable out-of-pocket expenses arising therefrom or with respect thereto, in each case, whether or not such Indemnified Taxes were correctly or legally imposed or asserted by the relevant Governmental Authority;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however that the Borrower shall not be required to indemnify any Agent or Lender pursuant to this Section 3.01(b) for any interest, penalties or expenses to the extent resulting from such Agent’s or such Lender’s failure to notify the Borrower of such possible indemnification claim within 180 days after such Agent or such Lender, as applicable, receives written notice from the applicable Governmental Authority of the specific Tax assessment or deficiency claim giving rise to such indemnification claim. A copy of a receipt or any other document evidencing payment delivered to the Borrower by a Recipient, or by the Administrative Agent on its own behalf or on behalf of a Recipient, shall be conclusive absent manifest error. If any Lender or Agent determines, in its reasonable discretion, that it has received a refund in respect of any Indemnified Taxes as to which indemnification or additional amounts have been paid to it by a Borrower or any Guarantor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it shall reasonably promptly pay an amount equal to such refund after it is determined that such refund pertains to Indemnified Taxes (but only to the extent of indemnity payments made, or additional amounts paid, by a Borrower or any Guarantor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with respect to the Indemnified Taxes giving rise to such refund plus any interest included in such refund by the relevant taxing authority attributable thereto) to the Borrower, net of all reasonable out-of-pocket expenses of the Lender or Agent, as the case may be and without interest (other than any interest paid by the relevant taxing authority with respect to such refund);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 or the Guarantor, upon the request of the Lender or Agent, as the case may be, agrees promptly to return an amount equal to such refund (plus any applicable interest, additions to Tax or penalties) to such party in the event such party is required to repay such refund to the relevant taxing authority. Such Lender or Agent, as the case may be, shall, at the Borrower’s request, provide the Borrower with a copy of any notice of assessment or other evidence of the requirement to repay such refund received from the relevant taxing authority (provided that such Lender or Agent may delete any information therein that such Lender or Agent deems confidential). Notwithstanding anything to the contrary in this paragraph (b), in no event will the indemnified party be required to pay any amount to an indemnifying party pursuant to this paragraph (b)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Nothing herein contained shall oblige any Lender or Agent to claim any Tax refund or to make available its Tax returns or disclose any information relating to its Tax affairs or any computations in respect thereof.</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jc w:val="both"/>
        <w:ind w:firstLine="1304"/>
        <w:spacing w:after="0" w:line="236" w:lineRule="auto"/>
        <w:tabs>
          <w:tab w:leader="none" w:pos="17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any payment of Taxes by the Borrower to a Governmental Authority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084" w:right="339" w:bottom="1440" w:gutter="0" w:footer="0" w:header="0"/>
        </w:sectPr>
      </w:pPr>
    </w:p>
    <w:bookmarkStart w:id="221" w:name="page222"/>
    <w:bookmarkEnd w:id="221"/>
    <w:p>
      <w:pPr>
        <w:ind w:left="1800" w:hanging="496"/>
        <w:spacing w:after="0"/>
        <w:tabs>
          <w:tab w:leader="none" w:pos="180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agrees that, upon the occurrence of any event giving rise to the operation of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or</w:t>
      </w:r>
    </w:p>
    <w:p>
      <w:pPr>
        <w:spacing w:after="0" w:line="25" w:lineRule="exact"/>
        <w:rPr>
          <w:rFonts w:ascii="Times New Roman" w:cs="Times New Roman" w:eastAsia="Times New Roman" w:hAnsi="Times New Roman"/>
          <w:sz w:val="21"/>
          <w:szCs w:val="21"/>
          <w:color w:val="auto"/>
        </w:rPr>
      </w:pPr>
    </w:p>
    <w:p>
      <w:pPr>
        <w:jc w:val="both"/>
        <w:ind w:firstLine="8"/>
        <w:spacing w:after="0" w:line="230" w:lineRule="auto"/>
        <w:tabs>
          <w:tab w:leader="none" w:pos="339" w:val="left"/>
        </w:tabs>
        <w:numPr>
          <w:ilvl w:val="0"/>
          <w:numId w:val="2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with respect to such Lender it will, if requested by the Borrower, use reasonable efforts (subject to legal and regulatory restrictions), at Borrower’s expense, to designate another Applicable Lending Office for any Loan or Letter of Credit affected by such event; provided that such efforts are made on terms that, in the judgment of such Lender, cause such Lender and its Applicable Lending Office(s) to suffer no material economic, Taxes, legal or regulatory disadvantage, and provided further that nothing in this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shall affect or postpone any of the Secured Obligations of the Borrower or the rights of such Lender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u w:val="single" w:color="auto"/>
          <w:color w:val="auto"/>
        </w:rPr>
      </w:pPr>
    </w:p>
    <w:p>
      <w:pPr>
        <w:ind w:left="1820" w:hanging="516"/>
        <w:spacing w:after="0"/>
        <w:tabs>
          <w:tab w:leader="none" w:pos="1820"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Administrative Agent, within 10 days after demand therefor, for</w:t>
      </w:r>
    </w:p>
    <w:p>
      <w:pPr>
        <w:spacing w:after="0" w:line="25" w:lineRule="exact"/>
        <w:rPr>
          <w:rFonts w:ascii="Times New Roman" w:cs="Times New Roman" w:eastAsia="Times New Roman" w:hAnsi="Times New Roman"/>
          <w:sz w:val="21"/>
          <w:szCs w:val="21"/>
          <w:color w:val="auto"/>
        </w:rPr>
      </w:pPr>
    </w:p>
    <w:p>
      <w:pPr>
        <w:jc w:val="both"/>
        <w:ind w:firstLine="8"/>
        <w:spacing w:after="0" w:line="230" w:lineRule="auto"/>
        <w:tabs>
          <w:tab w:leader="none" w:pos="26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10.07(e)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84" w:lineRule="exact"/>
        <w:rPr>
          <w:rFonts w:ascii="Times New Roman" w:cs="Times New Roman" w:eastAsia="Times New Roman" w:hAnsi="Times New Roman"/>
          <w:sz w:val="22"/>
          <w:szCs w:val="22"/>
          <w:color w:val="auto"/>
        </w:rPr>
      </w:pPr>
    </w:p>
    <w:p>
      <w:pPr>
        <w:jc w:val="both"/>
        <w:ind w:firstLine="1304"/>
        <w:spacing w:after="0" w:line="232" w:lineRule="auto"/>
        <w:tabs>
          <w:tab w:leader="none" w:pos="1755"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the Lenders:</w:t>
      </w:r>
      <w:r>
        <w:rPr>
          <w:rFonts w:ascii="Times New Roman" w:cs="Times New Roman" w:eastAsia="Times New Roman" w:hAnsi="Times New Roman"/>
          <w:sz w:val="22"/>
          <w:szCs w:val="22"/>
          <w:color w:val="auto"/>
        </w:rPr>
        <w:t xml:space="preserve"> (i)(i) 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any Loan Document.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such documentation (including any documentation specifically referenced below) expired, obsolete or inaccurate in any material respect, deliver reasonably promptly to the Borrower and the Administrative Agent updated or other appropriate documentation (including any new documentation reasonably requested by the applicable withholding agent) or reasonably promptly notify the Borrower and the Administrative Agent in writing of its legal inability to do so.</w:t>
      </w:r>
    </w:p>
    <w:p>
      <w:pPr>
        <w:spacing w:after="0" w:line="184" w:lineRule="exact"/>
        <w:rPr>
          <w:sz w:val="20"/>
          <w:szCs w:val="20"/>
          <w:color w:val="auto"/>
        </w:rPr>
      </w:pPr>
    </w:p>
    <w:p>
      <w:pPr>
        <w:ind w:left="1780" w:hanging="476"/>
        <w:spacing w:after="0"/>
        <w:tabs>
          <w:tab w:leader="none" w:pos="178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45" w:lineRule="auto"/>
        <w:tabs>
          <w:tab w:leader="none" w:pos="2531"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that is a “United States person” (as defined in Section 7701(a)(30) of the Code) shall deliver to the Borrower and the Administrative Agent, and if applicable, the assigning Lender (or, in the case of a Participant, to the Lender from which the related participation shall have been purchased) on or before the date on which it becomes a party to this Agreement (or, in the case of (x) a Participant, on or before the date on which such Participant purchases the related participation and (y) an assignee, on or before the effective date of such assignment), on or before the date on which it becomes a party to this Agreement two properly completed and duly signed original copies of Internal Revenue Service Form W-9 (or any successor form) certifying that such Lender is exempt from U.S. federal backup withholding. Each Lender that is not a “United States person” as defined in Section 7701(a)(30) of the Code (a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084" w:right="339" w:bottom="1440" w:gutter="0" w:footer="0" w:header="0"/>
        </w:sectPr>
      </w:pPr>
    </w:p>
    <w:bookmarkStart w:id="222" w:name="page223"/>
    <w:bookmarkEnd w:id="222"/>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shall, to the extent it is legally able to do so, deliver to the Borrower and the Administrative Agent, and if applicable, the assigning Lender (or, in the case of a Participant, to the Lender from which the related participation shall have been purchased) on or before the date on which it becomes a party to this Agreement (or, in the case of (x) a Participant, on or before the date on which such Participant purchases the related participation and (y) an assignee, on or before the effective date of such assignment), and from time to time thereafter when required by Law or upon the reasonable request of the Borrower or the Administrative Agent, two properly completed and duly signed copies of whichever of the following is applicable:</w:t>
      </w:r>
    </w:p>
    <w:p>
      <w:pPr>
        <w:spacing w:after="0" w:line="181" w:lineRule="exact"/>
        <w:rPr>
          <w:sz w:val="20"/>
          <w:szCs w:val="20"/>
          <w:color w:val="auto"/>
        </w:rPr>
      </w:pPr>
    </w:p>
    <w:p>
      <w:pPr>
        <w:jc w:val="both"/>
        <w:ind w:left="660" w:firstLine="1292"/>
        <w:spacing w:after="0" w:line="239" w:lineRule="auto"/>
        <w:tabs>
          <w:tab w:leader="none" w:pos="251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original of Internal Revenue Service Form W-8BEN, W-8BEN-E, as applicable (with respect to eligibility for benefits under any income tax treaty), or successor and related applicable forms, as the case may be, certifying to such Foreign Lender’s entitlement as of such date to an exemption from or reduction of United States withholding tax with respect to payments to be made under this Agreement,</w:t>
      </w:r>
    </w:p>
    <w:p>
      <w:pPr>
        <w:spacing w:after="0" w:line="18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Revenue Service Form W-8ECI (or any successor forms),</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45" w:lineRule="auto"/>
        <w:tabs>
          <w:tab w:leader="none" w:pos="2508"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Lender claiming the benefits of the exemption for portfolio interest under Section 881(c) or the Code, (x) a certificate, in substantially the form of </w:t>
      </w:r>
      <w:r>
        <w:rPr>
          <w:rFonts w:ascii="Times New Roman" w:cs="Times New Roman" w:eastAsia="Times New Roman" w:hAnsi="Times New Roman"/>
          <w:sz w:val="21"/>
          <w:szCs w:val="21"/>
          <w:u w:val="single" w:color="auto"/>
          <w:color w:val="auto"/>
        </w:rPr>
        <w:t>Exhibit L</w:t>
      </w:r>
      <w:r>
        <w:rPr>
          <w:rFonts w:ascii="Times New Roman" w:cs="Times New Roman" w:eastAsia="Times New Roman" w:hAnsi="Times New Roman"/>
          <w:sz w:val="21"/>
          <w:szCs w:val="21"/>
          <w:color w:val="auto"/>
        </w:rPr>
        <w:t xml:space="preserve"> (any such certificate a “</w:t>
      </w:r>
      <w:r>
        <w:rPr>
          <w:rFonts w:ascii="Times New Roman" w:cs="Times New Roman" w:eastAsia="Times New Roman" w:hAnsi="Times New Roman"/>
          <w:sz w:val="21"/>
          <w:szCs w:val="21"/>
          <w:u w:val="single" w:color="auto"/>
          <w:color w:val="auto"/>
        </w:rPr>
        <w:t>United States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or any other form approved by the Administrative Agent and Borrower,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properly completed and duly executed copies of Internal Revenue Service Form W-8BEN or W-8BEN-E, as applicable (or any successor forms),</w:t>
      </w:r>
    </w:p>
    <w:p>
      <w:pPr>
        <w:spacing w:after="0" w:line="174" w:lineRule="exact"/>
        <w:rPr>
          <w:rFonts w:ascii="Times New Roman" w:cs="Times New Roman" w:eastAsia="Times New Roman" w:hAnsi="Times New Roman"/>
          <w:sz w:val="21"/>
          <w:szCs w:val="21"/>
          <w:color w:val="auto"/>
        </w:rPr>
      </w:pPr>
    </w:p>
    <w:p>
      <w:pPr>
        <w:jc w:val="both"/>
        <w:ind w:left="660" w:firstLine="1292"/>
        <w:spacing w:after="0" w:line="233" w:lineRule="auto"/>
        <w:tabs>
          <w:tab w:leader="none" w:pos="2448"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Lender is not the beneficial owner (for example, where the Lender is a partnership, or is a Lender that has granted a participation), Internal Revenue Service Form W-8IMY (or any successor forms) of the Lender, accompanied by Internal Revenue Service Form W-8ECI, W-8BEN or W-8BEN-E, as applicable (or any successor forms), United States Tax Compliance Certificate, Internal Revenue Service Form W-9, Form W-8IMY (or other successor forms) and/or any other required information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58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U.S. federal income tax Laws (including the Treasury regulations) as a basis for claiming a complete exemption from, or a reduction in, U.S. federal withholding tax on any payments to such Lender under the Loan Documents.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Further, each Foreign Lender agrees, (i) to the extent it is not precluded from doing so by a Change in Law and otherwise legally able to do so, to deliver to the Borrower and the Administrative Agent, and if applicable, the assigning Lender (or, in the case of a Participant, to the Lender from which the related participation shall have been purchased), from time to time, an executed original of the applicable Form W-8 or successor and related applicable forms or certificates, on or before the date that any such form or certificate, as the case may be, expires or becomes obsolete or invalid in accordance with applicable U.S. laws and regulations,</w:t>
      </w:r>
    </w:p>
    <w:p>
      <w:pPr>
        <w:spacing w:after="0" w:line="3" w:lineRule="exact"/>
        <w:rPr>
          <w:sz w:val="20"/>
          <w:szCs w:val="20"/>
          <w:color w:val="auto"/>
        </w:rPr>
      </w:pPr>
    </w:p>
    <w:p>
      <w:pPr>
        <w:ind w:firstLine="8"/>
        <w:spacing w:after="0" w:line="237" w:lineRule="auto"/>
        <w:tabs>
          <w:tab w:leader="none" w:pos="33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that delivers a United States Tax Compliance Certificate, to deliver to the Borrower and the Administrative Agent, and if applicable,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080" w:right="339" w:bottom="1440" w:gutter="0" w:footer="0" w:header="0"/>
        </w:sectPr>
      </w:pPr>
    </w:p>
    <w:bookmarkStart w:id="223" w:name="page224"/>
    <w:bookmarkEnd w:id="223"/>
    <w:p>
      <w:pPr>
        <w:jc w:val="both"/>
        <w:spacing w:after="0" w:line="253" w:lineRule="auto"/>
        <w:rPr>
          <w:sz w:val="20"/>
          <w:szCs w:val="20"/>
          <w:color w:val="auto"/>
        </w:rPr>
      </w:pPr>
      <w:r>
        <w:rPr>
          <w:rFonts w:ascii="Times New Roman" w:cs="Times New Roman" w:eastAsia="Times New Roman" w:hAnsi="Times New Roman"/>
          <w:sz w:val="21"/>
          <w:szCs w:val="21"/>
          <w:color w:val="auto"/>
        </w:rPr>
        <w:t>assigning Lender (or, in the case of a Participant, to the Lender from which the related participation shall have been purchased), such statement on an annual basis reasonably promptly after the anniversary of the date on which such Foreign Lender became a party to this Agreement (or, in the case of a Participant, the date on which the Participant purchased the related participation), and</w:t>
      </w:r>
    </w:p>
    <w:p>
      <w:pPr>
        <w:spacing w:after="0" w:line="3" w:lineRule="exact"/>
        <w:rPr>
          <w:sz w:val="20"/>
          <w:szCs w:val="20"/>
          <w:color w:val="auto"/>
        </w:rPr>
      </w:pPr>
    </w:p>
    <w:p>
      <w:pPr>
        <w:jc w:val="both"/>
        <w:ind w:firstLine="8"/>
        <w:spacing w:after="0" w:line="239" w:lineRule="auto"/>
        <w:tabs>
          <w:tab w:leader="none" w:pos="39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notify promptly the Borrower and the Administrative Agent (or, in the case of a Participant, the Lender from which the related participation shall have been purchased) if it is no longer able to deliver, or if it is required to withdraw or cancel, any form or certificate previously delivered by it pursuant to this </w:t>
      </w:r>
      <w:r>
        <w:rPr>
          <w:rFonts w:ascii="Times New Roman" w:cs="Times New Roman" w:eastAsia="Times New Roman" w:hAnsi="Times New Roman"/>
          <w:sz w:val="22"/>
          <w:szCs w:val="22"/>
          <w:u w:val="single" w:color="auto"/>
          <w:color w:val="auto"/>
        </w:rPr>
        <w:t>Section 3.01(f)</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497"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but without duplication of the covenant as to United States withholding tax contained in </w:t>
      </w:r>
      <w:r>
        <w:rPr>
          <w:rFonts w:ascii="Times New Roman" w:cs="Times New Roman" w:eastAsia="Times New Roman" w:hAnsi="Times New Roman"/>
          <w:sz w:val="22"/>
          <w:szCs w:val="22"/>
          <w:u w:val="single" w:color="auto"/>
          <w:color w:val="auto"/>
        </w:rPr>
        <w:t>Section 3.01(f)(i) and (ii)</w:t>
      </w:r>
      <w:r>
        <w:rPr>
          <w:rFonts w:ascii="Times New Roman" w:cs="Times New Roman" w:eastAsia="Times New Roman" w:hAnsi="Times New Roman"/>
          <w:sz w:val="22"/>
          <w:szCs w:val="22"/>
          <w:color w:val="auto"/>
        </w:rPr>
        <w:t>, any Lender that is entitled to an exemption from or reduction of withholding Tax under the law of the jurisdiction(s) in which the Borrower is organized, or any treaty to which any such jurisdiction is a party, with respect to payments under this Agreement shall deliver to the Borrower (with a copy to the Administrative Agent), at the time or times prescribed by applicable law, such properly completed and executed original documentation prescribed by applicable law or reasonably requested by the Borrower as will permit such payments to be made without withholding or at a reduced rate.</w:t>
      </w:r>
    </w:p>
    <w:p>
      <w:pPr>
        <w:spacing w:after="0" w:line="183" w:lineRule="exact"/>
        <w:rPr>
          <w:rFonts w:ascii="Times New Roman" w:cs="Times New Roman" w:eastAsia="Times New Roman" w:hAnsi="Times New Roman"/>
          <w:sz w:val="22"/>
          <w:szCs w:val="22"/>
          <w:color w:val="auto"/>
        </w:rPr>
      </w:pPr>
    </w:p>
    <w:p>
      <w:pPr>
        <w:jc w:val="both"/>
        <w:ind w:left="660" w:firstLine="1292"/>
        <w:spacing w:after="0" w:line="233" w:lineRule="auto"/>
        <w:tabs>
          <w:tab w:leader="none" w:pos="2646"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w:t>
      </w:r>
    </w:p>
    <w:p>
      <w:pPr>
        <w:spacing w:after="0" w:line="17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any other provision of this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a Lender shall not be required to deliver any documentation that such Lender is not legally eligible to deliver. Each Lender authorizes the Administrative Agent to deliver to the Borrower and to any successor Agent any documentation provided by the Lender to the Agent pursuant to this </w:t>
      </w:r>
      <w:r>
        <w:rPr>
          <w:rFonts w:ascii="Times New Roman" w:cs="Times New Roman" w:eastAsia="Times New Roman" w:hAnsi="Times New Roman"/>
          <w:sz w:val="21"/>
          <w:szCs w:val="21"/>
          <w:u w:val="single" w:color="auto"/>
          <w:color w:val="auto"/>
        </w:rPr>
        <w:t>Section 3.01(f)</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firstLine="1304"/>
        <w:spacing w:after="0" w:line="232" w:lineRule="auto"/>
        <w:tabs>
          <w:tab w:leader="none" w:pos="191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provide the Borrower with two properly completed and duly executed original copies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 and whenever a lapse in time or change in circumstances renders any such form or documentation expired, obsolete or inaccurate in any material respect, or promptly notify the Borrower in writing of its legal ineligibility to do so. Notwithstanding any other provision of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the Administrative Agent shall not be required to deliver any form that such Administrative Agent is not legally eligible to deliver.</w:t>
      </w:r>
    </w:p>
    <w:p>
      <w:pPr>
        <w:spacing w:after="0" w:line="187" w:lineRule="exact"/>
        <w:rPr>
          <w:sz w:val="20"/>
          <w:szCs w:val="20"/>
          <w:color w:val="auto"/>
        </w:rPr>
      </w:pPr>
    </w:p>
    <w:p>
      <w:pPr>
        <w:ind w:right="20" w:firstLine="1296"/>
        <w:spacing w:after="0" w:line="277"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Subject to clauses (c), (d), (e), (f) and (g) of this Section 3.02, if, on or 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the first day of any Interest Period for any SOFR Loan: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084" w:right="339" w:bottom="1440" w:gutter="0" w:footer="0" w:header="0"/>
        </w:sectPr>
      </w:pPr>
    </w:p>
    <w:bookmarkStart w:id="224" w:name="page225"/>
    <w:bookmarkEnd w:id="224"/>
    <w:p>
      <w:pPr>
        <w:ind w:right="20" w:firstLine="1304"/>
        <w:spacing w:after="0" w:line="258" w:lineRule="auto"/>
        <w:tabs>
          <w:tab w:leader="none" w:pos="1727"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19"/>
          <w:szCs w:val="19"/>
          <w:color w:val="auto"/>
        </w:rPr>
        <w:t>Administrative Agent determines (which determination shall be conclusive and binding absent manifest error</w:t>
      </w:r>
      <w:r>
        <w:rPr>
          <w:rFonts w:ascii="Times New Roman" w:cs="Times New Roman" w:eastAsia="Times New Roman" w:hAnsi="Times New Roman"/>
          <w:sz w:val="22"/>
          <w:szCs w:val="22"/>
          <w:color w:val="auto"/>
        </w:rPr>
        <w:t>) that “Adjusted Term SOFR” cannot be determined pursuant to the definition thereof, or</w:t>
      </w:r>
    </w:p>
    <w:p>
      <w:pPr>
        <w:spacing w:after="0" w:line="158"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33"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 in each case, the Administrative Agent will promptly so notify the Borrower and each Lender.</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(with respect to clause (b),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Daily SOFR Loans, or, failing that, Base Rate Loans in the amount specified therein and (ii) any outstanding affected SOFR Loans will be deemed to have been converted into Daily SOFR Loans, or, failing that, Base Rate Loans at the end of the applicable Interest Period. Upon any such conversion, the Borrower shall also pay accrued interest on the amount so converted, together with any additional amounts required pursuant to Section 3.04. Subject to clauses (c), (d), (e), (f) and (g) of this Section 3.02,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w:t>
      </w:r>
    </w:p>
    <w:p>
      <w:pPr>
        <w:spacing w:after="0" w:line="181" w:lineRule="exact"/>
        <w:rPr>
          <w:sz w:val="20"/>
          <w:szCs w:val="20"/>
          <w:color w:val="auto"/>
        </w:rPr>
      </w:pPr>
    </w:p>
    <w:p>
      <w:pPr>
        <w:jc w:val="both"/>
        <w:ind w:firstLine="1304"/>
        <w:spacing w:after="0" w:line="234" w:lineRule="auto"/>
        <w:tabs>
          <w:tab w:leader="none" w:pos="1789"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if a Benchmark Transition Event and its related Benchmark Replacement Date have occurred prior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4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1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3.02(f) and (y) the commencement of any Benchmark Unavailability Period. Any determination, decision or election that may be made by the Administrative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084" w:right="339" w:bottom="1440" w:gutter="0" w:footer="0" w:header="0"/>
        </w:sectPr>
      </w:pPr>
    </w:p>
    <w:bookmarkStart w:id="225" w:name="page226"/>
    <w:bookmarkEnd w:id="22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Agent or, if applicable, any </w:t>
      </w:r>
      <w:r>
        <w:rPr>
          <w:rFonts w:ascii="Times New Roman" w:cs="Times New Roman" w:eastAsia="Times New Roman" w:hAnsi="Times New Roman"/>
          <w:sz w:val="19"/>
          <w:szCs w:val="19"/>
          <w:color w:val="auto"/>
        </w:rPr>
        <w:t>Lender (or group of Lenders) pursuant to this Section 3.02, including any determinatio</w:t>
      </w:r>
      <w:r>
        <w:rPr>
          <w:rFonts w:ascii="Times New Roman" w:cs="Times New Roman" w:eastAsia="Times New Roman" w:hAnsi="Times New Roman"/>
          <w:sz w:val="22"/>
          <w:szCs w:val="22"/>
          <w:color w:val="auto"/>
        </w:rPr>
        <w:t>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3.02.</w:t>
      </w:r>
    </w:p>
    <w:p>
      <w:pPr>
        <w:spacing w:after="0" w:line="17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Upon the Borrower’s receipt of notice of the commencement of a 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if available, Daily SOFR Loans or, otherwise, Base Rate Loans and (ii) any outstanding affected SOFR Loans will be deemed to have been converted to if available, Daily SOFR Loans or otherwise, Base Rate Loans at the end of the applicable Interest Period.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Increased Cost and Reduced Return; Capital Adequacy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2" w:lineRule="auto"/>
        <w:tabs>
          <w:tab w:leader="none" w:pos="1757"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(excluding for purposes of this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any such increased costs or reduction in amount resulting from (i) Indemnified Taxes indemnifiable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(ii) Excluded Taxes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definition of Excluded Taxes or (iii) Excluded Taxes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Excluded Taxes to the extent such Taxes are imposed on or measured by such Lender’s net income or profits (or are franchise Taxes imposed in lieu thereof) or (iv) reserve requirements contemplated by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the Borrower shall pay to such Lender such additional amounts as will compensate such Lender for such increased cost or reduction.</w:t>
      </w:r>
    </w:p>
    <w:p>
      <w:pPr>
        <w:spacing w:after="0" w:line="185" w:lineRule="exact"/>
        <w:rPr>
          <w:rFonts w:ascii="Times New Roman" w:cs="Times New Roman" w:eastAsia="Times New Roman" w:hAnsi="Times New Roman"/>
          <w:sz w:val="22"/>
          <w:szCs w:val="22"/>
          <w:color w:val="auto"/>
        </w:rPr>
      </w:pPr>
    </w:p>
    <w:p>
      <w:pPr>
        <w:ind w:firstLine="1304"/>
        <w:spacing w:after="0" w:line="245" w:lineRule="auto"/>
        <w:tabs>
          <w:tab w:leader="none" w:pos="18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that as a result of any Change in Law regarding capital adequacy or liquidity requirements or any change therein or in the interpretation thereof, in each case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084" w:right="339" w:bottom="1440" w:gutter="0" w:footer="0" w:header="0"/>
        </w:sectPr>
      </w:pPr>
    </w:p>
    <w:bookmarkStart w:id="226" w:name="page227"/>
    <w:bookmarkEnd w:id="226"/>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the Borrower shall pay to such Lender such additional amounts as will compensate such Lender for such reduction within fifteen (15) days after receipt of such demand.</w:t>
      </w:r>
    </w:p>
    <w:p>
      <w:pPr>
        <w:spacing w:after="0" w:line="177" w:lineRule="exact"/>
        <w:rPr>
          <w:sz w:val="20"/>
          <w:szCs w:val="20"/>
          <w:color w:val="auto"/>
        </w:rPr>
      </w:pPr>
    </w:p>
    <w:p>
      <w:pPr>
        <w:ind w:left="1760" w:hanging="456"/>
        <w:spacing w:after="0"/>
        <w:tabs>
          <w:tab w:leader="none" w:pos="17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20" w:firstLine="1304"/>
        <w:spacing w:after="0" w:line="258" w:lineRule="auto"/>
        <w:tabs>
          <w:tab w:leader="none" w:pos="1818"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3.05(b)</w:t>
      </w:r>
      <w:r>
        <w:rPr>
          <w:rFonts w:ascii="Times New Roman" w:cs="Times New Roman" w:eastAsia="Times New Roman" w:hAnsi="Times New Roman"/>
          <w:sz w:val="22"/>
          <w:szCs w:val="22"/>
          <w:color w:val="auto"/>
        </w:rPr>
        <w:t xml:space="preserve">, failure or delay on the part of any Lender to demand compensation pursuant to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shall not constitute a waiver of such Lender’s right to demand such compensation.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then such Lender will, if requested by the Borrower, use reasonable efforts to designate another Applicable Lending Office for any Loan or Letter of Credit affected by such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efforts are made on terms that, in the reasonable judgment of such Lender, cause such Lender and its Applicable Lending Office(s) to suffer no material economic, legal or regulatory disadvantage;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3.03(e)</w:t>
      </w:r>
      <w:r>
        <w:rPr>
          <w:rFonts w:ascii="Times New Roman" w:cs="Times New Roman" w:eastAsia="Times New Roman" w:hAnsi="Times New Roman"/>
          <w:sz w:val="22"/>
          <w:szCs w:val="22"/>
          <w:color w:val="auto"/>
        </w:rPr>
        <w:t xml:space="preserve"> shall affect or postpone any of the Secured Obligations of the Borrower or the rights of such Lender pursuant to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Funding Losses</w:t>
      </w:r>
      <w:r>
        <w:rPr>
          <w:rFonts w:ascii="Times New Roman" w:cs="Times New Roman" w:eastAsia="Times New Roman" w:hAnsi="Times New Roman"/>
          <w:sz w:val="22"/>
          <w:szCs w:val="22"/>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79" w:lineRule="exact"/>
        <w:rPr>
          <w:sz w:val="20"/>
          <w:szCs w:val="20"/>
          <w:color w:val="auto"/>
        </w:rPr>
      </w:pPr>
    </w:p>
    <w:p>
      <w:pPr>
        <w:ind w:right="20" w:firstLine="1304"/>
        <w:spacing w:after="0" w:line="258" w:lineRule="auto"/>
        <w:tabs>
          <w:tab w:leader="none" w:pos="160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SOFR Loan on a day other than the last day of the Interest Period for such Loan; or</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61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including any loss or expense arising from the liquidation or reemployment of funds obtained by it to maintain such Loan or from fees payable to terminate the deposits from which such funds were obtained.</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For purposes of calculating amounts payable by the Borrower to the Lenders under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each Lender shall be deemed to have funded each SOFR Loan made by it at Adjusted Term SOFR for such Loan by a matching deposit or other borrowing in the London interbank eurodollar market for a comparable amount and for a comparable period, whether or not such SOFR Loan was in fact so funded.</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Matters Applicable to All Requests for Compensation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86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Agent or any Lender claiming compensation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deliver a certificate to the Borrower setting forth the additional amount or amounts to be paid to it hereunder which shall be conclusive in the absence of demonstrable error. In determining such amount, such Agent or such Lender may use any reasonable averaging and attribution methods.</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81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Lender’s claim for compensation under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the Borrower shall not be required to compensate such Lender for any amount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084" w:right="339" w:bottom="1440" w:gutter="0" w:footer="0" w:header="0"/>
        </w:sectPr>
      </w:pPr>
    </w:p>
    <w:bookmarkStart w:id="227" w:name="page228"/>
    <w:bookmarkEnd w:id="22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incurred more than one hundred and eighty (180) days prior to the date that such Lender notifies the Borrower of the event that gives rise to such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the Borrower may, by notice to such Lender (with a copy to the Administrative Agent), suspend the obligation of such Lender to make or continue SOFR Loans from one Interest Period to another, or to convert Base Rate Loans into SOFR Loans, until the event or condition giving rise to such request ceases to be in effect (in which case the provisions of </w:t>
      </w:r>
      <w:r>
        <w:rPr>
          <w:rFonts w:ascii="Times New Roman" w:cs="Times New Roman" w:eastAsia="Times New Roman" w:hAnsi="Times New Roman"/>
          <w:sz w:val="22"/>
          <w:szCs w:val="22"/>
          <w:u w:val="single" w:color="auto"/>
          <w:color w:val="auto"/>
        </w:rPr>
        <w:t>Section 3.05(c)</w:t>
      </w:r>
      <w:r>
        <w:rPr>
          <w:rFonts w:ascii="Times New Roman" w:cs="Times New Roman" w:eastAsia="Times New Roman" w:hAnsi="Times New Roman"/>
          <w:sz w:val="22"/>
          <w:szCs w:val="22"/>
          <w:color w:val="auto"/>
        </w:rPr>
        <w:t xml:space="preserve"> shall be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suspension shall not affect the right of such Lender to receive the compensation so requested.</w:t>
      </w:r>
    </w:p>
    <w:p>
      <w:pPr>
        <w:spacing w:after="0" w:line="182" w:lineRule="exact"/>
        <w:rPr>
          <w:sz w:val="20"/>
          <w:szCs w:val="20"/>
          <w:color w:val="auto"/>
        </w:rPr>
      </w:pPr>
    </w:p>
    <w:p>
      <w:pPr>
        <w:jc w:val="both"/>
        <w:ind w:firstLine="1304"/>
        <w:spacing w:after="0" w:line="246" w:lineRule="auto"/>
        <w:tabs>
          <w:tab w:leader="none" w:pos="1752"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obligation of any Lender to make or continue any SOFR Loan from one Interest Period to another, or to convert Base Rate Loans into SOFR Loans shall be suspended pursuant to </w:t>
      </w:r>
      <w:r>
        <w:rPr>
          <w:rFonts w:ascii="Times New Roman" w:cs="Times New Roman" w:eastAsia="Times New Roman" w:hAnsi="Times New Roman"/>
          <w:sz w:val="21"/>
          <w:szCs w:val="21"/>
          <w:u w:val="single" w:color="auto"/>
          <w:color w:val="auto"/>
        </w:rPr>
        <w:t>Section 3.05(b)</w:t>
      </w:r>
      <w:r>
        <w:rPr>
          <w:rFonts w:ascii="Times New Roman" w:cs="Times New Roman" w:eastAsia="Times New Roman" w:hAnsi="Times New Roman"/>
          <w:sz w:val="21"/>
          <w:szCs w:val="21"/>
          <w:color w:val="auto"/>
        </w:rPr>
        <w:t xml:space="preserve"> hereof, such Lender’s SOFR Loans denominated in Dollars shall be automatically converted into Base Rate Loans on the last day(s) of the then current Interest Period(s) for such SOFR Loans (or, in the case of an immediate conversion required by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on such earlier date as required by Law) and, unless and until such Lender gives notice as provided below that the circumstances specified in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hereof that gave rise to such conversion no longer exist:</w:t>
      </w:r>
    </w:p>
    <w:p>
      <w:pPr>
        <w:spacing w:after="0" w:line="182" w:lineRule="exact"/>
        <w:rPr>
          <w:sz w:val="20"/>
          <w:szCs w:val="20"/>
          <w:color w:val="auto"/>
        </w:rPr>
      </w:pPr>
    </w:p>
    <w:p>
      <w:pPr>
        <w:jc w:val="both"/>
        <w:ind w:firstLine="1304"/>
        <w:spacing w:after="0" w:line="244" w:lineRule="auto"/>
        <w:tabs>
          <w:tab w:leader="none" w:pos="1767"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Lender’s SOFR Loans denominated in Dollars have been so converted, all payments and prepayments of principal that would otherwise be applied to such Lender’s SOFR Loans shall be applied instead to its Base Rate Loans; and</w:t>
      </w:r>
    </w:p>
    <w:p>
      <w:pPr>
        <w:spacing w:after="0" w:line="15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57"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Loans denominated in Dollars that would otherwise be made or continued from one Interest Period to another by such Lender as SOFR Loans shall be made or continued instead as Base Rate Loans, and all Base Rate Loans of such Lender that would otherwise be converted into SOFR Loans shall remain as Base Rate Loans.</w:t>
      </w:r>
    </w:p>
    <w:p>
      <w:pPr>
        <w:spacing w:after="0" w:line="173" w:lineRule="exact"/>
        <w:rPr>
          <w:sz w:val="20"/>
          <w:szCs w:val="20"/>
          <w:color w:val="auto"/>
        </w:rPr>
      </w:pPr>
    </w:p>
    <w:p>
      <w:pPr>
        <w:jc w:val="both"/>
        <w:ind w:firstLine="1304"/>
        <w:spacing w:after="0" w:line="233" w:lineRule="auto"/>
        <w:tabs>
          <w:tab w:leader="none" w:pos="1787"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gives notice to the Borrower (with a copy to the Administrative Agent) that the circumstances specified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hereof that gave rise to the conversion of such Lender’s SOFR Loans denominated in Dollars pursuant to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no longer exist (which such Lender agrees to do promptly upon such circumstances ceasing to exist) at a time when SOFR Loans made by other Lenders are outstanding, such Lender’s Base Rate Loans shall be automatically converted to SOFR Loans, on the first day(s) of the next succeeding Interest Period(s) for such outstanding SOFR Loans, to the extent necessary so that, after giving effect thereto, all Loans held by the Lenders holding SOFR Loans and by such Lender are held pro rata (as to principal amounts, interest rate basis, and Interest Periods) in accordance with their respective Commitments.</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u w:val="single" w:color="auto"/>
          <w:color w:val="auto"/>
        </w:rPr>
        <w:t>Replacement of Lenders under Certain Circumstances</w:t>
      </w:r>
    </w:p>
    <w:p>
      <w:pPr>
        <w:spacing w:after="0" w:line="206" w:lineRule="exact"/>
        <w:rPr>
          <w:sz w:val="20"/>
          <w:szCs w:val="20"/>
          <w:color w:val="auto"/>
        </w:rPr>
      </w:pPr>
    </w:p>
    <w:p>
      <w:pPr>
        <w:jc w:val="both"/>
        <w:ind w:firstLine="1304"/>
        <w:spacing w:after="0" w:line="246" w:lineRule="auto"/>
        <w:tabs>
          <w:tab w:leader="none" w:pos="1779"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(i) any Lender requests reimbursement for amounts owing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w:t>
      </w:r>
      <w:r>
        <w:rPr>
          <w:rFonts w:ascii="Times New Roman" w:cs="Times New Roman" w:eastAsia="Times New Roman" w:hAnsi="Times New Roman"/>
          <w:sz w:val="21"/>
          <w:szCs w:val="21"/>
          <w:color w:val="auto"/>
        </w:rPr>
        <w:t xml:space="preserve"> as a result of any condition described in such Sections or any Lender ceases to make SOFR Loans as a result of any condition described in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(ii) any Lender becomes a Defaulting Lender or (iii) any Lender becomes a Non-Consenting Lender, then the Borrower may, on prior written notice to the Administrative Agent and such Lender, replace such Lender by requiring such Lender to (and such Lender shall be obligated to) assign pursuant to </w:t>
      </w:r>
      <w:r>
        <w:rPr>
          <w:rFonts w:ascii="Times New Roman" w:cs="Times New Roman" w:eastAsia="Times New Roman" w:hAnsi="Times New Roman"/>
          <w:sz w:val="21"/>
          <w:szCs w:val="21"/>
          <w:u w:val="single" w:color="auto"/>
          <w:color w:val="auto"/>
        </w:rPr>
        <w:t>Section 10.07(b)</w:t>
      </w:r>
      <w:r>
        <w:rPr>
          <w:rFonts w:ascii="Times New Roman" w:cs="Times New Roman" w:eastAsia="Times New Roman" w:hAnsi="Times New Roman"/>
          <w:sz w:val="21"/>
          <w:szCs w:val="21"/>
          <w:color w:val="auto"/>
        </w:rPr>
        <w:t xml:space="preserve"> (with the assignment fee to be paid by the Borrower in such instance) all of its rights and obligations under this Agreement (or, with respect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all of its rights and obligations with respect to the Class of Loans or Commitments that is the subject of the related consent, waiver or amendment) to one or more Eligible Assignees;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neither the Administrative Agent nor any Lender shall have any obligation to the Borrower to find a replacement Lender or other such Person;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084" w:right="339" w:bottom="1440" w:gutter="0" w:footer="0" w:header="0"/>
        </w:sectPr>
      </w:pPr>
    </w:p>
    <w:bookmarkStart w:id="228" w:name="page229"/>
    <w:bookmarkEnd w:id="228"/>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 in the case of any such assignment resulting from a claim for compensation under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and (B) in the case of any such assignment resulting from a Lender becoming a Non-Consenting Lender, the applicable Eligible Assignees shall have agreed to the applicable departure, waiver or amendment of the Loan Documents.</w:t>
      </w:r>
    </w:p>
    <w:p>
      <w:pPr>
        <w:spacing w:after="0" w:line="180" w:lineRule="exact"/>
        <w:rPr>
          <w:sz w:val="20"/>
          <w:szCs w:val="20"/>
          <w:color w:val="auto"/>
        </w:rPr>
      </w:pPr>
    </w:p>
    <w:p>
      <w:pPr>
        <w:jc w:val="both"/>
        <w:ind w:firstLine="1304"/>
        <w:spacing w:after="0" w:line="231" w:lineRule="auto"/>
        <w:tabs>
          <w:tab w:leader="none" w:pos="182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being replaced pursuant to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above shall (i) execute and deliver an Assignment and Assumption with respect to such Lender’s Commitment and outstanding Loans and participations in L/C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of any such Lender to execute an Assignment and Assumption shall not render such assignment invalid and such assignment shall be recorded in the Register) and (ii) deliver Notes, if any, evidencing such Loans to the Borrower or Administrative Agent. Pursuant to such Assignment and Assumption, (A) the assignee Lender shall acquire all or a portion, as the case may be, of the assigning Lender’s Commitments and outstanding Loans and participations in L/C Obligations,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as a consequence of such assignment and, in the case of an assignment of Term Loans in connection with a Repricing Transaction, the premium, if any, that would have been payable by the Borrower on such date pursuant to </w:t>
      </w:r>
      <w:r>
        <w:rPr>
          <w:rFonts w:ascii="Times New Roman" w:cs="Times New Roman" w:eastAsia="Times New Roman" w:hAnsi="Times New Roman"/>
          <w:sz w:val="22"/>
          <w:szCs w:val="22"/>
          <w:u w:val="single" w:color="auto"/>
          <w:color w:val="auto"/>
        </w:rPr>
        <w:t>Section 2.05(a)(iv)</w:t>
      </w:r>
      <w:r>
        <w:rPr>
          <w:rFonts w:ascii="Times New Roman" w:cs="Times New Roman" w:eastAsia="Times New Roman" w:hAnsi="Times New Roman"/>
          <w:sz w:val="22"/>
          <w:szCs w:val="22"/>
          <w:color w:val="auto"/>
        </w:rPr>
        <w:t xml:space="preserve"> if such Lender’s Term Loans subject to such assignment had been prepaid on such date shall have been paid by the Borrower to the assigning Lender and (C) upon such payment and, if so requested by the assignee Lender, the assignor Lender shall deliver to the assignee Lender the appropriate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77"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22"/>
          <w:szCs w:val="22"/>
          <w:u w:val="single" w:color="auto"/>
          <w:color w:val="auto"/>
        </w:rPr>
        <w:t>Section 9.09</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7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 the Borrower or the Administrative Agent have requested that the Lenders (A) consent to an extension of the Maturity Date of any Class of Loans as permitted by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(B) consent to a departure or waiver of any provisions of the Loan Documents or (C) agree to any amendment thereto, (ii) the consent, waiver or amendment in question requires the agreement of all affected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all the Lenders with respect to a certain Class of the Loans and (iii) the Required Lenders have agreed to such consent, waiver or amendment, then any Lender who does not agree to such consent, waiver or amendment shall be deemed a “</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of the Borrower’s obligations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survive termination of the Aggregate Commitments and repayment of all other Secured Obligations hereunder and any assignment of rights by or replacement of a Lender or L/C Issuer.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084" w:right="339" w:bottom="1440" w:gutter="0" w:footer="0" w:header="0"/>
        </w:sectPr>
      </w:pPr>
    </w:p>
    <w:bookmarkStart w:id="229" w:name="page230"/>
    <w:bookmarkEnd w:id="229"/>
    <w:p>
      <w:pPr>
        <w:jc w:val="center"/>
        <w:ind w:left="12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10"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u w:val="single" w:color="auto"/>
          <w:color w:val="auto"/>
        </w:rPr>
        <w:t>Conditions Precedent to Credit Extensions</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Closing Date Conditions</w:t>
      </w:r>
      <w:r>
        <w:rPr>
          <w:rFonts w:ascii="Times New Roman" w:cs="Times New Roman" w:eastAsia="Times New Roman" w:hAnsi="Times New Roman"/>
          <w:sz w:val="22"/>
          <w:szCs w:val="22"/>
          <w:color w:val="auto"/>
        </w:rPr>
        <w:t>. The effectiveness of this Agreement and the obligation of each Lender to make a Credit Extension on the Closing Date shall be subject to satisfaction or waiver of the following conditions precedent:</w:t>
      </w:r>
    </w:p>
    <w:p>
      <w:pPr>
        <w:spacing w:after="0" w:line="158" w:lineRule="exact"/>
        <w:rPr>
          <w:sz w:val="20"/>
          <w:szCs w:val="20"/>
          <w:color w:val="auto"/>
        </w:rPr>
      </w:pPr>
    </w:p>
    <w:p>
      <w:pPr>
        <w:jc w:val="both"/>
        <w:ind w:firstLine="1304"/>
        <w:spacing w:after="0" w:line="238" w:lineRule="auto"/>
        <w:tabs>
          <w:tab w:leader="none" w:pos="2089"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The Administrative Agent’s shall have received each of the following, each of which shall be originals or facsimiles (followed promptly by originals) unless otherwise specified, each properly executed by a Responsible Officer of the signing Loan Party, each in form and substance reasonably satisfactory to the Administrative Agent:</w:t>
      </w:r>
    </w:p>
    <w:p>
      <w:pPr>
        <w:spacing w:after="0" w:line="179" w:lineRule="exact"/>
        <w:rPr>
          <w:sz w:val="20"/>
          <w:szCs w:val="20"/>
          <w:color w:val="auto"/>
        </w:rPr>
      </w:pPr>
    </w:p>
    <w:p>
      <w:pPr>
        <w:ind w:left="1720" w:hanging="416"/>
        <w:spacing w:after="0"/>
        <w:tabs>
          <w:tab w:leader="none" w:pos="172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This Agreement from each of the parties listed on the signature pages hereto and thereto.</w:t>
      </w:r>
    </w:p>
    <w:p>
      <w:pPr>
        <w:spacing w:after="0" w:line="206"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Guaranty Agreement</w:t>
      </w:r>
      <w:r>
        <w:rPr>
          <w:rFonts w:ascii="Times New Roman" w:cs="Times New Roman" w:eastAsia="Times New Roman" w:hAnsi="Times New Roman"/>
          <w:sz w:val="21"/>
          <w:szCs w:val="21"/>
          <w:color w:val="auto"/>
        </w:rPr>
        <w:t>. Executed counterparts of the Guaranty from each of the parties listed on the signature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pages thereto.</w:t>
      </w:r>
    </w:p>
    <w:p>
      <w:pPr>
        <w:spacing w:after="0" w:line="182" w:lineRule="exact"/>
        <w:rPr>
          <w:sz w:val="20"/>
          <w:szCs w:val="20"/>
          <w:color w:val="auto"/>
        </w:rPr>
      </w:pPr>
    </w:p>
    <w:p>
      <w:pPr>
        <w:jc w:val="both"/>
        <w:ind w:firstLine="1304"/>
        <w:spacing w:after="0" w:line="244" w:lineRule="auto"/>
        <w:tabs>
          <w:tab w:leader="none" w:pos="189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Executed counterparts of each Collateral Document set forth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to the Closing Date Certificate required to be executed on the Closing Date, duly executed by each Loan Party thereto and each of the other parties listed on the signature pages thereto;</w:t>
      </w:r>
    </w:p>
    <w:p>
      <w:pPr>
        <w:spacing w:after="0" w:line="173" w:lineRule="exact"/>
        <w:rPr>
          <w:sz w:val="20"/>
          <w:szCs w:val="20"/>
          <w:color w:val="auto"/>
        </w:rPr>
      </w:pPr>
    </w:p>
    <w:p>
      <w:pPr>
        <w:ind w:firstLine="1304"/>
        <w:spacing w:after="0" w:line="258" w:lineRule="auto"/>
        <w:tabs>
          <w:tab w:leader="none" w:pos="1885"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Administrative Agent shall have received Notes executed by the Borrower in favor of each Lender that has requested a Note at least five (5) Business Days in advance of the Closing Date.</w:t>
      </w:r>
    </w:p>
    <w:p>
      <w:pPr>
        <w:spacing w:after="0" w:line="15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52"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Administrative Agent shall have received, (A) a certificate from each Loan Party, signed by an Responsible Officer of such Loan Party, and attested to by the secretary or any assistant secretary of such Loan Party, together with (x) copies of the certificate or articles of incorporation and by-laws (or other equivalent organizational documents), as applicable, of such Loan Party, (y) the resolutions of such Loan Party referred to in such certificate, and (z) a signature and incumbency certificate to the officers of such persons executing the Loan Documents, in each case, each of the foregoing shall be in form and substance reasonably acceptable to the Agents (B) certificates of good standing or status (to the extent that such concepts exist) from the applicable secretary of state (or equivalent authority) of the jurisdiction of organization or formation of each Loan Party (in each case, to the extent applicable).</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2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fees required to be paid on the Closing Date pursuant to the Fee Letter and reasonable and documented or invoiced out-of-pocket expenses required to be paid on the Closing Date pursuant to the Commitment Letter, to the extent invoiced at least three (3) Business Days prior to the Closing Date, shall, upon the initial Borrowing of the Initial Term Loans, have been, or will be substantially simultaneously, paid (which amounts may be offset against the proceeds of the Credit Facilities).</w:t>
      </w:r>
    </w:p>
    <w:p>
      <w:pPr>
        <w:spacing w:after="0" w:line="177" w:lineRule="exact"/>
        <w:rPr>
          <w:rFonts w:ascii="Times New Roman" w:cs="Times New Roman" w:eastAsia="Times New Roman" w:hAnsi="Times New Roman"/>
          <w:sz w:val="22"/>
          <w:szCs w:val="22"/>
          <w:color w:val="auto"/>
        </w:rPr>
      </w:pPr>
    </w:p>
    <w:p>
      <w:pPr>
        <w:ind w:firstLine="1304"/>
        <w:spacing w:after="0" w:line="258" w:lineRule="auto"/>
        <w:tabs>
          <w:tab w:leader="none" w:pos="1792"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The Administrative Agent shall have received a Committed Loan Notice or Letter of Credit Application, as applicable, relating to each Credit Extension to be made on the Closing Date.</w:t>
      </w:r>
    </w:p>
    <w:p>
      <w:pPr>
        <w:spacing w:after="0" w:line="176" w:lineRule="exact"/>
        <w:rPr>
          <w:rFonts w:ascii="Times New Roman" w:cs="Times New Roman" w:eastAsia="Times New Roman" w:hAnsi="Times New Roman"/>
          <w:sz w:val="22"/>
          <w:szCs w:val="22"/>
          <w:color w:val="auto"/>
        </w:rPr>
      </w:pPr>
    </w:p>
    <w:p>
      <w:pPr>
        <w:ind w:firstLine="1304"/>
        <w:spacing w:after="0" w:line="245" w:lineRule="auto"/>
        <w:tabs>
          <w:tab w:leader="none" w:pos="1782"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Legal Opinion</w:t>
      </w:r>
      <w:r>
        <w:rPr>
          <w:rFonts w:ascii="Times New Roman" w:cs="Times New Roman" w:eastAsia="Times New Roman" w:hAnsi="Times New Roman"/>
          <w:sz w:val="20"/>
          <w:szCs w:val="20"/>
          <w:color w:val="auto"/>
        </w:rPr>
        <w:t>. A customary legal opinion from Kirkland &amp; Ellis LLP, counsel to the Loan Parties, addressed to the Agents and the Lenders on the Closing Date, and a customary legal opinion from</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080"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Modrall Sperling, New Mexico counsel to the Loan Parties, addressed to the Agents and the Lenders on the Closing Date.</w:t>
      </w:r>
    </w:p>
    <w:p>
      <w:pPr>
        <w:spacing w:after="0" w:line="206" w:lineRule="exact"/>
        <w:rPr>
          <w:sz w:val="20"/>
          <w:szCs w:val="20"/>
          <w:color w:val="auto"/>
        </w:rPr>
      </w:pPr>
    </w:p>
    <w:p>
      <w:pPr>
        <w:jc w:val="both"/>
        <w:ind w:firstLine="1304"/>
        <w:spacing w:after="0" w:line="234" w:lineRule="auto"/>
        <w:tabs>
          <w:tab w:leader="none" w:pos="183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KYC; Patriot Act; Beneficial Ownership Certificate</w:t>
      </w:r>
      <w:r>
        <w:rPr>
          <w:rFonts w:ascii="Times New Roman" w:cs="Times New Roman" w:eastAsia="Times New Roman" w:hAnsi="Times New Roman"/>
          <w:sz w:val="22"/>
          <w:szCs w:val="22"/>
          <w:color w:val="auto"/>
        </w:rPr>
        <w:t>. The Administrative Agent, the Lenders and the Lead Arrangers shall have received, at least three (3) business days prior to the Closing Date, all documentation and other information about Holdings and the Borrower as has been reasonably requested by the Administrative Agent, the Lenders or the Lead Arrangers in writing at least ten (10) business days prior to the Closing Date and that is reasonably required by United States regulatory authorities under applicable “know your customer” and anti-money laundering rules and regulations, including without limitation the PATRIOT Act and a beneficial ownership certificate to the extent expressly required under the Beneficial Ownership Regulation (a “</w:t>
      </w:r>
      <w:r>
        <w:rPr>
          <w:rFonts w:ascii="Times New Roman" w:cs="Times New Roman" w:eastAsia="Times New Roman" w:hAnsi="Times New Roman"/>
          <w:sz w:val="22"/>
          <w:szCs w:val="22"/>
          <w:u w:val="single" w:color="auto"/>
          <w:color w:val="auto"/>
        </w:rPr>
        <w:t>Beneficial Ownership Certificate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45"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representations and warranties of the Borrower and each other Loan Party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other Loan Document shall be true and correct in all material respects on and as of the date of such Credit Extension;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1" w:lineRule="exact"/>
        <w:rPr>
          <w:rFonts w:ascii="Times New Roman" w:cs="Times New Roman" w:eastAsia="Times New Roman" w:hAnsi="Times New Roman"/>
          <w:sz w:val="22"/>
          <w:szCs w:val="22"/>
          <w:color w:val="auto"/>
        </w:rPr>
      </w:pPr>
    </w:p>
    <w:p>
      <w:pPr>
        <w:ind w:firstLine="1304"/>
        <w:spacing w:after="0" w:line="258" w:lineRule="auto"/>
        <w:tabs>
          <w:tab w:leader="none" w:pos="174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 or Event of Default</w:t>
      </w:r>
      <w:r>
        <w:rPr>
          <w:rFonts w:ascii="Times New Roman" w:cs="Times New Roman" w:eastAsia="Times New Roman" w:hAnsi="Times New Roman"/>
          <w:sz w:val="22"/>
          <w:szCs w:val="22"/>
          <w:color w:val="auto"/>
        </w:rPr>
        <w:t>. No Default or Event of Default shall exist, or would result from the funding of the Initial Term Loans and Initial Revolving Borrowing, if applicable.</w:t>
      </w:r>
    </w:p>
    <w:p>
      <w:pPr>
        <w:spacing w:after="0" w:line="158" w:lineRule="exact"/>
        <w:rPr>
          <w:rFonts w:ascii="Times New Roman" w:cs="Times New Roman" w:eastAsia="Times New Roman" w:hAnsi="Times New Roman"/>
          <w:sz w:val="22"/>
          <w:szCs w:val="22"/>
          <w:color w:val="auto"/>
        </w:rPr>
      </w:pPr>
    </w:p>
    <w:p>
      <w:pPr>
        <w:jc w:val="both"/>
        <w:ind w:firstLine="1304"/>
        <w:spacing w:after="0" w:line="231" w:lineRule="auto"/>
        <w:tabs>
          <w:tab w:leader="none" w:pos="174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and Guarantee Requirement</w:t>
      </w:r>
      <w:r>
        <w:rPr>
          <w:rFonts w:ascii="Times New Roman" w:cs="Times New Roman" w:eastAsia="Times New Roman" w:hAnsi="Times New Roman"/>
          <w:sz w:val="22"/>
          <w:szCs w:val="22"/>
          <w:color w:val="auto"/>
        </w:rPr>
        <w:t xml:space="preserve">. The Administrative Agent shall have received evidence that all other actions, recordings and filings that the Administrative Agent or Collateral Agent may deem reasonably necessary to satisfy the Collateral and Guarantee Requirement shall have been taken, completed or otherwise provided for in a manner reasonably satisfactory to the Administrative Agent and Collateral Agent (including, without limitation, receipt of duly executed payoff letters and UCC-3 termination statements);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security interest in any Collateral is not or cannot be provided and/or perfected on the Closing Date (other than (i) the pledge and perfection of the security interest in the equity interests of the Borrower and each domestic Guarantor (other than Holdings) (provided that such certificates will be required to be delivered on the Closing Date) and (ii) other assets pursuant to which a lien may be perfected by the filing of a financing statement under the Uniform Commercial Code) after your use of commercially reasonable efforts to do so or without undue burden or expense, then the provision and/or perfection of a security interest in such Collateral shall not constitute a condition to any Borrowing on the Closing Date, but instead shall be required to be provided and/or perfected within 90 days after the Closing Date (or such later date after the Closing Date as the Administrative Agent shall agree) pursuant to arrangements to be mutually agreed by the Administrative Agent and the Borrower acting reasonably.</w:t>
      </w:r>
    </w:p>
    <w:p>
      <w:pPr>
        <w:spacing w:after="0" w:line="182" w:lineRule="exact"/>
        <w:rPr>
          <w:rFonts w:ascii="Times New Roman" w:cs="Times New Roman" w:eastAsia="Times New Roman" w:hAnsi="Times New Roman"/>
          <w:sz w:val="22"/>
          <w:szCs w:val="22"/>
          <w:color w:val="auto"/>
        </w:rPr>
      </w:pPr>
    </w:p>
    <w:p>
      <w:pPr>
        <w:jc w:val="both"/>
        <w:ind w:firstLine="1304"/>
        <w:spacing w:after="0" w:line="255" w:lineRule="auto"/>
        <w:tabs>
          <w:tab w:leader="none" w:pos="1791"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 Date Refinancing</w:t>
      </w:r>
      <w:r>
        <w:rPr>
          <w:rFonts w:ascii="Times New Roman" w:cs="Times New Roman" w:eastAsia="Times New Roman" w:hAnsi="Times New Roman"/>
          <w:sz w:val="21"/>
          <w:szCs w:val="21"/>
          <w:color w:val="auto"/>
        </w:rPr>
        <w:t>. Prior to, or substantially concurrently with the funding of the Initial Term Loans and the Initial Revolving Borrowing (if any), all existing indebtedness of Holdings and its Subsidiaries under the Existing Credit Agreement, and all Liens and guarantees in support thereof, will be repaid, redeemed, defeased, discharged, refinanced or terminated and all commitments thereunder terminated (the foregoing, collectively, the “</w:t>
      </w:r>
      <w:r>
        <w:rPr>
          <w:rFonts w:ascii="Times New Roman" w:cs="Times New Roman" w:eastAsia="Times New Roman" w:hAnsi="Times New Roman"/>
          <w:sz w:val="21"/>
          <w:szCs w:val="21"/>
          <w:u w:val="single" w:color="auto"/>
          <w:color w:val="auto"/>
        </w:rPr>
        <w:t>Closing Date Refinancing</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1304"/>
        <w:spacing w:after="0" w:line="239" w:lineRule="auto"/>
        <w:tabs>
          <w:tab w:leader="none" w:pos="177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Administrative Agent shall have received evidence that all insurance certificates required to be maintained pursuant to the Loan Documents has been obtained and is in effect and that the Administrative Agent and Collateral Agent has been named as loss payee and additional insured under each United States insurance policy with respect to such insurance as to which the Administrative Agent shall have requested to be so named.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084" w:right="339" w:bottom="1440" w:gutter="0" w:footer="0" w:header="0"/>
        </w:sectPr>
      </w:pPr>
    </w:p>
    <w:bookmarkStart w:id="231" w:name="page232"/>
    <w:bookmarkEnd w:id="231"/>
    <w:p>
      <w:pPr>
        <w:ind w:left="1840" w:hanging="536"/>
        <w:spacing w:after="0"/>
        <w:tabs>
          <w:tab w:leader="none" w:pos="184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The Administrative Agent shall have received a Closing Date Certificate.</w:t>
      </w:r>
    </w:p>
    <w:p>
      <w:pPr>
        <w:spacing w:after="0" w:line="206"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MAE</w:t>
      </w:r>
      <w:r>
        <w:rPr>
          <w:rFonts w:ascii="Times New Roman" w:cs="Times New Roman" w:eastAsia="Times New Roman" w:hAnsi="Times New Roman"/>
          <w:sz w:val="22"/>
          <w:szCs w:val="22"/>
          <w:color w:val="auto"/>
        </w:rPr>
        <w:t>. Since December 31, 2019, no Material Adverse Effect shall have occurred or is reasonably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expected to occur.</w:t>
      </w:r>
    </w:p>
    <w:p>
      <w:pPr>
        <w:spacing w:after="0" w:line="182" w:lineRule="exact"/>
        <w:rPr>
          <w:rFonts w:ascii="Times New Roman" w:cs="Times New Roman" w:eastAsia="Times New Roman" w:hAnsi="Times New Roman"/>
          <w:sz w:val="22"/>
          <w:szCs w:val="22"/>
          <w:color w:val="auto"/>
        </w:rPr>
      </w:pPr>
    </w:p>
    <w:p>
      <w:pPr>
        <w:ind w:firstLine="1304"/>
        <w:spacing w:after="0" w:line="258" w:lineRule="auto"/>
        <w:tabs>
          <w:tab w:leader="none" w:pos="1872"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xml:space="preserve">. The Administrative Agent shall have received a certificate from the chief financial officer of Holdings substantially in the form of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hereto.</w:t>
      </w:r>
    </w:p>
    <w:p>
      <w:pPr>
        <w:spacing w:after="0" w:line="158" w:lineRule="exact"/>
        <w:rPr>
          <w:rFonts w:ascii="Times New Roman" w:cs="Times New Roman" w:eastAsia="Times New Roman" w:hAnsi="Times New Roman"/>
          <w:sz w:val="22"/>
          <w:szCs w:val="22"/>
          <w:color w:val="auto"/>
        </w:rPr>
      </w:pPr>
    </w:p>
    <w:p>
      <w:pPr>
        <w:ind w:firstLine="1304"/>
        <w:spacing w:after="0" w:line="245" w:lineRule="auto"/>
        <w:tabs>
          <w:tab w:leader="none" w:pos="198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Lead Arranges shall have received the Audited Financial Statements, the Unaudited Financial Statements and the Pro Forma Financial Statements.</w:t>
      </w:r>
    </w:p>
    <w:p>
      <w:pPr>
        <w:spacing w:after="0" w:line="17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9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 Date</w:t>
      </w:r>
      <w:r>
        <w:rPr>
          <w:rFonts w:ascii="Times New Roman" w:cs="Times New Roman" w:eastAsia="Times New Roman" w:hAnsi="Times New Roman"/>
          <w:sz w:val="22"/>
          <w:szCs w:val="22"/>
          <w:color w:val="auto"/>
        </w:rPr>
        <w:t xml:space="preserve">. The Lead Arrangers shall have been afforded a period of at least 14 consecutive Business Days after the commencement of general syndication;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the date of November 27, 2020 shall not be included in the calculation such period (but for the avoidance of doubt, the exclusion of such date shall not restart such period), (y) such period shall have ended on or prior to December 18, 2020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in no event shall the Closing Date occur prior to the earlier of (x) December 23, 2020 and (y) the date of consummation of an initial public offering generating net cash proceeds of at least $450 million. It is understood and agreed that, unless the Borrower has breached the provisions of Section 3 of the Commitment Letter, the Lead Arrangers shall launch general syndication on or before November 30, 2020.</w:t>
      </w:r>
    </w:p>
    <w:p>
      <w:pPr>
        <w:spacing w:after="0" w:line="18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For purposes of determining whether the Closing Date has occurred, each Lender that has executed this Agreement shall be deemed to have consented to, approved or accepted, or to be satisfied with, each document or other matter required hereunder to be consented to or approved by or acceptable or satisfactory to the Administrative Agent or such Lender, as the case may be. The Administrative Agent shall notify the Borrower and the Lenders of the Closing Date, and such notice shall be conclusive and binding.</w:t>
      </w:r>
    </w:p>
    <w:p>
      <w:pPr>
        <w:spacing w:after="0" w:line="17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to Subsequent Credit Extensions</w:t>
      </w:r>
      <w:r>
        <w:rPr>
          <w:rFonts w:ascii="Times New Roman" w:cs="Times New Roman" w:eastAsia="Times New Roman" w:hAnsi="Times New Roman"/>
          <w:sz w:val="22"/>
          <w:szCs w:val="22"/>
          <w:color w:val="auto"/>
        </w:rPr>
        <w:t xml:space="preserve">. The obligation of each Lender to honor any Request for Credit Extension after the Closing Date is subject to satisfaction (or waiver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of the following conditions precedent:</w:t>
      </w:r>
    </w:p>
    <w:p>
      <w:pPr>
        <w:spacing w:after="0" w:line="173" w:lineRule="exact"/>
        <w:rPr>
          <w:sz w:val="20"/>
          <w:szCs w:val="20"/>
          <w:color w:val="auto"/>
        </w:rPr>
      </w:pPr>
    </w:p>
    <w:p>
      <w:pPr>
        <w:jc w:val="both"/>
        <w:ind w:firstLine="1304"/>
        <w:spacing w:after="0" w:line="234" w:lineRule="auto"/>
        <w:tabs>
          <w:tab w:leader="none" w:pos="160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Borrower and each other Loan Party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other Loan Document shall be true and correct in all material respects on and as of the date of such Credit Extension;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exist, or would result from such proposed Credit Extension or from the application of the proceeds therefrom.</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60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relevant L/C Issuer shall have received a Request for Credit Extension in accordance with the requirements hereof.</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Each Request for Credit Extension (other than (i) a Committed Loan Notice requesting only a conversion of Loans to the other Type or a continuation of SOFR Loans or (ii) a Credit Extension of Incremental Term Loans in connection with a Limited Condition Transaction) submitted by the Borrower shall be deemed to be a representation and warranty that the applicable conditions specified 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084"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if applicable,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on and as of the date of the applicable Credit Extension.</w:t>
      </w:r>
    </w:p>
    <w:p>
      <w:pPr>
        <w:spacing w:after="0" w:line="20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Each of Holdings and the Borrower represents and warrant to the Agents and the Lenders, at the time of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Extension that:</w:t>
      </w:r>
    </w:p>
    <w:p>
      <w:pPr>
        <w:spacing w:after="0" w:line="18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Existence, Qualification and Power; Compliance with Laws</w:t>
      </w:r>
      <w:r>
        <w:rPr>
          <w:rFonts w:ascii="Times New Roman" w:cs="Times New Roman" w:eastAsia="Times New Roman" w:hAnsi="Times New Roman"/>
          <w:sz w:val="22"/>
          <w:szCs w:val="22"/>
          <w:color w:val="auto"/>
        </w:rPr>
        <w:t xml:space="preserve">.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compliance with all Laws (including the USA PATRIOT Act, Anti-Corruption Laws, anti-money laundering laws and Sanctions), orders, writs, injunctions and orders and (e) has all requisite governmental licenses, authorizations, consents and approvals to operate its business as currently conducted; except in each case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(other than with respect to Holdings and the Borrower), </w:t>
      </w:r>
      <w:r>
        <w:rPr>
          <w:rFonts w:ascii="Times New Roman" w:cs="Times New Roman" w:eastAsia="Times New Roman" w:hAnsi="Times New Roman"/>
          <w:sz w:val="22"/>
          <w:szCs w:val="22"/>
          <w:u w:val="single" w:color="auto"/>
          <w:color w:val="auto"/>
        </w:rPr>
        <w:t>(b)(i)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to the extent that failure to do so could not, individually or in the aggregate, reasonably be expected to have a Material Adverse Effect.</w:t>
      </w:r>
    </w:p>
    <w:p>
      <w:pPr>
        <w:spacing w:after="0" w:line="186"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Authorization; No Contravention</w:t>
      </w:r>
      <w:r>
        <w:rPr>
          <w:rFonts w:ascii="Times New Roman" w:cs="Times New Roman" w:eastAsia="Times New Roman" w:hAnsi="Times New Roman"/>
          <w:sz w:val="22"/>
          <w:szCs w:val="22"/>
          <w:color w:val="auto"/>
        </w:rPr>
        <w:t xml:space="preserve">.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Contractual Obligation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under the Loan Documents) or (iv) violate any material Law; except (in the case of </w:t>
      </w:r>
      <w:r>
        <w:rPr>
          <w:rFonts w:ascii="Times New Roman" w:cs="Times New Roman" w:eastAsia="Times New Roman" w:hAnsi="Times New Roman"/>
          <w:sz w:val="22"/>
          <w:szCs w:val="22"/>
          <w:u w:val="single" w:color="auto"/>
          <w:color w:val="auto"/>
        </w:rPr>
        <w:t>clauses (b)(ii)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(b)(iv)</w:t>
      </w:r>
      <w:r>
        <w:rPr>
          <w:rFonts w:ascii="Times New Roman" w:cs="Times New Roman" w:eastAsia="Times New Roman" w:hAnsi="Times New Roman"/>
          <w:sz w:val="22"/>
          <w:szCs w:val="22"/>
          <w:color w:val="auto"/>
        </w:rPr>
        <w:t>), to the extent that such conflict, breach, contravention, payment or violation could not, individually or in the aggregate, reasonably be expected to have a Material Adverse Effect.</w:t>
      </w:r>
    </w:p>
    <w:p>
      <w:pPr>
        <w:spacing w:after="0" w:line="18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Governmental Authorization; Other Consents</w:t>
      </w:r>
      <w:r>
        <w:rPr>
          <w:rFonts w:ascii="Times New Roman" w:cs="Times New Roman" w:eastAsia="Times New Roman" w:hAnsi="Times New Roman"/>
          <w:sz w:val="21"/>
          <w:szCs w:val="21"/>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084" w:right="339" w:bottom="1440" w:gutter="0" w:footer="0" w:header="0"/>
        </w:sectPr>
      </w:pPr>
    </w:p>
    <w:bookmarkStart w:id="233" w:name="page234"/>
    <w:bookmarkEnd w:id="233"/>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Financial Statements; No Material Adverse Effect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45" w:lineRule="auto"/>
        <w:tabs>
          <w:tab w:leader="none" w:pos="190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Audited Financial Statements and Unaudited Financial Statements fairly present in all material respects the consolidated financial condition of Holdings and the Borrower, as applicable, in accordance with GAAP.</w:t>
      </w:r>
    </w:p>
    <w:p>
      <w:pPr>
        <w:spacing w:after="0" w:line="172" w:lineRule="exact"/>
        <w:rPr>
          <w:sz w:val="20"/>
          <w:szCs w:val="20"/>
          <w:color w:val="auto"/>
        </w:rPr>
      </w:pPr>
    </w:p>
    <w:p>
      <w:pPr>
        <w:jc w:val="both"/>
        <w:ind w:firstLine="1304"/>
        <w:spacing w:after="0" w:line="235" w:lineRule="auto"/>
        <w:tabs>
          <w:tab w:leader="none" w:pos="159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 forma unaudited consolidated balance sheet and related pro forma unaudited consolidated statement of income of the Borrower and its Subsidiaries as of and for the twelve-month period ending June 30, 2020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prepared in good faith after giving effect to the Transactions as if the Transactions had occurred as of such date (in the case of such balance sheet) or at the beginning of such period (in the case of such statement of income), which need not be prepared in compliance with Regulation S-X under the Securities Act or include adjustments for purchase accounting (including adjustments of the type contemplated by Financial Accounting Standards Board Accounting Standards Codification 805, Business Combinations (formerly SFAS 141R).</w:t>
      </w:r>
    </w:p>
    <w:p>
      <w:pPr>
        <w:spacing w:after="0" w:line="183" w:lineRule="exact"/>
        <w:rPr>
          <w:sz w:val="20"/>
          <w:szCs w:val="20"/>
          <w:color w:val="auto"/>
        </w:rPr>
      </w:pPr>
    </w:p>
    <w:p>
      <w:pPr>
        <w:ind w:firstLine="1304"/>
        <w:spacing w:after="0" w:line="258" w:lineRule="auto"/>
        <w:tabs>
          <w:tab w:leader="none" w:pos="1787"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the Closing Date, there has been no event or circumstance, either individually or in the aggregate, that </w:t>
      </w:r>
      <w:r>
        <w:rPr>
          <w:rFonts w:ascii="Times New Roman" w:cs="Times New Roman" w:eastAsia="Times New Roman" w:hAnsi="Times New Roman"/>
          <w:sz w:val="19"/>
          <w:szCs w:val="19"/>
          <w:color w:val="auto"/>
        </w:rPr>
        <w:t xml:space="preserve">has </w:t>
      </w:r>
      <w:r>
        <w:rPr>
          <w:rFonts w:ascii="Times New Roman" w:cs="Times New Roman" w:eastAsia="Times New Roman" w:hAnsi="Times New Roman"/>
          <w:sz w:val="21"/>
          <w:szCs w:val="21"/>
          <w:color w:val="auto"/>
        </w:rPr>
        <w:t>had or could reasonably be expected to have a Material Adverse Effect.</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Each Lender and the Administrative Agent hereby acknowledges and agrees that Holdings and its </w:t>
      </w:r>
      <w:r>
        <w:rPr>
          <w:rFonts w:ascii="Times New Roman" w:cs="Times New Roman" w:eastAsia="Times New Roman" w:hAnsi="Times New Roman"/>
          <w:sz w:val="19"/>
          <w:szCs w:val="19"/>
          <w:color w:val="auto"/>
        </w:rPr>
        <w:t>Subsidiaries</w:t>
      </w:r>
      <w:r>
        <w:rPr>
          <w:rFonts w:ascii="Times New Roman" w:cs="Times New Roman" w:eastAsia="Times New Roman" w:hAnsi="Times New Roman"/>
          <w:sz w:val="22"/>
          <w:szCs w:val="22"/>
          <w:color w:val="auto"/>
        </w:rPr>
        <w:t xml:space="preserve"> may be required to restate historical financial statements as the result of the implementation of changes in GAAP or the interpretation thereof, and that such restatements will not result in a Default under the Loan Documents.</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5.06</w:t>
      </w:r>
      <w:r>
        <w:rPr>
          <w:rFonts w:ascii="Times New Roman" w:cs="Times New Roman" w:eastAsia="Times New Roman" w:hAnsi="Times New Roman"/>
          <w:sz w:val="22"/>
          <w:szCs w:val="22"/>
          <w:color w:val="auto"/>
        </w:rPr>
        <w:t xml:space="preserve"> to the Closing Date Certificate, there are no actions, suits, proceedings, claims or disputes pending or, to the knowledge of the Borrower, threatened in writing or contemplated, at law, in equity, in arbitration or before any Governmental Authority, by or against Holdings or any Restricted Subsidiary or against any of their properties or revenues that either individually or in the aggregate, could reasonably be expected to have a Material Adverse Effect.</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Ownership of Property; Liens</w:t>
      </w:r>
      <w:r>
        <w:rPr>
          <w:rFonts w:ascii="Times New Roman" w:cs="Times New Roman" w:eastAsia="Times New Roman" w:hAnsi="Times New Roman"/>
          <w:sz w:val="22"/>
          <w:szCs w:val="22"/>
          <w:color w:val="auto"/>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w:t>
      </w:r>
    </w:p>
    <w:p>
      <w:pPr>
        <w:spacing w:after="0" w:line="181"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Environmental Compliance</w:t>
      </w:r>
      <w:r>
        <w:rPr>
          <w:rFonts w:ascii="Times New Roman" w:cs="Times New Roman" w:eastAsia="Times New Roman" w:hAnsi="Times New Roman"/>
          <w:sz w:val="22"/>
          <w:szCs w:val="22"/>
          <w:color w:val="auto"/>
        </w:rPr>
        <w:t>. Except as could not reasonably be expected to have, individually or in the aggregate, a Material Adverse Effect:</w:t>
      </w:r>
    </w:p>
    <w:p>
      <w:pPr>
        <w:spacing w:after="0" w:line="158" w:lineRule="exact"/>
        <w:rPr>
          <w:sz w:val="20"/>
          <w:szCs w:val="20"/>
          <w:color w:val="auto"/>
        </w:rPr>
      </w:pPr>
    </w:p>
    <w:p>
      <w:pPr>
        <w:ind w:firstLine="1304"/>
        <w:spacing w:after="0" w:line="258" w:lineRule="auto"/>
        <w:tabs>
          <w:tab w:leader="none" w:pos="188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Borrower, threatened claims, actions, suits, notices of violation, notices of potential responsibility or proceedings by or against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084" w:right="339" w:bottom="1440" w:gutter="0" w:footer="0" w:header="0"/>
        </w:sectPr>
      </w:pPr>
    </w:p>
    <w:bookmarkStart w:id="234" w:name="page235"/>
    <w:bookmarkEnd w:id="234"/>
    <w:p>
      <w:pPr>
        <w:ind w:right="20"/>
        <w:spacing w:after="0" w:line="258" w:lineRule="auto"/>
        <w:rPr>
          <w:sz w:val="20"/>
          <w:szCs w:val="20"/>
          <w:color w:val="auto"/>
        </w:rPr>
      </w:pPr>
      <w:r>
        <w:rPr>
          <w:rFonts w:ascii="Times New Roman" w:cs="Times New Roman" w:eastAsia="Times New Roman" w:hAnsi="Times New Roman"/>
          <w:sz w:val="22"/>
          <w:szCs w:val="22"/>
          <w:color w:val="auto"/>
        </w:rPr>
        <w:t>Holdings or any Subsidiary alleging potential liability or responsibility for violation of, or otherwise relating to, any Environmental Law;</w:t>
      </w:r>
    </w:p>
    <w:p>
      <w:pPr>
        <w:spacing w:after="0" w:line="158" w:lineRule="exact"/>
        <w:rPr>
          <w:sz w:val="20"/>
          <w:szCs w:val="20"/>
          <w:color w:val="auto"/>
        </w:rPr>
      </w:pPr>
    </w:p>
    <w:p>
      <w:pPr>
        <w:jc w:val="both"/>
        <w:ind w:firstLine="1304"/>
        <w:spacing w:after="0" w:line="239" w:lineRule="auto"/>
        <w:tabs>
          <w:tab w:leader="none" w:pos="181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is no asbestos or asbestos-containing material on any property currently owned or operated by any Loan Party or any other Subsidiary; and (ii) there has been no Release of Hazardous Materials by any of the Loan Parties or any other Subsidiary at, on, under or from any location in a manner which would reasonably be expected to give rise to liability under Environmental Laws;</w:t>
      </w:r>
    </w:p>
    <w:p>
      <w:pPr>
        <w:spacing w:after="0" w:line="16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8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Holdings nor any of its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7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Hazardous Materials transported from any property currently or, to the knowledge of Holdings or its Subsidiaries, formerly owned or operated by any Loan Party or any other Subsidiary for off-site disposal have been disposed of in compliance with all Environmental Laws;</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76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nor any other Subsidiary has contractually assumed any liability or obligation under or relating to any Environmental Law;</w:t>
      </w:r>
    </w:p>
    <w:p>
      <w:pPr>
        <w:spacing w:after="0" w:line="158"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is subject to any Environmental Liability; and</w:t>
      </w:r>
    </w:p>
    <w:p>
      <w:pPr>
        <w:spacing w:after="0" w:line="206" w:lineRule="exact"/>
        <w:rPr>
          <w:rFonts w:ascii="Times New Roman" w:cs="Times New Roman" w:eastAsia="Times New Roman" w:hAnsi="Times New Roman"/>
          <w:sz w:val="22"/>
          <w:szCs w:val="22"/>
          <w:color w:val="auto"/>
        </w:rPr>
      </w:pPr>
    </w:p>
    <w:p>
      <w:pPr>
        <w:ind w:firstLine="1304"/>
        <w:spacing w:after="0" w:line="245" w:lineRule="auto"/>
        <w:tabs>
          <w:tab w:leader="none" w:pos="1781"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and each other Subsidiary and their respective businesses, operations and properties are and have been in compliance with all Environmental Laws.</w:t>
      </w:r>
    </w:p>
    <w:p>
      <w:pPr>
        <w:spacing w:after="0" w:line="17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Holdings and each Restricted Subsidiary have timely filed all federal, provincial, state, municipal, foreign and other Tax returns and reports required to be filed, and have timely paid all federal, provincial, state, municipal, foreign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and, except for failures to file or pay as could not, either individually or in the aggregate, reasonably be expected to result in a Material Adverse Effect.</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Compliance with ERISA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82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either individually or in the aggregate, reasonably be expected to result in a Material Adverse Effect, each Plan is in compliance with the applicable provisions of ERISA, the Code and other federal or state Laws and applicable foreign laws, respectively.</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26"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ERISA Event or similar event with respect to a Foreign Plan has occurred or is reasonably expected to occur; (ii) neither any Loan Party nor any ERISA Affiliate has incurred, or reasonably expects to incur, any liability (and no event has occurred which, with the giving of notice under Section 4219 of ERISA, would result in such liability) under Section 4201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or 4243 of ERISA with respect to a Multiemployer Plan; and (iii) neither any Loan Party nor any ERISA Affiliate has engaged in a transaction that could be subject to Section 4069 or 4212(c) of ERISA, except, with respect to each of the foregoing clauses of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as could not reasonably be expected, individually or in the aggregate, to result in a Material Adverse Effect.</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Subsidiaries; Capital Stock</w:t>
      </w:r>
      <w:r>
        <w:rPr>
          <w:rFonts w:ascii="Times New Roman" w:cs="Times New Roman" w:eastAsia="Times New Roman" w:hAnsi="Times New Roman"/>
          <w:sz w:val="22"/>
          <w:szCs w:val="22"/>
          <w:color w:val="auto"/>
        </w:rPr>
        <w:t xml:space="preserve">. As of the Closing Date, neither Holdings nor any other Loan Party has any Subsidiaries other than those specifically disclosed in </w:t>
      </w:r>
      <w:r>
        <w:rPr>
          <w:rFonts w:ascii="Times New Roman" w:cs="Times New Roman" w:eastAsia="Times New Roman" w:hAnsi="Times New Roman"/>
          <w:sz w:val="22"/>
          <w:szCs w:val="22"/>
          <w:u w:val="single" w:color="auto"/>
          <w:color w:val="auto"/>
        </w:rPr>
        <w:t>Schedule 5.11</w:t>
      </w:r>
      <w:r>
        <w:rPr>
          <w:rFonts w:ascii="Times New Roman" w:cs="Times New Roman" w:eastAsia="Times New Roman" w:hAnsi="Times New Roman"/>
          <w:sz w:val="22"/>
          <w:szCs w:val="22"/>
          <w:color w:val="auto"/>
        </w:rPr>
        <w:t xml:space="preserve"> to the Closing Date Certificate, and all of the outstanding Capital Stock in Holdings and its Subsidiaries have</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084" w:right="339" w:bottom="1440" w:gutter="0" w:footer="0" w:header="0"/>
          <w:type w:val="continuous"/>
        </w:sectPr>
      </w:pPr>
    </w:p>
    <w:bookmarkStart w:id="235" w:name="page236"/>
    <w:bookmarkEnd w:id="235"/>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been validly issued, are fully paid and, in the case of Capital Stock representing corporate interests, nonassessable and, on the Closing Date, all Capital Stock owned directly or indirectly by Holdings or any other Loan Party are owned free and clear of all Liens except (i) those created under the Collateral Documents, (ii) those Liens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As of the Closing Date, </w:t>
      </w:r>
      <w:r>
        <w:rPr>
          <w:rFonts w:ascii="Times New Roman" w:cs="Times New Roman" w:eastAsia="Times New Roman" w:hAnsi="Times New Roman"/>
          <w:sz w:val="22"/>
          <w:szCs w:val="22"/>
          <w:u w:val="single" w:color="auto"/>
          <w:color w:val="auto"/>
        </w:rPr>
        <w:t>Schedule 5.11</w:t>
      </w:r>
      <w:r>
        <w:rPr>
          <w:rFonts w:ascii="Times New Roman" w:cs="Times New Roman" w:eastAsia="Times New Roman" w:hAnsi="Times New Roman"/>
          <w:sz w:val="22"/>
          <w:szCs w:val="22"/>
          <w:color w:val="auto"/>
        </w:rPr>
        <w:t xml:space="preserve"> (a) sets forth the name and jurisdiction of organization or incorporation of each Subsidiary, (b) sets forth the ownership interest of Holdings, the Borrower and any of their Subsidiaries in each of their Subsidiaries, including the percentage of such ownership and (c) identifies each Person the Capital Stock of which are required to be pledged on the Closing Date pursuant to the Collateral and Guarantee Requirement.</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p>
    <w:p>
      <w:pPr>
        <w:spacing w:after="0" w:line="206" w:lineRule="exact"/>
        <w:rPr>
          <w:sz w:val="20"/>
          <w:szCs w:val="20"/>
          <w:color w:val="auto"/>
        </w:rPr>
      </w:pPr>
    </w:p>
    <w:p>
      <w:pPr>
        <w:jc w:val="both"/>
        <w:ind w:firstLine="1304"/>
        <w:spacing w:after="0" w:line="239" w:lineRule="auto"/>
        <w:tabs>
          <w:tab w:leader="none" w:pos="178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drawings under any Letter of Credit will be used for any purpose that violates Regulation U or Regulation X of the FRB.</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91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any Person Controlling the Borrower or any Subsidiary is or is required to be registered as an “investment company” under the Investment Company Act of 1940, as amended.</w:t>
      </w:r>
    </w:p>
    <w:p>
      <w:pPr>
        <w:spacing w:after="0" w:line="158"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xml:space="preserve">. No report, financial statement, certificate or other written information furnished by or on behalf of any Loan Party to any Agent, any Lead Arranger or any Lender in connection with the transactions contemplated hereby and the negotiation of this Agreement or delivered hereunder or any other Loan Document (as modified or supplemented by other information so furnished) when taken as a whole is incorrect in any material respect when furnished or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projected financial information, the Borrower represents only that such information was prepared in good faith based upon assumptions believed to be reasonable at the time such information was furnished; it being understood that (i) such projections are as to future events and are not to be viewed as facts and are subject to significant uncertainties and contingencies, many of which are beyond the control of the Borrower, (ii) no assurance can be given that any particular projections will be realized and that actual results during the period or periods covered by any such projections may differ significantly from the projected results and (iii) such differences may be material.</w:t>
      </w:r>
    </w:p>
    <w:p>
      <w:pPr>
        <w:spacing w:after="0" w:line="184"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As of the Closing Date, the information included in any Beneficial Ownership Certificate is true and correct in all material respects.</w:t>
      </w:r>
    </w:p>
    <w:p>
      <w:pPr>
        <w:spacing w:after="0" w:line="17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Intellectual Property; Licenses, Etc</w:t>
      </w:r>
      <w:r>
        <w:rPr>
          <w:rFonts w:ascii="Times New Roman" w:cs="Times New Roman" w:eastAsia="Times New Roman" w:hAnsi="Times New Roman"/>
          <w:sz w:val="22"/>
          <w:szCs w:val="22"/>
          <w:color w:val="auto"/>
        </w:rPr>
        <w:t>. Each of the Loan Parties and the other Restricted Subsidiaries owns, or has a license or possesses a valid and enforceable right to use, all of the trademarks, service marks, trade names, domain names, together with the goodwill associated with the foregoing, copyrights, patents, patent rights, technology, software, know-how, data, database rights, design rights and other intellectual property rights (collectively, “</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that are used in or necessary for the operation of their respective businesses as currently conducted, and, to the knowledge of the Borrower, without violation of the rights of any Person, except to the extent such failures or violations, either individually or in the aggregate, would not reasonably be expected to have a Material Adverse Effect. To the knowledge of the Borrower, the conduct of the respective business of any Loan Party or other Restricted Subsidiary as currently conducted does not infringe, misappropriate or otherwise violate any IP Rights held by any other Person, except to the extent such infringements, misappropriations or violations which, either individually or in the aggregate, would not reasonably be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084" w:right="339" w:bottom="1440" w:gutter="0" w:footer="0" w:header="0"/>
        </w:sectPr>
      </w:pPr>
    </w:p>
    <w:bookmarkStart w:id="236" w:name="page237"/>
    <w:bookmarkEnd w:id="236"/>
    <w:p>
      <w:pPr>
        <w:jc w:val="both"/>
        <w:spacing w:after="0" w:line="244" w:lineRule="auto"/>
        <w:rPr>
          <w:sz w:val="20"/>
          <w:szCs w:val="20"/>
          <w:color w:val="auto"/>
        </w:rPr>
      </w:pPr>
      <w:r>
        <w:rPr>
          <w:rFonts w:ascii="Times New Roman" w:cs="Times New Roman" w:eastAsia="Times New Roman" w:hAnsi="Times New Roman"/>
          <w:sz w:val="21"/>
          <w:szCs w:val="21"/>
          <w:color w:val="auto"/>
        </w:rPr>
        <w:t>expected to have a Material Adverse Effect. No written claim or litigation regarding any IP Rights is pending or, to the knowledge of Borrower, threatened in writing against any Loan Party or other Restricted Subsidiary, which, either individually or in the aggregate, would reasonably be expected to have a Material Adverse Effect. Each of the Loan Parties and the other Restricted Subsidiaries has complied with all applicable Laws relating to the privacy and security of personal information or personal data, except to the extent any non-compliance, either individually or in the aggregate, would not reasonably be expected to have a Material Adverse Effect. There has been no security breach or incident, unauthorized access or disclosure, or other compromise of any of the Loan Parties’ or the other Restricted Subsidiaries’ information technology assets and equipment, computers, information technology systems, networks, hardware, software, websites, applications, data and databases, including the data and information of their respective customers and employees or collected, maintained, processed or stored by or on behalf of the Loan Parties or the other Restricted Subsidiaries, except to the extent any such incident, access, disclosure or other compromise, either individually or in the aggregate, would not reasonably be expected to have a Material Adverse Effect.</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On the Closing Date after giving effect to the Transactions, Holdings and its Subsidiaries, on a consolidated basis, are Solvent.</w:t>
      </w:r>
    </w:p>
    <w:p>
      <w:pPr>
        <w:spacing w:after="0" w:line="15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Collateral Document), the Liens created by such Collateral Documents will constitute so far as possible under relevant Law and to the extent required by any Collateral Document fully perfected first-priority Liens on, and security interests in, all right, title and interest of the Loan Parties in such Collateral, in each case subject to no Liens other than Permitted Liens.</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The proceeds of the Term Loans and the Revolving Loans will be used in accordance with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proceeds of any Incremental Credit Facility may be used for any purpose agreed to by the lenders thereof to the extent not otherwise in violation of this Agreement.</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5.18</w:t>
      </w:r>
      <w:r>
        <w:rPr>
          <w:sz w:val="20"/>
          <w:szCs w:val="20"/>
          <w:color w:val="auto"/>
        </w:rPr>
        <w:tab/>
      </w:r>
      <w:r>
        <w:rPr>
          <w:rFonts w:ascii="Times New Roman" w:cs="Times New Roman" w:eastAsia="Times New Roman" w:hAnsi="Times New Roman"/>
          <w:sz w:val="21"/>
          <w:szCs w:val="21"/>
          <w:u w:val="single" w:color="auto"/>
          <w:color w:val="auto"/>
        </w:rPr>
        <w:t>Sanctions and Anti-Corruption Laws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1304"/>
        <w:spacing w:after="0" w:line="247" w:lineRule="auto"/>
        <w:tabs>
          <w:tab w:leader="none" w:pos="1752"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maintain in effect and enforce policies and procedures that are reasonably designed to promote compliance by the Credit Parties and their respective directors, officers, employees and agents with the FCPA and other applicable anti-corruption laws.</w:t>
      </w:r>
    </w:p>
    <w:p>
      <w:pPr>
        <w:spacing w:after="0" w:line="176" w:lineRule="exact"/>
        <w:rPr>
          <w:rFonts w:ascii="Times New Roman" w:cs="Times New Roman" w:eastAsia="Times New Roman" w:hAnsi="Times New Roman"/>
          <w:sz w:val="20"/>
          <w:szCs w:val="20"/>
          <w:color w:val="auto"/>
        </w:rPr>
      </w:pPr>
    </w:p>
    <w:p>
      <w:pPr>
        <w:jc w:val="both"/>
        <w:ind w:firstLine="1304"/>
        <w:spacing w:after="0" w:line="238" w:lineRule="auto"/>
        <w:tabs>
          <w:tab w:leader="none" w:pos="1772"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Holdings and its Subsidiaries is in compliance, in all material respects, with all applicable Sanctions. No Borrowing or Letter of Credit, or use of proceeds, will violate or result in the violation of any Sanctions applicable to any party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62"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(I) the Borrower or any other Loan Party and (II) the Restricted Subsidiaries that are not Loan Parties any director, manager, officer, employee or, to the knowledge of the Borrower, agent of Holdings or any of their Restricted Subsidiaries, in each case, is a Sanctioned Person.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084" w:right="339" w:bottom="1440" w:gutter="0" w:footer="0" w:header="0"/>
        </w:sectPr>
      </w:pPr>
    </w:p>
    <w:bookmarkStart w:id="237" w:name="page238"/>
    <w:bookmarkEnd w:id="237"/>
    <w:p>
      <w:pPr>
        <w:jc w:val="both"/>
        <w:ind w:firstLine="1304"/>
        <w:spacing w:after="0" w:line="239" w:lineRule="auto"/>
        <w:tabs>
          <w:tab w:leader="none" w:pos="1777"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any Loan or any Letter of Credit will be used for any improper payments, directly or, to the knowledge of the Borrower, indirectly,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Anti-Corruption Laws.</w:t>
      </w:r>
    </w:p>
    <w:p>
      <w:pPr>
        <w:spacing w:after="0" w:line="18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 Except those that, in the aggregate, would not reasonably be expected to have a Material Adverse Effect, as of the Closing Date, (i) there are no strikes, lockouts or other labor disputes against any Loan Party pending or, to the knowledge of the Borrower, threatened and (ii) the hours worked by and payments made to employees of the Loan Parties have not violated the Fair Labor Standards Act or any other applicable Federal, state, local or foreign law dealing with such matters. The execution, delivery and performance by each Loan Parties of the Loan Documents to which they are a party and the consummation of the financing contemplated by the Loan Documents will not give rise to any right of termination or right of renegotiation on the part of any union under any material collective bargaining agreement by which any Loan Party is bound.</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Each of Holdings, the Borrower and each Restricted Subsidiary is in compliance with all Laws and all orders, writs, injunctions and decrees applicable to it or to its properties, except in such instances in which (a) such Laws or order, writ, injunction or decree is being contested in good faith by appropriate proceedings or (b) the failure to comply therewith, either individually or in the aggregate, could not reasonably be expected to have a Material Adverse Effect.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From and after the Closing Date and for so long as any Lender shall have any Commitment hereunder, any Loan or other Secured Obligation shall remain unpaid or unsatisfied (other than contingent indemnification obligations not yet due and payable, obligations under Secured Hedge Agreements and Secured Cash Management Obligations), or any Letter of Credit shall remain outstanding (other than Letters of Credit that have been Cash Collateralized or as to which other arrangements reasonably satisfactory to the Administrative Agent and the applicable L/C Issuer have been made), Holdings shall cause each Restricted Subsidiary to:</w:t>
      </w:r>
    </w:p>
    <w:p>
      <w:pPr>
        <w:spacing w:after="0" w:line="181"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Deliver to the Administrative Agent for prompt further distribution to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w:t>
      </w:r>
    </w:p>
    <w:p>
      <w:pPr>
        <w:spacing w:after="0" w:line="169" w:lineRule="exact"/>
        <w:rPr>
          <w:sz w:val="20"/>
          <w:szCs w:val="20"/>
          <w:color w:val="auto"/>
        </w:rPr>
      </w:pPr>
    </w:p>
    <w:p>
      <w:pPr>
        <w:jc w:val="both"/>
        <w:ind w:left="660" w:firstLine="644"/>
        <w:spacing w:after="0" w:line="232" w:lineRule="auto"/>
        <w:tabs>
          <w:tab w:leader="none" w:pos="1615"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Financials</w:t>
      </w:r>
      <w:r>
        <w:rPr>
          <w:rFonts w:ascii="Times New Roman" w:cs="Times New Roman" w:eastAsia="Times New Roman" w:hAnsi="Times New Roman"/>
          <w:sz w:val="22"/>
          <w:szCs w:val="22"/>
          <w:color w:val="auto"/>
        </w:rPr>
        <w:t xml:space="preserve">. Within one hundred and twenty (120) days after the end of each fiscal year of Holdings ending after the Closing Date, a consolidated balance sheet of Holdings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a report and opinion of an independent registered public accounting firm of nationally recognized standing or other accounting firm reasonably acceptable to the Administrative Agent (it being understood that BDO is reasonably acceptable to the Administrative Agent), which report and opinion shall be prepared in accordance with generally accepted auditing standards and shall not be subject to any qualification (for the avoidance of doubt, excluding an emphasis of the matter or explanatory paragraph) as to “going concern” (other than any “going concern” qualification with respect to or as a result of (x) an upcoming maturity date under any Indebtedness or (y) any breach or impending breach of the covenant in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or any other financial covenant 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084" w:right="339" w:bottom="1440" w:gutter="0" w:footer="0" w:header="0"/>
        </w:sectPr>
      </w:pPr>
    </w:p>
    <w:bookmarkStart w:id="238" w:name="page239"/>
    <w:bookmarkEnd w:id="238"/>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documentation evidencing any Indebtedness) or any qualification or exception as to the scope of such audit and (b)(b) prior to the consummation of an IPO, a customary management discussion and analysis (in form reasonably acceptable to the Administrative Agent) of the financial performance of Holdings and its Restricted Subsidiaries;</w:t>
      </w:r>
    </w:p>
    <w:p>
      <w:pPr>
        <w:spacing w:after="0" w:line="173" w:lineRule="exact"/>
        <w:rPr>
          <w:sz w:val="20"/>
          <w:szCs w:val="20"/>
          <w:color w:val="auto"/>
        </w:rPr>
      </w:pPr>
    </w:p>
    <w:p>
      <w:pPr>
        <w:jc w:val="both"/>
        <w:ind w:left="660" w:firstLine="644"/>
        <w:spacing w:after="0" w:line="232" w:lineRule="auto"/>
        <w:tabs>
          <w:tab w:leader="none" w:pos="1615"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Financials</w:t>
      </w:r>
      <w:r>
        <w:rPr>
          <w:rFonts w:ascii="Times New Roman" w:cs="Times New Roman" w:eastAsia="Times New Roman" w:hAnsi="Times New Roman"/>
          <w:sz w:val="22"/>
          <w:szCs w:val="22"/>
          <w:color w:val="auto"/>
        </w:rPr>
        <w:t>. Within sixty (60) days after the end of each of the first three (3) fiscal quarters of each fiscal year of Holdings (or, with respect to the first two (2) fiscal quarters for which financial statements are due, seventy five (75) days) beginning with the first fiscal quarter ending March 31, 2021, (A) a consolidated balance sheet of Holdings and its Subsidiaries as at the end of such fiscal quarter,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Holdings as fairly presenting in all material respects the financial condition, results of operations, stockholders’ equity and cash flows of Holdings and its Subsidiaries in accordance with GAAP, subject only to normal year-end adjustments and the absence of footnotes and (B) prior to the consummation of an IPO, a conference call between management of Holdings and Lenders at a time to be mutually agreed upon and upon reasonable notice; and</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1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Reconciliation</w:t>
      </w:r>
      <w:r>
        <w:rPr>
          <w:rFonts w:ascii="Times New Roman" w:cs="Times New Roman" w:eastAsia="Times New Roman" w:hAnsi="Times New Roman"/>
          <w:sz w:val="22"/>
          <w:szCs w:val="22"/>
          <w:color w:val="auto"/>
        </w:rPr>
        <w:t xml:space="preserve">. Simultaneously with the delivery of each set of consolidated financial statements referred to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related consolidating financial statements reflecting the adjustments necessary to eliminate the accounts of Unrestricted Subsidiaries (if any) from such consolidated financial statements.</w:t>
      </w:r>
    </w:p>
    <w:p>
      <w:pPr>
        <w:spacing w:after="0" w:line="179"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the foregoing, the obligations in </w:t>
      </w:r>
      <w:r>
        <w:rPr>
          <w:rFonts w:ascii="Times New Roman" w:cs="Times New Roman" w:eastAsia="Times New Roman" w:hAnsi="Times New Roman"/>
          <w:sz w:val="22"/>
          <w:szCs w:val="22"/>
          <w:u w:val="single" w:color="auto"/>
          <w:color w:val="auto"/>
        </w:rPr>
        <w:t>paragraphs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may be satisfied with respect to financial information of Holdings and its Subsidiaries by furnishing (A) the applicable consolidated financial statements of any direct or indirect parent of Holdings that, directly or indirectly, holds all of the Capital Stock of Holdings or (B) Holdings’ (or any direct or indirect parent thereof, as applicable) Form 10-K or 10-Q, as applicable, filed with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such information relates to a parent of Holdings, such information is accompanied by consolidating information that explains in reasonable detail the differences between the information relating to Holdings (or such parent), on the one hand, and the information relating to Holdings and its Restricted Subsidiaries on a standalone basis, on the other hand and (ii) to the extent such information is in lieu of information required to be provided under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such materials are accompanied by a report and opinion an independent registered public accounting firm of nationally recognized standing, which report and opinion, subject to the same exceptions set forth above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shall be prepared in accordance with generally accepted auditing standards.</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Any information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xml:space="preserve"> shall not be required to include acquisition method accounting adjustments relating to the Transactions (if applicable) or any Permitted Investment to the extent it is not practicable to include any such adjustments in such financial statement.</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Certificates; Other Information</w:t>
      </w:r>
      <w:r>
        <w:rPr>
          <w:rFonts w:ascii="Times New Roman" w:cs="Times New Roman" w:eastAsia="Times New Roman" w:hAnsi="Times New Roman"/>
          <w:sz w:val="22"/>
          <w:szCs w:val="22"/>
          <w:color w:val="auto"/>
        </w:rPr>
        <w:t>. Deliver to the Administrative Agent for prompt further distribution to each Lender:</w:t>
      </w:r>
    </w:p>
    <w:p>
      <w:pPr>
        <w:spacing w:after="0" w:line="158" w:lineRule="exact"/>
        <w:rPr>
          <w:sz w:val="20"/>
          <w:szCs w:val="20"/>
          <w:color w:val="auto"/>
        </w:rPr>
      </w:pPr>
    </w:p>
    <w:p>
      <w:pPr>
        <w:jc w:val="both"/>
        <w:ind w:right="20" w:firstLine="1304"/>
        <w:spacing w:after="0" w:line="282" w:lineRule="auto"/>
        <w:tabs>
          <w:tab w:leader="none" w:pos="1617"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No later than five (5) Business Days after the delivery of the financial statements referred to in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 duly completed Compliance Certificate signed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084" w:right="339" w:bottom="1440" w:gutter="0" w:footer="0" w:header="0"/>
        </w:sectPr>
      </w:pPr>
    </w:p>
    <w:bookmarkStart w:id="239" w:name="page240"/>
    <w:bookmarkEnd w:id="239"/>
    <w:p>
      <w:pPr>
        <w:jc w:val="both"/>
        <w:ind w:firstLine="1304"/>
        <w:spacing w:after="0" w:line="238" w:lineRule="auto"/>
        <w:tabs>
          <w:tab w:leader="none" w:pos="160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Promptly after the same are publicly available, copies of all annual, regular, periodic and special reports and registration statements which the Borrower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17"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Notices</w:t>
      </w:r>
      <w:r>
        <w:rPr>
          <w:rFonts w:ascii="Times New Roman" w:cs="Times New Roman" w:eastAsia="Times New Roman" w:hAnsi="Times New Roman"/>
          <w:sz w:val="22"/>
          <w:szCs w:val="22"/>
          <w:color w:val="auto"/>
        </w:rPr>
        <w:t>. Promptly after the furnishing thereof, copies of any material requests or material notices received by any Loan Party or any of its Restricted Subsidiaries (other than in the ordinary course of business) that could reasonably be expected to result in a Material Adverse Effect;</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Required Information</w:t>
      </w:r>
      <w:r>
        <w:rPr>
          <w:rFonts w:ascii="Times New Roman" w:cs="Times New Roman" w:eastAsia="Times New Roman" w:hAnsi="Times New Roman"/>
          <w:sz w:val="22"/>
          <w:szCs w:val="22"/>
          <w:color w:val="auto"/>
        </w:rPr>
        <w:t xml:space="preserve">. Together with the delivery of the financial statements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and each Compliance Certificate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(i) a report setting forth the information required by Section 4(b) of the Security Agreement or confirming that there has been no change in such information since the Closing Date or the date of the last Compliance Certificate, (ii) a description of each event, condition or circumstance during the last fiscal quarter covered by such Compliance Certificate requiring a prepayment under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(iii) a list of Subsidiaries that identifies each Subsidiary as a Material Subsidiary or an Immaterial Subsidiary as of the date of delivery of such Compliance Certificate or a confirmation that there is no change in such information since the later of the Closing Date or the date of the last such list and (iv) such other information required by the Compliance Certificate;</w:t>
      </w:r>
    </w:p>
    <w:p>
      <w:pPr>
        <w:spacing w:after="0" w:line="17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44"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Budget</w:t>
      </w:r>
      <w:r>
        <w:rPr>
          <w:rFonts w:ascii="Times New Roman" w:cs="Times New Roman" w:eastAsia="Times New Roman" w:hAnsi="Times New Roman"/>
          <w:sz w:val="22"/>
          <w:szCs w:val="22"/>
          <w:color w:val="auto"/>
        </w:rPr>
        <w:t xml:space="preserve">. Prior to the consummation of an IPO, concurrently with the delivery of any financial statements under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above, an annual budget (on a quarterly basis) for such fiscal year in form customarily prepared by the Borrower; and</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2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 provided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6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6.02(c)</w:t>
      </w:r>
      <w:r>
        <w:rPr>
          <w:rFonts w:ascii="Times New Roman" w:cs="Times New Roman" w:eastAsia="Times New Roman" w:hAnsi="Times New Roman"/>
          <w:sz w:val="22"/>
          <w:szCs w:val="22"/>
          <w:color w:val="auto"/>
        </w:rPr>
        <w:t xml:space="preserve"> may be delivered electronically and if so delivered, shall be deemed to have been delivered on the date (i) on which the Borrower posts such documents, or provides a link thereto on Holdings’ or the Borrower’s website on the Internet at the website address listed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 shall notify (which may be by facsimile or electronic mail) the Administrative Agent of the posting of any such documents and provide to the Administrative Agent by electronic mail electronic versions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79"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2"/>
          <w:szCs w:val="22"/>
          <w:color w:val="auto"/>
        </w:rPr>
        <w:t>Holdings hereby acknowledges that (a) the Administrative Agent and/or the Lead Arranger will make available to the Lenders and the L/C Issuer materials and/or information provided by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084" w:right="339" w:bottom="1440" w:gutter="0" w:footer="0" w:header="0"/>
        </w:sectPr>
      </w:pPr>
    </w:p>
    <w:bookmarkStart w:id="240" w:name="page241"/>
    <w:bookmarkEnd w:id="240"/>
    <w:p>
      <w:pPr>
        <w:jc w:val="both"/>
        <w:spacing w:after="0" w:line="243" w:lineRule="auto"/>
        <w:rPr>
          <w:sz w:val="20"/>
          <w:szCs w:val="20"/>
          <w:color w:val="auto"/>
        </w:rPr>
      </w:pPr>
      <w:r>
        <w:rPr>
          <w:rFonts w:ascii="Times New Roman" w:cs="Times New Roman" w:eastAsia="Times New Roman" w:hAnsi="Times New Roman"/>
          <w:sz w:val="21"/>
          <w:szCs w:val="21"/>
          <w:color w:val="auto"/>
        </w:rPr>
        <w:t>or on behalf of Holdings hereunder (collectively, “</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by posting the Borrower Materials on IntraLinks or another similar electronic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and (b) certain of the Lenders (each, a “</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may have personnel who do not wish to receive material non-public information with respect to Holdings or its Affiliates, or the respective securities of any of the foregoing, and who may be engaged in investment and other market-related activities with respect to such Persons’ securities. Holdings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Holdings shall be deemed to have authorized the Administrative Agent, the Lead Arranger, the L/C Issuer and the Lenders to treat such Borrower Materials as not containing any material non-public information (although it may be sensitive and proprietary) with respect to Holdings or its Affiliates or any of their respective securities for purposes of United States Federal and state securities laws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w:t>
      </w:r>
    </w:p>
    <w:p>
      <w:pPr>
        <w:spacing w:after="0" w:line="180"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Promptly after a Responsible Officer obtains actual knowledge thereof, notify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for prompt further distribution to each Lender:</w:t>
      </w:r>
    </w:p>
    <w:p>
      <w:pPr>
        <w:spacing w:after="0" w:line="169" w:lineRule="exact"/>
        <w:rPr>
          <w:sz w:val="20"/>
          <w:szCs w:val="20"/>
          <w:color w:val="auto"/>
        </w:rPr>
      </w:pPr>
    </w:p>
    <w:p>
      <w:pPr>
        <w:ind w:right="20" w:firstLine="1304"/>
        <w:spacing w:after="0" w:line="258" w:lineRule="auto"/>
        <w:tabs>
          <w:tab w:leader="none" w:pos="159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Default, which notice shall specify the nature thereof, the period of existence thereof and what action Holdings proposes to take with respect thereto;</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or governmental proceeding (including, without limitation, pursuant to any Environmental Laws) pending against Holdings or any of the Subsidiaries that could reasonably be expected to be determined adversely and, if so determined, to result in a Material Adverse Effect; and</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59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ERISA Event or similar event with respect to a Foreign Plan that could reasonably be expected to have a Material Adverse Effect.</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Maintenance of Existence</w:t>
      </w:r>
      <w:r>
        <w:rPr>
          <w:rFonts w:ascii="Times New Roman" w:cs="Times New Roman" w:eastAsia="Times New Roman" w:hAnsi="Times New Roman"/>
          <w:sz w:val="22"/>
          <w:szCs w:val="22"/>
          <w:color w:val="auto"/>
        </w:rPr>
        <w:t xml:space="preserve">. (a) Preserve, renew and maintain in full force and effect its legal existence under the Laws of the jurisdiction of its organization or incorporation and (b) take all reasonable action to maintain all rights, privileges (including its good standing), permits, and licenses necessary or desirable in the normal conduct of its business, except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(other than with respect to Holdings and the Borrower)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(i) to the extent that failure to do so could not reasonably be expected to have a Material Adverse Effect or (ii) pursuant to a transaction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Except if the failure to do so could not, individually or in the aggregate, reasonably be expected to have a Material Adverse Effect, (a) maintain, preserve and protect all of its material properties and equipment necessary in the operation of its business in good working order, repair and condition, ordinary wear and tear excepted and casualty or condemnation excepted, (b) maintain, protect, preserve and renew all of its IP Rights and (c) make all necessary renewals, replacements, modifications, improvements, upgrades, extensions and additions thereof or thereto with respect to tangible properties in accordance with prudent industry practice.</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Maintain with financially sound and reputable insurance companies, insurance with respect to its properties and business against loss or damage of the kinds customarily insured against by Persons engaged in the same or similar business, of such types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084" w:right="339" w:bottom="1440" w:gutter="0" w:footer="0" w:header="0"/>
        </w:sectPr>
      </w:pPr>
    </w:p>
    <w:bookmarkStart w:id="241" w:name="page242"/>
    <w:bookmarkEnd w:id="241"/>
    <w:p>
      <w:pPr>
        <w:jc w:val="both"/>
        <w:spacing w:after="0" w:line="232" w:lineRule="auto"/>
        <w:rPr>
          <w:sz w:val="20"/>
          <w:szCs w:val="20"/>
          <w:color w:val="auto"/>
        </w:rPr>
      </w:pPr>
      <w:r>
        <w:rPr>
          <w:rFonts w:ascii="Times New Roman" w:cs="Times New Roman" w:eastAsia="Times New Roman" w:hAnsi="Times New Roman"/>
          <w:sz w:val="22"/>
          <w:szCs w:val="22"/>
          <w:color w:val="auto"/>
        </w:rPr>
        <w:t>in such amounts (after giving effect to any self-insurance reasonable and customary for similarly situated Persons engaged in the same or similar businesses as Holdings and its Restricted Subsidiaries) as are customarily carried under similar circumstances by such other Persons.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to the extent required by applicable Laws, Holdings shall, or shall cause each Loan Party to, (i) maintain, or cause to be maintained, with a financially sound and reputable insurer, flood insurance in an amount sufficient to comply with all applicable rules and regulations promulgated pursuant to the Flood Insurance Laws and (ii) upon request, deliver to the Administrative Agent evidence of such compliance in form reasonably acceptable to the Administrative Agent. Any such insurance (excluding business interruption insurance) maintained in the United States or Canada shall name the Collateral Agent as additional insured or loss payee, as applicable.</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6.07</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Comply in all respects with the requirements of all Laws and all orders, writs, injunctions, decrees and judgments applicable to Holdings, the Borrower or any Subsidiary Guarantor or to their business or property (including without limitation Environmental Laws, ERISA, Anti-Corruption Laws and Sanctions), except if the failure to comply therewith </w:t>
      </w:r>
      <w:r>
        <w:rPr>
          <w:rFonts w:ascii="Times New Roman" w:cs="Times New Roman" w:eastAsia="Times New Roman" w:hAnsi="Times New Roman"/>
          <w:sz w:val="19"/>
          <w:szCs w:val="19"/>
          <w:color w:val="auto"/>
        </w:rPr>
        <w:t>could not reasonably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 expected to have a Material Adverse Effect.</w:t>
      </w:r>
    </w:p>
    <w:p>
      <w:pPr>
        <w:spacing w:after="0" w:line="170"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or such Subsidiary, as the case may be.</w:t>
      </w:r>
    </w:p>
    <w:p>
      <w:pPr>
        <w:spacing w:after="0" w:line="173"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Inspection Rights</w:t>
      </w:r>
      <w:r>
        <w:rPr>
          <w:rFonts w:ascii="Times New Roman" w:cs="Times New Roman" w:eastAsia="Times New Roman" w:hAnsi="Times New Roman"/>
          <w:sz w:val="21"/>
          <w:szCs w:val="21"/>
          <w:color w:val="auto"/>
        </w:rPr>
        <w:t xml:space="preserve">.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 and at such reasonable times during normal business hours and as often as may be reasonably desired, upon reasonable advance notice to Holdings;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excluding any such visits and inspections during the continuation of an Event of Default, only the Administrative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Agent on behalf of the Lenders may exercise rights of the Administrative Agent and the Lenders under this </w:t>
      </w:r>
      <w:r>
        <w:rPr>
          <w:rFonts w:ascii="Times New Roman" w:cs="Times New Roman" w:eastAsia="Times New Roman" w:hAnsi="Times New Roman"/>
          <w:sz w:val="21"/>
          <w:szCs w:val="21"/>
          <w:u w:val="single" w:color="auto"/>
          <w:color w:val="auto"/>
        </w:rPr>
        <w:t>Section 6.09</w:t>
      </w:r>
      <w:r>
        <w:rPr>
          <w:rFonts w:ascii="Times New Roman" w:cs="Times New Roman" w:eastAsia="Times New Roman" w:hAnsi="Times New Roman"/>
          <w:sz w:val="21"/>
          <w:szCs w:val="21"/>
          <w:color w:val="auto"/>
        </w:rPr>
        <w:t xml:space="preserve"> and the Administrative Agent shall not exercise such rights more often than two (2) times during any calendar year absent the existence of an Event of Default and only one (1) such time shall be at the Borrower’s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when an Event of Default exists, the Administrative Agent or any Lender (or any of their respective representatives or independent contractors) may do any of the foregoing at the expense of Holdings at any time during normal business hours and upon reasonable advance notice. The Administrative Agent and the Lenders shall give Holdings the opportunity to participate in any discussions with Holdings’ independent public accountants. Notwithstanding anything to the contrary in this </w:t>
      </w:r>
      <w:r>
        <w:rPr>
          <w:rFonts w:ascii="Times New Roman" w:cs="Times New Roman" w:eastAsia="Times New Roman" w:hAnsi="Times New Roman"/>
          <w:sz w:val="21"/>
          <w:szCs w:val="21"/>
          <w:u w:val="single" w:color="auto"/>
          <w:color w:val="auto"/>
        </w:rPr>
        <w:t>Section 6.09</w:t>
      </w:r>
      <w:r>
        <w:rPr>
          <w:rFonts w:ascii="Times New Roman" w:cs="Times New Roman" w:eastAsia="Times New Roman" w:hAnsi="Times New Roman"/>
          <w:sz w:val="21"/>
          <w:szCs w:val="21"/>
          <w:color w:val="auto"/>
        </w:rPr>
        <w:t>, none of Holdings 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Covenant to Guarantee Secured Obligations and Give Security</w:t>
      </w:r>
      <w:r>
        <w:rPr>
          <w:rFonts w:ascii="Times New Roman" w:cs="Times New Roman" w:eastAsia="Times New Roman" w:hAnsi="Times New Roman"/>
          <w:sz w:val="22"/>
          <w:szCs w:val="22"/>
          <w:color w:val="auto"/>
        </w:rPr>
        <w:t>. At the Borrower’s expense, take all action necessary or reasonably requested by the Administrative Agent to ensure that the Collateral and Guarantee Requirement continues to be satisfied, including: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084" w:right="339" w:bottom="1440" w:gutter="0" w:footer="0" w:header="0"/>
        </w:sectPr>
      </w:pPr>
    </w:p>
    <w:bookmarkStart w:id="242" w:name="page243"/>
    <w:bookmarkEnd w:id="242"/>
    <w:p>
      <w:pPr>
        <w:jc w:val="both"/>
        <w:ind w:left="660" w:firstLine="644"/>
        <w:spacing w:after="0" w:line="239" w:lineRule="auto"/>
        <w:tabs>
          <w:tab w:leader="none" w:pos="1602"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formation or acquisition of any new direct or indirect Wholly Owned Subsidiary (in each case, other than an Excluded Subsidiary) by any Loan Party, the designation in accordance with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of any existing direct or indirect Wholly Owned Subsidiary as a Restricted Subsidiary or any Excluded Subsidiary ceasing to be an Excluded Subsidiary:</w:t>
      </w:r>
    </w:p>
    <w:p>
      <w:pPr>
        <w:spacing w:after="0" w:line="180" w:lineRule="exact"/>
        <w:rPr>
          <w:rFonts w:ascii="Times New Roman" w:cs="Times New Roman" w:eastAsia="Times New Roman" w:hAnsi="Times New Roman"/>
          <w:sz w:val="22"/>
          <w:szCs w:val="22"/>
          <w:color w:val="auto"/>
        </w:rPr>
      </w:pPr>
    </w:p>
    <w:p>
      <w:pPr>
        <w:ind w:left="1300" w:firstLine="652"/>
        <w:spacing w:after="0" w:line="258" w:lineRule="auto"/>
        <w:tabs>
          <w:tab w:leader="none" w:pos="2206"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days after such formation, acquisition, designation or occurrence or such longer period as the Administrative Agent may agree in its reasonable discretion:</w:t>
      </w:r>
    </w:p>
    <w:p>
      <w:pPr>
        <w:spacing w:after="0" w:line="144" w:lineRule="exact"/>
        <w:rPr>
          <w:rFonts w:ascii="Times New Roman" w:cs="Times New Roman" w:eastAsia="Times New Roman" w:hAnsi="Times New Roman"/>
          <w:sz w:val="22"/>
          <w:szCs w:val="22"/>
          <w:color w:val="auto"/>
        </w:rPr>
      </w:pPr>
    </w:p>
    <w:p>
      <w:pPr>
        <w:jc w:val="both"/>
        <w:ind w:left="1960" w:firstLine="640"/>
        <w:spacing w:after="0" w:line="236" w:lineRule="auto"/>
        <w:tabs>
          <w:tab w:leader="none" w:pos="3161" w:val="left"/>
        </w:tabs>
        <w:numPr>
          <w:ilvl w:val="2"/>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each such Restricted Subsidiary to deliver any and all certificates representing Capital Stock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w:t>
      </w:r>
    </w:p>
    <w:p>
      <w:pPr>
        <w:spacing w:after="0" w:line="181" w:lineRule="exact"/>
        <w:rPr>
          <w:rFonts w:ascii="Times New Roman" w:cs="Times New Roman" w:eastAsia="Times New Roman" w:hAnsi="Times New Roman"/>
          <w:sz w:val="22"/>
          <w:szCs w:val="22"/>
          <w:color w:val="auto"/>
        </w:rPr>
      </w:pPr>
    </w:p>
    <w:p>
      <w:pPr>
        <w:jc w:val="both"/>
        <w:ind w:left="1960" w:firstLine="640"/>
        <w:spacing w:after="0" w:line="246" w:lineRule="auto"/>
        <w:tabs>
          <w:tab w:leader="none" w:pos="3112" w:val="left"/>
        </w:tabs>
        <w:numPr>
          <w:ilvl w:val="2"/>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and cause such Restricted Subsidiary and each direct or indirect parent of such Restricted Subsidiary that is required to become a Guarantor pursuant to the Collateral and Guarantee Requirement to take whatever action may be necessary in the reasonable opinion of the Collateral Agent to vest in the Collateral Agent (or in any representative of the Collateral Agent designated by it) valid and perfected first priority Liens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w:t>
      </w:r>
    </w:p>
    <w:p>
      <w:pPr>
        <w:spacing w:after="0" w:line="17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Use the proceeds of any Credit Extension (i) on the Closing Date, whether directly or indirectly, in a manner consistent with the uses set forth in the Preliminary Statements to this Agreement and (ii) after the Closing Date, whether directly or indirectly, for working capital, capital expenditures, other general corporate purposes (including the financing of Permitted Acquisitions, other Permitted Investments, working capital and/or purchase price adjustments, prepayments of Specified Indebtedness and related fees and expenses, and dividends and other distributions permitted under this Agreement) and any other use not prohibited by this Agreement.</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Further Assurances and Post-Closing Covenants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firstLine="652"/>
        <w:spacing w:after="0" w:line="232" w:lineRule="auto"/>
        <w:tabs>
          <w:tab w:leader="none" w:pos="241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set forth in clause (e) of the Collateral and Guarantee Requirement, notwithstanding anything to the contrary contained in this Agreement, nothing in this Agreement or any other Loan Document shall require the Borrower or Loan Party (A) to make any filings or take any actions to record or to perfect the Collateral Agent’s lien on or security interest in (x) any IP Rights other than UCC filings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084" w:right="339" w:bottom="1440" w:gutter="0" w:footer="0" w:header="0"/>
        </w:sectPr>
      </w:pPr>
    </w:p>
    <w:bookmarkStart w:id="243" w:name="page244"/>
    <w:bookmarkEnd w:id="243"/>
    <w:p>
      <w:pPr>
        <w:jc w:val="both"/>
        <w:ind w:left="640"/>
        <w:spacing w:after="0" w:line="239" w:lineRule="auto"/>
        <w:rPr>
          <w:sz w:val="20"/>
          <w:szCs w:val="20"/>
          <w:color w:val="auto"/>
        </w:rPr>
      </w:pPr>
      <w:r>
        <w:rPr>
          <w:rFonts w:ascii="Times New Roman" w:cs="Times New Roman" w:eastAsia="Times New Roman" w:hAnsi="Times New Roman"/>
          <w:sz w:val="22"/>
          <w:szCs w:val="22"/>
          <w:color w:val="auto"/>
        </w:rPr>
        <w:t>and the filing of documents effecting the recordation of security interests in the United States Copyright Office and United States Patent and Trademark Office or (y) any IP Rights subsisting outside of the United States or (B) to reimburse the Administrative Agent for any costs or expenses incurred in connection with making such filings or taking any other such action;</w:t>
      </w:r>
    </w:p>
    <w:p>
      <w:pPr>
        <w:spacing w:after="0" w:line="180" w:lineRule="exact"/>
        <w:rPr>
          <w:sz w:val="20"/>
          <w:szCs w:val="20"/>
          <w:color w:val="auto"/>
        </w:rPr>
      </w:pPr>
    </w:p>
    <w:p>
      <w:pPr>
        <w:jc w:val="both"/>
        <w:ind w:left="640" w:firstLine="652"/>
        <w:spacing w:after="0" w:line="238" w:lineRule="auto"/>
        <w:tabs>
          <w:tab w:leader="none" w:pos="1952"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the time periods specified on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 xml:space="preserve"> hereto (as each may be extended by the Administrative Agent in its reasonable discretion), complete such undertakings as are set forth on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 xml:space="preserve"> hereto.</w:t>
      </w:r>
    </w:p>
    <w:p>
      <w:pPr>
        <w:spacing w:after="0" w:line="17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u w:val="single" w:color="auto"/>
          <w:color w:val="auto"/>
        </w:rPr>
        <w:t>Section 6.13</w:t>
      </w:r>
      <w:r>
        <w:rPr>
          <w:sz w:val="20"/>
          <w:szCs w:val="20"/>
          <w:color w:val="auto"/>
        </w:rPr>
        <w:tab/>
      </w:r>
      <w:r>
        <w:rPr>
          <w:rFonts w:ascii="Times New Roman" w:cs="Times New Roman" w:eastAsia="Times New Roman" w:hAnsi="Times New Roman"/>
          <w:sz w:val="21"/>
          <w:szCs w:val="21"/>
          <w:u w:val="single" w:color="auto"/>
          <w:color w:val="auto"/>
        </w:rPr>
        <w:t>Designation of Restricted and Unrestricted 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40" w:firstLine="652"/>
        <w:spacing w:after="0" w:line="232" w:lineRule="auto"/>
        <w:tabs>
          <w:tab w:leader="none" w:pos="1892"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designate any Restricted Subsidiary to be an Unrestricted Subsidiary if that designation would not cause an Event of Default. If a Restricted Subsidiary is designated as an Unrestricted Subsidiary, the aggregate fair market value of all outstanding Investments owned by Holdings and its Restricted Subsidiaries in the Subsidiary designated as an Unrestricted Subsidiary will be deemed to be an Investment made as of the time of the designation and will reduce the amount available for Restricted Payments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 xml:space="preserve"> or under one or more clauses of the definition of Permitted Investments, as determined by the Borrower. That designation will only be permitted if the Investment would be permitted at that time and if the Restricted Subsidiary otherwise meets the definition of an Unrestricted Subsidiary. Notwithstanding the foregoing, no Subsidiary may be designated an Unrestricted Subsidiary if such Subsidiary owns any Material Intellectual Property.</w:t>
      </w:r>
    </w:p>
    <w:p>
      <w:pPr>
        <w:spacing w:after="0" w:line="187" w:lineRule="exact"/>
        <w:rPr>
          <w:rFonts w:ascii="Times New Roman" w:cs="Times New Roman" w:eastAsia="Times New Roman" w:hAnsi="Times New Roman"/>
          <w:sz w:val="22"/>
          <w:szCs w:val="22"/>
          <w:color w:val="auto"/>
        </w:rPr>
      </w:pPr>
    </w:p>
    <w:p>
      <w:pPr>
        <w:jc w:val="both"/>
        <w:ind w:left="640" w:firstLine="652"/>
        <w:spacing w:after="0" w:line="244" w:lineRule="auto"/>
        <w:tabs>
          <w:tab w:leader="none" w:pos="1789"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designation of a Subsidiary of the Borrower as an Unrestricted Subsidiary will be evidenced to the Administrative Agent by an Officer’s Certificate certifying that such designation complies with the preceding conditions and was permitted by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640" w:firstLine="652"/>
        <w:spacing w:after="0" w:line="233" w:lineRule="auto"/>
        <w:tabs>
          <w:tab w:leader="none" w:pos="179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any time designate any Unrestricted Subsidiary to be a Restricted Subsidiary;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designation will be deemed to be an incurrence of Indebtedness by a Restricted Subsidiary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outstanding Indebtedness of such Unrestricted Subsidiary, and such designation will only be permitted if (1) such Indebtedness is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(including pursuant to </w:t>
      </w:r>
      <w:r>
        <w:rPr>
          <w:rFonts w:ascii="Times New Roman" w:cs="Times New Roman" w:eastAsia="Times New Roman" w:hAnsi="Times New Roman"/>
          <w:sz w:val="22"/>
          <w:szCs w:val="22"/>
          <w:u w:val="single" w:color="auto"/>
          <w:color w:val="auto"/>
        </w:rPr>
        <w:t>Section 7.03(b)(v)</w:t>
      </w:r>
      <w:r>
        <w:rPr>
          <w:rFonts w:ascii="Times New Roman" w:cs="Times New Roman" w:eastAsia="Times New Roman" w:hAnsi="Times New Roman"/>
          <w:sz w:val="22"/>
          <w:szCs w:val="22"/>
          <w:color w:val="auto"/>
        </w:rPr>
        <w:t xml:space="preserve"> treating such redesignation as an acquisition for the purpose of such clause (v)), calculated on a pro forma basis as if such designation had occurred at the beginning of the applicable reference period; and (2) no Event of Default would be in existence following such designation. Any such designation by the Borrower shall be evidenced to the Administrative Agent by an Officer’s Certificate certifying that such designation complies with the preceding conditions.</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6.14 Payment of Taxes</w:t>
      </w:r>
      <w:r>
        <w:rPr>
          <w:rFonts w:ascii="Times New Roman" w:cs="Times New Roman" w:eastAsia="Times New Roman" w:hAnsi="Times New Roman"/>
          <w:sz w:val="22"/>
          <w:szCs w:val="22"/>
          <w:color w:val="auto"/>
        </w:rPr>
        <w:t xml:space="preserve">. Holdings will pay and discharge or cause to paid and discharged, and will cause each of the Restricted Subsidiaries to pay and discharge, all Taxes imposed upon it or upon its income or profits, or upon any properties belonging to it, in each case on a timely basis, and all lawful claims which, if unpaid, may reasonably be expected to become a lien or charge upon any properties of Holdings or any of the Restricted Subsidiaries not otherwise permitted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neither Holdings nor any of the Restricted Subsidiaries shall be required to pay or cause to be paid any such Tax or claim which is being contested in good faith and by proper proceedings if it has maintained adequate reserves with respect thereto in accordance with GAAP, or which would not reasonably be expected, individually or in the aggregate, to constitute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0580"/>
          </w:cols>
          <w:pgMar w:left="980" w:top="1084" w:right="339" w:bottom="1440" w:gutter="0" w:footer="0" w:header="0"/>
        </w:sectPr>
      </w:pPr>
    </w:p>
    <w:bookmarkStart w:id="244" w:name="page245"/>
    <w:bookmarkEnd w:id="244"/>
    <w:p>
      <w:pPr>
        <w:jc w:val="both"/>
        <w:ind w:left="66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6.15 Lender Calls</w:t>
      </w:r>
      <w:r>
        <w:rPr>
          <w:rFonts w:ascii="Times New Roman" w:cs="Times New Roman" w:eastAsia="Times New Roman" w:hAnsi="Times New Roman"/>
          <w:sz w:val="22"/>
          <w:szCs w:val="22"/>
          <w:color w:val="auto"/>
        </w:rPr>
        <w:t xml:space="preserve">. Holdings will hold a conference call (at a time mutually agreed upon by Holdings and the Administrative Agent but, in any event, no earlier than the Business Day following the delivery of applicable financial information pursuant to Sections 6.01(a) and (b) above) with all Lenders who choose to attend such conference call to discuss the results of the previous fiscal quarter;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requirement set forth in this Section 6.16 may be satisfied with an earnings call held for the benefit of the Borrower’s securities holders that is open to the Lenders.</w:t>
      </w:r>
    </w:p>
    <w:p>
      <w:pPr>
        <w:spacing w:after="0" w:line="168" w:lineRule="exact"/>
        <w:rPr>
          <w:sz w:val="20"/>
          <w:szCs w:val="20"/>
          <w:color w:val="auto"/>
        </w:rPr>
      </w:pPr>
    </w:p>
    <w:p>
      <w:pPr>
        <w:jc w:val="both"/>
        <w:ind w:left="6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u w:val="single" w:color="auto"/>
          <w:color w:val="auto"/>
        </w:rPr>
        <w:t>Maintenance of Ratings</w:t>
      </w:r>
      <w:r>
        <w:rPr>
          <w:rFonts w:ascii="Times New Roman" w:cs="Times New Roman" w:eastAsia="Times New Roman" w:hAnsi="Times New Roman"/>
          <w:sz w:val="22"/>
          <w:szCs w:val="22"/>
          <w:color w:val="auto"/>
        </w:rPr>
        <w:t xml:space="preserve">. The Borrower will use commercially reasonable efforts to obtain and to maintain public corporate credit facility ratings in respect of the Initial Term Loans and corporate family ratings in respect of the Borrower, in each case, from Moody’s and S&amp;P;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in each case, that the Borrower shall not be required to obtain or maintain any specific rating.</w:t>
      </w:r>
    </w:p>
    <w:p>
      <w:pPr>
        <w:spacing w:after="0" w:line="180" w:lineRule="exact"/>
        <w:rPr>
          <w:sz w:val="20"/>
          <w:szCs w:val="20"/>
          <w:color w:val="auto"/>
        </w:rPr>
      </w:pPr>
    </w:p>
    <w:p>
      <w:pPr>
        <w:jc w:val="both"/>
        <w:ind w:left="660" w:firstLine="648"/>
        <w:spacing w:after="0" w:line="232" w:lineRule="auto"/>
        <w:rPr>
          <w:sz w:val="20"/>
          <w:szCs w:val="20"/>
          <w:color w:val="auto"/>
        </w:rPr>
      </w:pPr>
      <w:r>
        <w:rPr>
          <w:rFonts w:ascii="Times New Roman" w:cs="Times New Roman" w:eastAsia="Times New Roman" w:hAnsi="Times New Roman"/>
          <w:sz w:val="22"/>
          <w:szCs w:val="22"/>
          <w:color w:val="auto"/>
        </w:rPr>
        <w:t>Section 6.17 Anti-Terrorism; Sanctions; Anti-Corruption. Comply in all material respects with all applicable Sanctions, Anti-Corruption Laws and Anti-Terrorism Laws;(i) Not repay the Loans, or make any other payment to any Lender, using funds or properties of Holdings, the Borrower or any Restricted Subsidiaries that are, to the knowledge of the Borrower, the property of any Person that is the subject or target of applicable Sanctions or that are, to the knowledge of the Borrower, beneficially owned, directly or indirectly, by any Person that is the subject or target of applicable Sanctions, in each case, that would cause a violation of Anti-Terrorism Laws or applicable Sanctions or any other applicable Requirement of Law by any Person participating in the Loans or Letters of Credit, or (ii) to the knowledge of Borrower, not permit any Person that is the subject of Sanctions to have any direct or indirect interest, in Holdings, the Borrower or any of the Subsidiaries, with the result that the investment in Holdings, the Borrower or any of the Subsidiaries (whether directly or indirectly) or the Loans made by the Lenders would be in violation of any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-1561465</wp:posOffset>
            </wp:positionV>
            <wp:extent cx="26206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262064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From and after the Closing Date and for so long as any Lender shall have any Commitment hereunder, any Loan or other Secured Obligation shall remain unpaid or unsatisfied (other than contingent indemnification obligations not yet due and payable, obligations under Secured Hedge Agreements and Secured Cash Management Obligations), or any Letter of Credit shall remain outstanding (other than Letters of Credit that have been Cash Collateralized or as to which other arrangements reasonably satisfactory to the Administrative Agent and the applicable L/C Issuer have been made):</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4" w:lineRule="auto"/>
        <w:tabs>
          <w:tab w:leader="none" w:pos="159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Restricted Subsidiary to, directly or indirectly, create, Incur or permit to exist any Lien on any asset or property of the Borrower or any Restricted Subsidiary, unless such Lien is a Permitted Lien.</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2"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22"/>
          <w:szCs w:val="22"/>
          <w:u w:val="single" w:color="auto"/>
          <w:color w:val="auto"/>
        </w:rPr>
        <w:t>Increased Amount</w:t>
      </w:r>
      <w:r>
        <w:rPr>
          <w:rFonts w:ascii="Times New Roman" w:cs="Times New Roman" w:eastAsia="Times New Roman" w:hAnsi="Times New Roman"/>
          <w:sz w:val="22"/>
          <w:szCs w:val="22"/>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084" w:right="339" w:bottom="1440" w:gutter="0" w:footer="0" w:header="0"/>
        </w:sectPr>
      </w:pPr>
    </w:p>
    <w:bookmarkStart w:id="245" w:name="page246"/>
    <w:bookmarkEnd w:id="245"/>
    <w:p>
      <w:pPr>
        <w:spacing w:after="0" w:line="258" w:lineRule="auto"/>
        <w:rPr>
          <w:sz w:val="20"/>
          <w:szCs w:val="20"/>
          <w:color w:val="auto"/>
        </w:rPr>
      </w:pPr>
      <w:r>
        <w:rPr>
          <w:rFonts w:ascii="Times New Roman" w:cs="Times New Roman" w:eastAsia="Times New Roman" w:hAnsi="Times New Roman"/>
          <w:sz w:val="22"/>
          <w:szCs w:val="22"/>
          <w:color w:val="auto"/>
        </w:rPr>
        <w:t>preference and increases in the amount of Indebtedness outstanding solely as a result of fluctuations in the exchange rate of currencies or increases in the value of property securing Indebtedness.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2" w:lineRule="auto"/>
        <w:tabs>
          <w:tab w:leader="none" w:pos="1617"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not, and shall not permit any of the Restricted Subsidiaries to, Incur any Indebtedness (including Acquired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Borrower and any of the Restricted Subsidiaries may Incur additional Indebtedness (including Acquired Indebtedness) for any purpose, in an aggregate principal amount equal to the sum of any unused portion of the (1) Unrestricted Incremental Amount and (2) additional unlimited amounts, if on the date of such Incurrence and after giving pro forma effect thereto (including pro forma application of the proceeds thereof) and after giving effect to any Permitted Investment consummated in connection therewith, any indebtedness repaid with the proceeds thereof and any other acquisition, disposition, debt incurrence, debt retirement and other appropriate pro forma adjustments and all other appropriate pro forma adjustments (but excluding the cash proceeds of any such Indebtedness and without giving effect to any amount incurred simultaneously under (x) the Unrestricted Incremental Amount, (y) any other fixed dollar incurrence basket or</w:t>
      </w:r>
    </w:p>
    <w:p>
      <w:pPr>
        <w:spacing w:after="0" w:line="6" w:lineRule="exact"/>
        <w:rPr>
          <w:rFonts w:ascii="Times New Roman" w:cs="Times New Roman" w:eastAsia="Times New Roman" w:hAnsi="Times New Roman"/>
          <w:sz w:val="21"/>
          <w:szCs w:val="21"/>
          <w:color w:val="auto"/>
        </w:rPr>
      </w:pPr>
    </w:p>
    <w:p>
      <w:pPr>
        <w:jc w:val="both"/>
        <w:ind w:firstLine="8"/>
        <w:spacing w:after="0" w:line="229" w:lineRule="auto"/>
        <w:tabs>
          <w:tab w:leader="none" w:pos="29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Credit Facility) (and, in each case, for the avoidance of doubt, for purposes of calculating the Interest Coverage Ratio, without giving effect to any interest expense attributable to any such Indebtedness in connection therewith), (A) if such Indebtedness is secured by a Lien on the Collateral that is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securing the Initial Term Loans, the Consolidated First Lien Secured Leverage Ratio for the most recently ended Test Period does not exceed 2.55:1.00 (or, to the extent such Indebtedness is incurred in connection with any Permitted Investment, the Consolidated First Lien Secured Leverage Ratio for the most recently ended Test Period does not exceed the greater of 2.55:1.00 and the Consolidated First Lien Secured Leverage Ratio immediately prior to such Permitted Investment), (B) if such Indebtedness is secured by a Lien on the Collateral that is junior to the Liens securing the Initial Term Loans, the Consolidated Total Senior Secured Leverage Ratio for the most recently ended Test Period does not exceed 3.05:1.00 (or, to the extent such Indebtedness is incurred in connection with any Permitted Investment, the Consolidated Total Senior Secured Leverage Ratio for the most recently ended Test Period does not exceed the greater of 3.05:1.00 and the Consolidated Total Senior Secured Leverage Ratio immediately prior to such Permitted Investment) or (C) if such Indebtedness is secured by assets not constituting Collateral or is unsecured, Consolidated Total Leverage Ratio for the most recently ended Test Period does not exceed 3.05:1.00 (or, to the extent such Indebtedness is incurred in connection with any Permitted Investment, the Consolidated Total Leverage Ratio for the most recently ended Test Period does not exceed the greater of 3.05:1.00 and the Consolidated Total Leverage Ratio immediately prior to such Permitted Investment) or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xml:space="preserve">, that to the extent so utilized, such incurrence pursuant to </w:t>
      </w:r>
      <w:r>
        <w:rPr>
          <w:rFonts w:ascii="Times New Roman" w:cs="Times New Roman" w:eastAsia="Times New Roman" w:hAnsi="Times New Roman"/>
          <w:sz w:val="22"/>
          <w:szCs w:val="22"/>
          <w:u w:val="single" w:color="auto"/>
          <w:color w:val="auto"/>
        </w:rPr>
        <w:t>Section 7.03(a)(1)</w:t>
      </w:r>
      <w:r>
        <w:rPr>
          <w:rFonts w:ascii="Times New Roman" w:cs="Times New Roman" w:eastAsia="Times New Roman" w:hAnsi="Times New Roman"/>
          <w:sz w:val="22"/>
          <w:szCs w:val="22"/>
          <w:color w:val="auto"/>
        </w:rPr>
        <w:t xml:space="preserve"> above shall reduce, dollar for dollar, the availability under the Unrestricted Incremental Amount for all other purposes (provided, that such amounts may be reclassified at any time, as the Borrower may elect from time to time, as incurred under the applicable incurrence ratio set forth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if the Borrower meets the applicable leverage (or coverage) ratio at such time on a pro forma basis;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that (A) upon the effectiveness of such Indebtedness, except in connection with a Limited Condition Transaction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case no Specified Default shall have occurred and is continuing or would result therefrom), no Default or Event of Default has occurred and is continuing or shall result therefrom (or, in the case of incurrences in connection with a Permitted Investment or other Investment not prohibited hereunder, no Specified Default shall have occurred and is continuing or would result therefrom), (B) such Indebtedness shall not mature earlier than the Maturity Date applicable to the Initial Term Loans, (C) as of the date of the incurrence of such Indebtedness, the Weighted Average Life to Maturity of such Indebtedness shall not be shorter than that of the Term Loans, (D) the other terms and conditions of such Indebtedness (excluding pricing, optional prepayment or redemption terms) reflect market terms on the date of incurrence or issuance of such Indebtedness (as reasonably determined by the Borrower in good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084" w:right="339" w:bottom="1440" w:gutter="0" w:footer="0" w:header="0"/>
        </w:sectPr>
      </w:pPr>
    </w:p>
    <w:bookmarkStart w:id="246" w:name="page247"/>
    <w:bookmarkEnd w:id="24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faith), (E) if such Indebtedness is secured by the Collateral, such Indebtedness shall be subject to a Customary Intercreditor Agreement (which, to the extent such Indebtedness is funded into escrow, may be effective (or entered into) only immediately after the proceeds thereof are released from such escrow), (F) if such Indebtedness is in the form of MFN Qualifying Term Loans, then the MFN Adjustment shall be made to the Initial Term Loans to the extent otherwise required under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xml:space="preserve"> (other than to the extent such Indebtedness constitutes a customary bridge facility, so long as the long-term Indebtedness into which such customary bridge facility is to be converted or exchanged would not otherwise be subject to the MFN Adjustments) and (G) the aggregate principal amount of such Indebtedness incurred by Restricted Subsidiaries that are not Loan Parties shall not exceed the greater of (x) $107.0 million and (y) 50.0% of LTM EBITDA at the time of Incurrence.</w:t>
      </w:r>
    </w:p>
    <w:p>
      <w:pPr>
        <w:spacing w:after="0" w:line="182" w:lineRule="exact"/>
        <w:rPr>
          <w:sz w:val="20"/>
          <w:szCs w:val="20"/>
          <w:color w:val="auto"/>
        </w:rPr>
      </w:pPr>
    </w:p>
    <w:p>
      <w:pPr>
        <w:ind w:left="1600" w:hanging="296"/>
        <w:spacing w:after="0"/>
        <w:tabs>
          <w:tab w:leader="none" w:pos="16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shall not prohibit the Incurrence of the following Indebtedness;</w:t>
      </w:r>
    </w:p>
    <w:p>
      <w:pPr>
        <w:spacing w:after="0" w:line="206" w:lineRule="exact"/>
        <w:rPr>
          <w:rFonts w:ascii="Times New Roman" w:cs="Times New Roman" w:eastAsia="Times New Roman" w:hAnsi="Times New Roman"/>
          <w:sz w:val="22"/>
          <w:szCs w:val="22"/>
          <w:color w:val="auto"/>
        </w:rPr>
      </w:pPr>
    </w:p>
    <w:p>
      <w:pPr>
        <w:jc w:val="both"/>
        <w:ind w:left="1960" w:firstLine="640"/>
        <w:spacing w:after="0" w:line="239" w:lineRule="auto"/>
        <w:tabs>
          <w:tab w:leader="none" w:pos="3075"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Borrower and any of the Restricted Subsidiaries under the Loan Documents, including any refinancing thereof incurred under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Indebtedness incurred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and in each case, any Refinancing Indebtedness thereof (or successive Refinancing Indebtedness thereof);</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098"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the Borrower or any Restricted Subsidiary of Indebtedness or other obligations of Borrower or any Restricted Subsidiary so long as the Incurrence of such Indebtedness or other obligations is not prohibited by the terms of this Agreement;</w:t>
      </w:r>
    </w:p>
    <w:p>
      <w:pPr>
        <w:spacing w:after="0" w:line="173" w:lineRule="exact"/>
        <w:rPr>
          <w:rFonts w:ascii="Times New Roman" w:cs="Times New Roman" w:eastAsia="Times New Roman" w:hAnsi="Times New Roman"/>
          <w:sz w:val="22"/>
          <w:szCs w:val="22"/>
          <w:color w:val="auto"/>
        </w:rPr>
      </w:pPr>
    </w:p>
    <w:p>
      <w:pPr>
        <w:jc w:val="both"/>
        <w:ind w:left="1960" w:firstLine="640"/>
        <w:spacing w:after="0" w:line="234" w:lineRule="auto"/>
        <w:tabs>
          <w:tab w:leader="none" w:pos="3313"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Borrower to any Restricted Subsidiary or Indebtedness of a Restricted Subsidiary to Borrower or any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Indebtedness owed by any Loan Party to any Restricted Subsidiary that is not a Loan Party incurred pursuant to this clause (iii) shall be subordinated in right of payment to the Secured Obligations on terms reasonably satisfactory to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for the avoidance of doubt a Global Intercompany Note shall be reasonably satisfactory);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w:t>
      </w:r>
    </w:p>
    <w:p>
      <w:pPr>
        <w:spacing w:after="0" w:line="180" w:lineRule="exact"/>
        <w:rPr>
          <w:rFonts w:ascii="Times New Roman" w:cs="Times New Roman" w:eastAsia="Times New Roman" w:hAnsi="Times New Roman"/>
          <w:sz w:val="22"/>
          <w:szCs w:val="22"/>
          <w:color w:val="auto"/>
        </w:rPr>
      </w:pPr>
    </w:p>
    <w:p>
      <w:pPr>
        <w:ind w:firstLine="1952"/>
        <w:spacing w:after="0" w:line="258" w:lineRule="auto"/>
        <w:tabs>
          <w:tab w:leader="none" w:pos="2325"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subsequent issuance or transfer of Capital Stock or any other event which results in any such Indebtedness being beneficially held by a Person other than Holdings or a Restricted Subsidiary; and</w:t>
      </w:r>
    </w:p>
    <w:p>
      <w:pPr>
        <w:spacing w:after="0" w:line="158"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or other transfer of any such Indebtedness to a Person other than Holdings or a Restricted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82" w:lineRule="exact"/>
        <w:rPr>
          <w:sz w:val="20"/>
          <w:szCs w:val="20"/>
          <w:color w:val="auto"/>
        </w:rPr>
      </w:pPr>
    </w:p>
    <w:p>
      <w:pPr>
        <w:ind w:right="20" w:firstLine="1944"/>
        <w:spacing w:after="0" w:line="245" w:lineRule="auto"/>
        <w:rPr>
          <w:sz w:val="20"/>
          <w:szCs w:val="20"/>
          <w:color w:val="auto"/>
        </w:rPr>
      </w:pPr>
      <w:r>
        <w:rPr>
          <w:rFonts w:ascii="Times New Roman" w:cs="Times New Roman" w:eastAsia="Times New Roman" w:hAnsi="Times New Roman"/>
          <w:sz w:val="22"/>
          <w:szCs w:val="22"/>
          <w:color w:val="auto"/>
        </w:rPr>
        <w:t>shall be deemed, in each case, to constitute an Incurrence of such Indebtedness by Holdings or such Restricted Subsidiary, as the case may be;</w:t>
      </w:r>
    </w:p>
    <w:p>
      <w:pPr>
        <w:spacing w:after="0" w:line="168" w:lineRule="exact"/>
        <w:rPr>
          <w:sz w:val="20"/>
          <w:szCs w:val="20"/>
          <w:color w:val="auto"/>
        </w:rPr>
      </w:pPr>
    </w:p>
    <w:p>
      <w:pPr>
        <w:jc w:val="both"/>
        <w:ind w:left="1960" w:firstLine="640"/>
        <w:spacing w:after="0" w:line="241" w:lineRule="auto"/>
        <w:tabs>
          <w:tab w:leader="none" w:pos="3172"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represented by (i) any Indebtedness outstanding on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Indebtedness in a principal amount in excess of $3.0 million is set forth on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 xml:space="preserve"> to the Closing Date Certificate, (ii) Refinancing Indebtedness Incurred in respect of any Indebtedness described in clause (iv)(i) and (iii) Management Advances;</w:t>
      </w:r>
    </w:p>
    <w:p>
      <w:pPr>
        <w:spacing w:after="0" w:line="175"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10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(x) the Borrower or any Restricted Subsidiary incurred or issued to finance a Permitted Investment or (y) Persons that are acquired by Holdings or any Restricted Subsidiary in accordance with the terms of this Agreement or merged into, amalgamated or consolidated with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084" w:right="339" w:bottom="1440" w:gutter="0" w:footer="0" w:header="0"/>
        </w:sectPr>
      </w:pPr>
    </w:p>
    <w:bookmarkStart w:id="247" w:name="page248"/>
    <w:bookmarkEnd w:id="247"/>
    <w:p>
      <w:pPr>
        <w:jc w:val="both"/>
        <w:ind w:left="1960"/>
        <w:spacing w:after="0" w:line="244" w:lineRule="auto"/>
        <w:rPr>
          <w:sz w:val="20"/>
          <w:szCs w:val="20"/>
          <w:color w:val="auto"/>
        </w:rPr>
      </w:pPr>
      <w:r>
        <w:rPr>
          <w:rFonts w:ascii="Times New Roman" w:cs="Times New Roman" w:eastAsia="Times New Roman" w:hAnsi="Times New Roman"/>
          <w:sz w:val="22"/>
          <w:szCs w:val="22"/>
          <w:color w:val="auto"/>
        </w:rPr>
        <w:t xml:space="preserve">Borrower or a Restricted Subsidiary in accordance with the terms of the this Agreement (including designating an Unrestricted Subsidiary as a Restricted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after giving pro forma effect to such acquisition, merger, amalgamation or consolidation, either:</w:t>
      </w:r>
    </w:p>
    <w:p>
      <w:pPr>
        <w:spacing w:after="0" w:line="173" w:lineRule="exact"/>
        <w:rPr>
          <w:sz w:val="20"/>
          <w:szCs w:val="20"/>
          <w:color w:val="auto"/>
        </w:rPr>
      </w:pPr>
    </w:p>
    <w:p>
      <w:pPr>
        <w:ind w:left="2300" w:hanging="348"/>
        <w:spacing w:after="0"/>
        <w:tabs>
          <w:tab w:leader="none" w:pos="2300"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would be permitted to incur such Indebtedness pursuant to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394" w:val="left"/>
        </w:tabs>
        <w:numPr>
          <w:ilvl w:val="1"/>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Indebtedness constitutes Acquired Indebtedness (other than Indebtedness incurred in contemplation of the transaction or series of related transactions pursuant to which such Person became a Restricted Subsidiary or was otherwise acquired by Holdings or a Restricted Subsidiary), and after giving pro forma effect to such Acquired Indebtedness,</w:t>
      </w:r>
    </w:p>
    <w:p>
      <w:pPr>
        <w:spacing w:after="0" w:line="2" w:lineRule="exact"/>
        <w:rPr>
          <w:rFonts w:ascii="Times New Roman" w:cs="Times New Roman" w:eastAsia="Times New Roman" w:hAnsi="Times New Roman"/>
          <w:sz w:val="21"/>
          <w:szCs w:val="21"/>
          <w:color w:val="auto"/>
        </w:rPr>
      </w:pPr>
    </w:p>
    <w:p>
      <w:pPr>
        <w:jc w:val="both"/>
        <w:ind w:firstLine="8"/>
        <w:spacing w:after="0" w:line="243" w:lineRule="auto"/>
        <w:tabs>
          <w:tab w:leader="none" w:pos="362"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Indebtedness is secured by a Lien on the Collateral that is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Liens securing the Initial Term Loans, the Consolidated First Lien Secured Leverage Ratio for the most recently ended Test Period does not exceed the Consolidated First Lien Secured Leverage Ratio immediately prior to the acquisition of such Acquired Indebtedness, (B) if such Indebtedness is secured by a Lien on the Collateral that is junior to the Liens securing the Initial Term Loans, the Consolidated Total Senior Secured Leverage Ratio for the most recently ended Test Period does not exceed the Consolidated Total Senior Secured Leverage Ratio immediately prior to the acquisition of such Acquired Indebtedness or (C) if such Indebtedness is secured by assets not constituting Collateral or is unsecured, Consolidated Total Leverage Ratio for the most recently ended Test Period does not exceed the Consolidated Total Leverage Ratio immediately prior to the acquisition of such Acquired Indebtedness;</w:t>
      </w:r>
    </w:p>
    <w:p>
      <w:pPr>
        <w:spacing w:after="0" w:line="180" w:lineRule="exact"/>
        <w:rPr>
          <w:sz w:val="20"/>
          <w:szCs w:val="20"/>
          <w:color w:val="auto"/>
        </w:rPr>
      </w:pPr>
    </w:p>
    <w:p>
      <w:pPr>
        <w:ind w:left="2480" w:hanging="528"/>
        <w:spacing w:after="0"/>
        <w:tabs>
          <w:tab w:leader="none" w:pos="248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Obligations (excluding Hedging Obligations entered into for speculative purposes);</w:t>
      </w:r>
    </w:p>
    <w:p>
      <w:pPr>
        <w:spacing w:after="0" w:line="206" w:lineRule="exact"/>
        <w:rPr>
          <w:rFonts w:ascii="Times New Roman" w:cs="Times New Roman" w:eastAsia="Times New Roman" w:hAnsi="Times New Roman"/>
          <w:sz w:val="22"/>
          <w:szCs w:val="22"/>
          <w:color w:val="auto"/>
        </w:rPr>
      </w:pPr>
    </w:p>
    <w:p>
      <w:pPr>
        <w:jc w:val="both"/>
        <w:ind w:left="1960" w:hanging="8"/>
        <w:spacing w:after="0" w:line="244" w:lineRule="auto"/>
        <w:tabs>
          <w:tab w:leader="none" w:pos="2764"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incurrence of (i) Indebtedness (including Indebtedness represented by Capitalized Lease Obligations or Purchase Money Obligations) Incurred to finance the purchase, lease, expansion, construction, installation, replacement, repair or improvement of property (real or personal), equipment or other assets, whether through the direct purchase of assets or the Capital Stock of any Person owning such assets in an aggregate outstanding principal amount which, when taken together with the principal amount of all other Indebtedness Incurred pursuant to this subclause (i) and then outstanding, does not exceed the greater of (x) $54.0 million and (y) 25.0% of LTM EBITDA at the time of Incurrence and any Refinancing Indebtedness in respect thereof and (ii) arising out of Sale and Leaseback Transactions in an aggregate outstanding principal amount, which does not exceed the greater of (a) $54.0 million and (b) 25.0 % of LTM EBITDA at the time of incurrence, and any Refinancing Indebtedness in respect thereof;</w:t>
      </w:r>
    </w:p>
    <w:p>
      <w:pPr>
        <w:spacing w:after="0" w:line="177" w:lineRule="exact"/>
        <w:rPr>
          <w:rFonts w:ascii="Times New Roman" w:cs="Times New Roman" w:eastAsia="Times New Roman" w:hAnsi="Times New Roman"/>
          <w:sz w:val="21"/>
          <w:szCs w:val="21"/>
          <w:color w:val="auto"/>
        </w:rPr>
      </w:pPr>
    </w:p>
    <w:p>
      <w:pPr>
        <w:jc w:val="both"/>
        <w:ind w:left="1960" w:hanging="8"/>
        <w:spacing w:after="0" w:line="232" w:lineRule="auto"/>
        <w:tabs>
          <w:tab w:leader="none" w:pos="2672"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and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084" w:right="339" w:bottom="1440" w:gutter="0" w:footer="0" w:header="0"/>
        </w:sectPr>
      </w:pPr>
    </w:p>
    <w:bookmarkStart w:id="248" w:name="page249"/>
    <w:bookmarkEnd w:id="248"/>
    <w:p>
      <w:pPr>
        <w:jc w:val="both"/>
        <w:ind w:left="840"/>
        <w:spacing w:after="0" w:line="238" w:lineRule="auto"/>
        <w:rPr>
          <w:sz w:val="20"/>
          <w:szCs w:val="20"/>
          <w:color w:val="auto"/>
        </w:rPr>
      </w:pPr>
      <w:r>
        <w:rPr>
          <w:rFonts w:ascii="Times New Roman" w:cs="Times New Roman" w:eastAsia="Times New Roman" w:hAnsi="Times New Roman"/>
          <w:sz w:val="22"/>
          <w:szCs w:val="22"/>
          <w:color w:val="auto"/>
        </w:rPr>
        <w:t>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Cash Management Obligations and (vi) Settlement Indebtedness;</w:t>
      </w:r>
    </w:p>
    <w:p>
      <w:pPr>
        <w:spacing w:after="0" w:line="177" w:lineRule="exact"/>
        <w:rPr>
          <w:sz w:val="20"/>
          <w:szCs w:val="20"/>
          <w:color w:val="auto"/>
        </w:rPr>
      </w:pPr>
    </w:p>
    <w:p>
      <w:pPr>
        <w:jc w:val="both"/>
        <w:ind w:left="840" w:hanging="8"/>
        <w:spacing w:after="0" w:line="234" w:lineRule="auto"/>
        <w:tabs>
          <w:tab w:leader="none" w:pos="153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w:t>
      </w:r>
    </w:p>
    <w:p>
      <w:pPr>
        <w:spacing w:after="0" w:line="180" w:lineRule="exact"/>
        <w:rPr>
          <w:rFonts w:ascii="Times New Roman" w:cs="Times New Roman" w:eastAsia="Times New Roman" w:hAnsi="Times New Roman"/>
          <w:sz w:val="22"/>
          <w:szCs w:val="22"/>
          <w:color w:val="auto"/>
        </w:rPr>
      </w:pPr>
    </w:p>
    <w:p>
      <w:pPr>
        <w:jc w:val="both"/>
        <w:ind w:left="840" w:hanging="8"/>
        <w:spacing w:after="0" w:line="232" w:lineRule="auto"/>
        <w:tabs>
          <w:tab w:leader="none" w:pos="140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Indebtedness in an aggregate outstanding principal amount which, when taken together with the principal amount of all other Indebtedness Incurred pursuant to this clause (x) and then outstanding, will not exceed 100.0% of the Net Cash Proceeds received by Holdings from the issuance or sale (other than to a Restricted Subsidiary) of its Capital Stock or otherwise contributed to the equity (in each case, other than through the issuance of Disqualified Stock, Designated Preferred Stock or an Excluded Contribution or Cure Amount) of Holdings, in each case, subsequent to the Closing Date, and any Refinancing Indebtedness in respect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any such Net Cash Proceeds that are so received or contributed shall not increase the amount available for making Restricted Payments to the extent Holdings and its Restricted Subsidiaries Incur Indebtedness in reliance thereon and (ii) any Net Cash Proceeds that are so received or contributed shall be excluded for purposes of Incurring Indebtedness pursuant to this clause (x) to the extent such Net Cash Proceeds or cash have been applied to make Restricted Payments;</w:t>
      </w:r>
    </w:p>
    <w:p>
      <w:pPr>
        <w:spacing w:after="0" w:line="183" w:lineRule="exact"/>
        <w:rPr>
          <w:rFonts w:ascii="Times New Roman" w:cs="Times New Roman" w:eastAsia="Times New Roman" w:hAnsi="Times New Roman"/>
          <w:sz w:val="20"/>
          <w:szCs w:val="20"/>
          <w:color w:val="auto"/>
        </w:rPr>
      </w:pPr>
    </w:p>
    <w:p>
      <w:pPr>
        <w:jc w:val="both"/>
        <w:ind w:left="840" w:hanging="8"/>
        <w:spacing w:after="0" w:line="244" w:lineRule="auto"/>
        <w:tabs>
          <w:tab w:leader="none" w:pos="1392"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Non-Loan Parties and joint ventures in an aggregate principal amount not to exceed the greater of (i) $96.0 million and (ii) 45.0% of LTM EBITDA at the time of incurrence, and any Refinancing Indebtedness in respect thereof;</w:t>
      </w:r>
    </w:p>
    <w:p>
      <w:pPr>
        <w:spacing w:after="0" w:line="173" w:lineRule="exact"/>
        <w:rPr>
          <w:rFonts w:ascii="Times New Roman" w:cs="Times New Roman" w:eastAsia="Times New Roman" w:hAnsi="Times New Roman"/>
          <w:sz w:val="22"/>
          <w:szCs w:val="22"/>
          <w:color w:val="auto"/>
        </w:rPr>
      </w:pPr>
    </w:p>
    <w:p>
      <w:pPr>
        <w:jc w:val="both"/>
        <w:ind w:left="840" w:hanging="8"/>
        <w:spacing w:after="0" w:line="233" w:lineRule="auto"/>
        <w:tabs>
          <w:tab w:leader="none" w:pos="155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issued by Borrower or any of its Subsidiaries to any future, present or former employee, director, officer, manager, contractor, consultant or advisor (or their respective Controlled Investment Affiliates or Immediate Family Members) of Holdings, any of its Subsidiaries or any Parent Entity (or permitted transferees, assigns, estates, or heirs of such employee, director, contractor or consultant), in each case to finance the purchase or redemption of Capital Stock of Holdings or any Parent Entity that is permitted by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hereof and (ii)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p>
    <w:p>
      <w:pPr>
        <w:spacing w:after="0" w:line="179" w:lineRule="exact"/>
        <w:rPr>
          <w:rFonts w:ascii="Times New Roman" w:cs="Times New Roman" w:eastAsia="Times New Roman" w:hAnsi="Times New Roman"/>
          <w:sz w:val="22"/>
          <w:szCs w:val="22"/>
          <w:color w:val="auto"/>
        </w:rPr>
      </w:pPr>
    </w:p>
    <w:p>
      <w:pPr>
        <w:ind w:left="840" w:right="20" w:hanging="8"/>
        <w:spacing w:after="0" w:line="258" w:lineRule="auto"/>
        <w:tabs>
          <w:tab w:leader="none" w:pos="156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or any of the Restricted Subsidiaries consisting of (i) the financing of insurance premiums or (ii) take-or-pay obligations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0120"/>
          </w:cols>
          <w:pgMar w:left="1440" w:top="1084" w:right="339" w:bottom="1440" w:gutter="0" w:footer="0" w:header="0"/>
        </w:sectPr>
      </w:pPr>
    </w:p>
    <w:bookmarkStart w:id="249" w:name="page250"/>
    <w:bookmarkEnd w:id="249"/>
    <w:p>
      <w:pPr>
        <w:ind w:left="840"/>
        <w:spacing w:after="0" w:line="258" w:lineRule="auto"/>
        <w:rPr>
          <w:sz w:val="20"/>
          <w:szCs w:val="20"/>
          <w:color w:val="auto"/>
        </w:rPr>
      </w:pPr>
      <w:r>
        <w:rPr>
          <w:rFonts w:ascii="Times New Roman" w:cs="Times New Roman" w:eastAsia="Times New Roman" w:hAnsi="Times New Roman"/>
          <w:sz w:val="22"/>
          <w:szCs w:val="22"/>
          <w:color w:val="auto"/>
        </w:rPr>
        <w:t>contained in supply arrangements, in each case Incurred in the ordinary course of business or consistent with past practice;</w:t>
      </w:r>
    </w:p>
    <w:p>
      <w:pPr>
        <w:spacing w:after="0" w:line="158" w:lineRule="exact"/>
        <w:rPr>
          <w:sz w:val="20"/>
          <w:szCs w:val="20"/>
          <w:color w:val="auto"/>
        </w:rPr>
      </w:pPr>
    </w:p>
    <w:p>
      <w:pPr>
        <w:jc w:val="both"/>
        <w:ind w:left="840" w:hanging="8"/>
        <w:spacing w:after="0" w:line="235" w:lineRule="auto"/>
        <w:tabs>
          <w:tab w:leader="none" w:pos="1517"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Indebtedness in an aggregate outstanding principal amount which, when taken together with the principal amount of all other Indebtedness Incurred pursuant to this clause (xiv) and then outstanding, will not exceed the greater of (a) $96.0 million and (b) 45.0% of LTM EBITDA and, any Refinancing Indebtedness in respect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if secured by a Lien on the Collateral, Indebtedness incurred pursuant to </w:t>
      </w:r>
      <w:r>
        <w:rPr>
          <w:rFonts w:ascii="Times New Roman" w:cs="Times New Roman" w:eastAsia="Times New Roman" w:hAnsi="Times New Roman"/>
          <w:sz w:val="22"/>
          <w:szCs w:val="22"/>
          <w:u w:val="single" w:color="auto"/>
          <w:color w:val="auto"/>
        </w:rPr>
        <w:t>clause (xiv)</w:t>
      </w:r>
      <w:r>
        <w:rPr>
          <w:rFonts w:ascii="Times New Roman" w:cs="Times New Roman" w:eastAsia="Times New Roman" w:hAnsi="Times New Roman"/>
          <w:sz w:val="22"/>
          <w:szCs w:val="22"/>
          <w:color w:val="auto"/>
        </w:rPr>
        <w:t xml:space="preserve"> shall be secured on a junior basis to the Liens on securing the Facilities;</w:t>
      </w:r>
    </w:p>
    <w:p>
      <w:pPr>
        <w:spacing w:after="0" w:line="178" w:lineRule="exact"/>
        <w:rPr>
          <w:rFonts w:ascii="Times New Roman" w:cs="Times New Roman" w:eastAsia="Times New Roman" w:hAnsi="Times New Roman"/>
          <w:sz w:val="20"/>
          <w:szCs w:val="20"/>
          <w:color w:val="auto"/>
        </w:rPr>
      </w:pPr>
    </w:p>
    <w:p>
      <w:pPr>
        <w:ind w:left="1400" w:hanging="568"/>
        <w:spacing w:after="0"/>
        <w:tabs>
          <w:tab w:leader="none" w:pos="140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any Qualified Securitization Financing or any Receivables Facility;</w:t>
      </w:r>
    </w:p>
    <w:p>
      <w:pPr>
        <w:spacing w:after="0" w:line="206"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68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or guaranty of any obligation, of Borrower or any Restricted Subsidiary to reimburse or indemnify a Person extending credit to customers of Holdings or a Restricted Subsidiary incurred in the ordinary course of business or consistent with past practice for all or any portion of the amounts payable by such customers to the Person extending such credit;</w:t>
      </w:r>
    </w:p>
    <w:p>
      <w:pPr>
        <w:spacing w:after="0" w:line="180" w:lineRule="exact"/>
        <w:rPr>
          <w:rFonts w:ascii="Times New Roman" w:cs="Times New Roman" w:eastAsia="Times New Roman" w:hAnsi="Times New Roman"/>
          <w:sz w:val="22"/>
          <w:szCs w:val="22"/>
          <w:color w:val="auto"/>
        </w:rPr>
      </w:pPr>
    </w:p>
    <w:p>
      <w:pPr>
        <w:jc w:val="both"/>
        <w:ind w:left="840" w:hanging="8"/>
        <w:spacing w:after="0" w:line="234" w:lineRule="auto"/>
        <w:tabs>
          <w:tab w:leader="none" w:pos="167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to a customer to finance the acquisition of any equipment necessary to perform services for such customer;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terms of such Indebtedness are consistent with those entered into with respect to similar Indebtedness prior to the Closing Date, including, if so consistent, that (1) the repayment of such Indebtedness is conditional upon such customer ordering a specific amount of goods or services and (2) such Indebtedness does not bear interest or provide for scheduled amortization or maturity;</w:t>
      </w:r>
    </w:p>
    <w:p>
      <w:pPr>
        <w:spacing w:after="0" w:line="180"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637"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or any of the Restricted Subsidiaries arising pursuant to any Permitted Intercompany Activities, Permitted IPO Reorganization and Permitted Tax Restructuring or related transaction;</w:t>
      </w:r>
    </w:p>
    <w:p>
      <w:pPr>
        <w:spacing w:after="0" w:line="173"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840" w:hanging="8"/>
        <w:spacing w:after="0" w:line="232" w:lineRule="auto"/>
        <w:tabs>
          <w:tab w:leader="none" w:pos="167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(in the form of senior secured, senior unsecured, senior subordinated, or subordinated notes (issued in a public offering, Rule 144A offering or other private placement or a bridge financing in lieu of the foregoing) or loans) (such Indebtedness incurred pursuant to this </w:t>
      </w:r>
      <w:r>
        <w:rPr>
          <w:rFonts w:ascii="Times New Roman" w:cs="Times New Roman" w:eastAsia="Times New Roman" w:hAnsi="Times New Roman"/>
          <w:sz w:val="22"/>
          <w:szCs w:val="22"/>
          <w:u w:val="single" w:color="auto"/>
          <w:color w:val="auto"/>
        </w:rPr>
        <w:t>clause (xx)</w:t>
      </w:r>
      <w:r>
        <w:rPr>
          <w:rFonts w:ascii="Times New Roman" w:cs="Times New Roman" w:eastAsia="Times New Roman" w:hAnsi="Times New Roman"/>
          <w:sz w:val="22"/>
          <w:szCs w:val="22"/>
          <w:color w:val="auto"/>
        </w:rPr>
        <w:t xml:space="preserve"> being referred to as “</w:t>
      </w:r>
      <w:r>
        <w:rPr>
          <w:rFonts w:ascii="Times New Roman" w:cs="Times New Roman" w:eastAsia="Times New Roman" w:hAnsi="Times New Roman"/>
          <w:sz w:val="22"/>
          <w:szCs w:val="22"/>
          <w:u w:val="single" w:color="auto"/>
          <w:color w:val="auto"/>
        </w:rPr>
        <w:t>Permitted Alternative Incremental Facilities Debt</w:t>
      </w:r>
      <w:r>
        <w:rPr>
          <w:rFonts w:ascii="Times New Roman" w:cs="Times New Roman" w:eastAsia="Times New Roman" w:hAnsi="Times New Roman"/>
          <w:sz w:val="22"/>
          <w:szCs w:val="22"/>
          <w:color w:val="auto"/>
        </w:rPr>
        <w:t xml:space="preserve">”) incurred by Borrower or any Restricted Subsidiary to the extent that the Borrower could establish such Permitted Alternative Incremental Facilities Debt under the Unrestricted Incremental Amount or satisfy the Incremental Incurrence Test were such Permitted Alternative Incremental Facilities Debt an Incremental Facility, and such Indebtedness shall be deemed to be incurred in reliance on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solely to the extent incurred in reliance on the Unrestricted Incremental Amount, result in a dollar-for-dollar reduction of the amount of Indebtedness that may be incurred under the Unrestricted Incremental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upon the effectiveness of such Indebtedness, except in connection with a Limited Condition Transaction (in which case no Specified Default shall have occurred and is continuing or would result therefrom), no Default or Event of Default has occurred and is continuing or shall result therefrom (or, in the case of incurrences in connection with a Permitted Investment or other Investment not prohibited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0120"/>
          </w:cols>
          <w:pgMar w:left="1440" w:top="1084" w:right="339" w:bottom="1440" w:gutter="0" w:footer="0" w:header="0"/>
        </w:sectPr>
      </w:pPr>
    </w:p>
    <w:bookmarkStart w:id="250" w:name="page251"/>
    <w:bookmarkEnd w:id="250"/>
    <w:p>
      <w:pPr>
        <w:jc w:val="both"/>
        <w:ind w:left="840"/>
        <w:spacing w:after="0" w:line="236" w:lineRule="auto"/>
        <w:rPr>
          <w:sz w:val="20"/>
          <w:szCs w:val="20"/>
          <w:color w:val="auto"/>
        </w:rPr>
      </w:pPr>
      <w:r>
        <w:rPr>
          <w:rFonts w:ascii="Times New Roman" w:cs="Times New Roman" w:eastAsia="Times New Roman" w:hAnsi="Times New Roman"/>
          <w:sz w:val="22"/>
          <w:szCs w:val="22"/>
          <w:color w:val="auto"/>
        </w:rPr>
        <w:t>hereunder, no Specified Default shall have occurred and is continuing or would result therefrom), (B) such Indebtedness shall not mature earlier than the Maturity Date applicable to the Initial Term Loans, (C) as of the date of the incurrence of such Indebtedness, the Weighted Average Life to Maturity of such Indebtedness shall not be shorter than that of the Term Loans (without giving effect to any prepayments),</w:t>
      </w:r>
    </w:p>
    <w:p>
      <w:pPr>
        <w:spacing w:after="0" w:line="1" w:lineRule="exact"/>
        <w:rPr>
          <w:sz w:val="20"/>
          <w:szCs w:val="20"/>
          <w:color w:val="auto"/>
        </w:rPr>
      </w:pPr>
    </w:p>
    <w:p>
      <w:pPr>
        <w:jc w:val="both"/>
        <w:ind w:left="840" w:hanging="8"/>
        <w:spacing w:after="0" w:line="229" w:lineRule="auto"/>
        <w:tabs>
          <w:tab w:leader="none" w:pos="121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Subsidiary is an obligor with respect to such Indebtedness unless such Subsidiary is a Loan Party which shall have previously or substantially concurrently guaranteed the Secured Obligations, (E) the other terms and conditions of such Indebtedness (excluding pricing, interest rate margins, rate floors, discounts, premiums, fees and prepayment or redemption terms and provisions, which shall be determined by the Borrower) either, at the option of the Borrower, (x) reflect market terms and conditions (taken as a whole) on the date of incurrence, issuance or effectiveness of such Indebtedness (as determined by the Borrower in good faith) or are reasonably acceptable to the Administrative Agent or (y) are not materially more restrictive of Holdings and its Restricted Subsidiaries (when taken as a whole) than the terms and conditions of this Agreement (when taken as a whole) (except, in the case of either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for covenants or other provisions applicable only to periods after the Maturity Date applicable to the Initial Term Loans) (it being understood that (A) to the extent that any financial maintenance covenant is added for the benefit of any such Indebtedness, the terms and conditions of such Indebtedness shall be deemed not to be more restrictive than the terms and conditions of this Agreement if such financial maintenance covenant is also added for the benefit of all Facilities hereunder, and (B) no consent shall be required from the Administrative Agent for terms or conditions that are not market terms or are more restrictive than this Agreement if such terms are added to this Agreement), (F) such Indebtedness shall not be secured by any assets that are not Collateral and shall be subject to a Customary Intercreditor Agreement (which, to the extent such Indebtedness is funded into escrow, may be effective (or entered into) only immediately after the proceeds thereof are released from such escrow), (G) if such Indebtedness is in the form of MFN Qualifying Term Loans, then the MFN Adjustment shall be made to the Initial Term Loans to the extent otherwise required under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xml:space="preserve"> (other than to the extent such Indebtedness constitutes a customary bridge facility, so long as the long-term Indebtedness into which such customary bridge facility is to be converted or exchanged would not otherwise be subject to the MFN Adjustments) and (H) any Indebtedness incurred pursuant to this </w:t>
      </w:r>
      <w:r>
        <w:rPr>
          <w:rFonts w:ascii="Times New Roman" w:cs="Times New Roman" w:eastAsia="Times New Roman" w:hAnsi="Times New Roman"/>
          <w:sz w:val="22"/>
          <w:szCs w:val="22"/>
          <w:u w:val="single" w:color="auto"/>
          <w:color w:val="auto"/>
        </w:rPr>
        <w:t>clause (xx)(i)</w:t>
      </w:r>
      <w:r>
        <w:rPr>
          <w:rFonts w:ascii="Times New Roman" w:cs="Times New Roman" w:eastAsia="Times New Roman" w:hAnsi="Times New Roman"/>
          <w:sz w:val="22"/>
          <w:szCs w:val="22"/>
          <w:color w:val="auto"/>
        </w:rPr>
        <w:t xml:space="preserve"> in the form of notes shall not have any mandatory prepayment or redemption features (other than customary asset sale events, insurance and condemnation proceeds events, change of control offers or events of default and, if applicable, AHYDO Catch-Up Payments) that could result in prepayments or redemptions of such Indebtedness prior to the Maturity Date applicable to the Initial Term Loans and (ii) any Refinancing Indebtedness incurred under the foregoing </w:t>
      </w:r>
      <w:r>
        <w:rPr>
          <w:rFonts w:ascii="Times New Roman" w:cs="Times New Roman" w:eastAsia="Times New Roman" w:hAnsi="Times New Roman"/>
          <w:sz w:val="22"/>
          <w:szCs w:val="22"/>
          <w:u w:val="single" w:color="auto"/>
          <w:color w:val="auto"/>
        </w:rPr>
        <w:t>clause (xx)(i)</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840" w:hanging="8"/>
        <w:spacing w:after="0" w:line="258" w:lineRule="auto"/>
        <w:tabs>
          <w:tab w:leader="none" w:pos="159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paper or other indebtedness incurred to finance the payment of earn-out obligations with respect to Permitted Investments;</w:t>
      </w:r>
    </w:p>
    <w:p>
      <w:pPr>
        <w:spacing w:after="0" w:line="158" w:lineRule="exact"/>
        <w:rPr>
          <w:rFonts w:ascii="Times New Roman" w:cs="Times New Roman" w:eastAsia="Times New Roman" w:hAnsi="Times New Roman"/>
          <w:sz w:val="22"/>
          <w:szCs w:val="22"/>
          <w:color w:val="auto"/>
        </w:rPr>
      </w:pPr>
    </w:p>
    <w:p>
      <w:pPr>
        <w:ind w:left="840" w:hanging="8"/>
        <w:spacing w:after="0" w:line="258" w:lineRule="auto"/>
        <w:tabs>
          <w:tab w:leader="none" w:pos="1595"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letters of credit in an amount not to exceed the greater of (a) $25 million and (b) 10.0% of LTM EBITDA at any one time outstanding; and</w:t>
      </w:r>
    </w:p>
    <w:p>
      <w:pPr>
        <w:spacing w:after="0" w:line="158" w:lineRule="exact"/>
        <w:rPr>
          <w:rFonts w:ascii="Times New Roman" w:cs="Times New Roman" w:eastAsia="Times New Roman" w:hAnsi="Times New Roman"/>
          <w:sz w:val="22"/>
          <w:szCs w:val="22"/>
          <w:color w:val="auto"/>
        </w:rPr>
      </w:pPr>
    </w:p>
    <w:p>
      <w:pPr>
        <w:ind w:left="840" w:hanging="8"/>
        <w:spacing w:after="0" w:line="245" w:lineRule="auto"/>
        <w:tabs>
          <w:tab w:leader="none" w:pos="1642"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Disqualified Stock so long as on a pro forma basis the Interest Coverage Ratio is greater than or equal to 2.00 to 1.00.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1">
            <w:col w:w="10120"/>
          </w:cols>
          <w:pgMar w:left="1440" w:top="1084" w:right="339" w:bottom="1440" w:gutter="0" w:footer="0" w:header="0"/>
        </w:sectPr>
      </w:pPr>
    </w:p>
    <w:bookmarkStart w:id="251" w:name="page252"/>
    <w:bookmarkEnd w:id="251"/>
    <w:p>
      <w:pPr>
        <w:ind w:left="-460" w:firstLine="1292"/>
        <w:spacing w:after="0" w:line="258" w:lineRule="auto"/>
        <w:tabs>
          <w:tab w:leader="none" w:pos="1143"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and the outstanding principal amount of any particular Indebtedness Incurred pursuant to and in compliance with,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840" w:firstLine="640"/>
        <w:spacing w:after="0" w:line="235" w:lineRule="auto"/>
        <w:tabs>
          <w:tab w:leader="none" w:pos="193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all or any portion of any item of Indebtedness meets the criteria of more than one of the types of Indebtedness described in </w:t>
      </w:r>
      <w:r>
        <w:rPr>
          <w:rFonts w:ascii="Times New Roman" w:cs="Times New Roman" w:eastAsia="Times New Roman" w:hAnsi="Times New Roman"/>
          <w:sz w:val="22"/>
          <w:szCs w:val="22"/>
          <w:u w:val="single" w:color="auto"/>
          <w:color w:val="auto"/>
        </w:rPr>
        <w:t>Sections 7.03(a)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the Borrower, in its sole discretion, will classify, and may from time to time reclassify, such item of Indebtedness (or any portion thereof) and only be required to include the amount and type of such Indebtedness in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or in one of the clauses of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840" w:firstLine="640"/>
        <w:spacing w:after="0" w:line="235" w:lineRule="auto"/>
        <w:tabs>
          <w:tab w:leader="none" w:pos="197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additionally, all or any portion of any item of Indebtedness may later be reclassified as having been Incurred pursuant to any type of Indebtedness described in </w:t>
      </w:r>
      <w:r>
        <w:rPr>
          <w:rFonts w:ascii="Times New Roman" w:cs="Times New Roman" w:eastAsia="Times New Roman" w:hAnsi="Times New Roman"/>
          <w:sz w:val="22"/>
          <w:szCs w:val="22"/>
          <w:u w:val="single" w:color="auto"/>
          <w:color w:val="auto"/>
        </w:rPr>
        <w:t>Sections 7.03(a)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so long as such Indebtedness is permitted to be Incurred pursuant to such provision and any related Liens are permitted to be incurred at the time of reclassification (it being understood that any Indebtedness incurred pursuant to one of the clauses of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 xml:space="preserve"> shall cease to be deemed incurred or outstanding for purposes of such clause but shall be deemed incurred for the purposes of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from and after the first date on which the Borrower or the Restricted Subsidiaries could have incurred such Indebtedness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7.03(a)</w:t>
      </w:r>
      <w:r>
        <w:rPr>
          <w:rFonts w:ascii="Times New Roman" w:cs="Times New Roman" w:eastAsia="Times New Roman" w:hAnsi="Times New Roman"/>
          <w:sz w:val="22"/>
          <w:szCs w:val="22"/>
          <w:color w:val="auto"/>
        </w:rPr>
        <w:t xml:space="preserve"> without reliance on such clause);</w:t>
      </w:r>
    </w:p>
    <w:p>
      <w:pPr>
        <w:spacing w:after="0" w:line="178" w:lineRule="exact"/>
        <w:rPr>
          <w:rFonts w:ascii="Times New Roman" w:cs="Times New Roman" w:eastAsia="Times New Roman" w:hAnsi="Times New Roman"/>
          <w:sz w:val="22"/>
          <w:szCs w:val="22"/>
          <w:color w:val="auto"/>
        </w:rPr>
      </w:pPr>
    </w:p>
    <w:p>
      <w:pPr>
        <w:jc w:val="both"/>
        <w:ind w:left="840" w:firstLine="640"/>
        <w:spacing w:after="0" w:line="238" w:lineRule="auto"/>
        <w:tabs>
          <w:tab w:leader="none" w:pos="206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Indebtedness under this Agreement shall be deemed to have been incurred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7.03(b)(i)</w:t>
      </w:r>
      <w:r>
        <w:rPr>
          <w:rFonts w:ascii="Times New Roman" w:cs="Times New Roman" w:eastAsia="Times New Roman" w:hAnsi="Times New Roman"/>
          <w:sz w:val="22"/>
          <w:szCs w:val="22"/>
          <w:color w:val="auto"/>
        </w:rPr>
        <w:t xml:space="preserve"> and such Indebtedness shall at all times be deemed incurred under such clause and shall not be reclassified;</w:t>
      </w:r>
    </w:p>
    <w:p>
      <w:pPr>
        <w:spacing w:after="0" w:line="178" w:lineRule="exact"/>
        <w:rPr>
          <w:rFonts w:ascii="Times New Roman" w:cs="Times New Roman" w:eastAsia="Times New Roman" w:hAnsi="Times New Roman"/>
          <w:sz w:val="22"/>
          <w:szCs w:val="22"/>
          <w:color w:val="auto"/>
        </w:rPr>
      </w:pPr>
    </w:p>
    <w:p>
      <w:pPr>
        <w:jc w:val="both"/>
        <w:ind w:left="840" w:firstLine="640"/>
        <w:spacing w:after="0" w:line="238" w:lineRule="auto"/>
        <w:tabs>
          <w:tab w:leader="none" w:pos="2019"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176" w:lineRule="exact"/>
        <w:rPr>
          <w:rFonts w:ascii="Times New Roman" w:cs="Times New Roman" w:eastAsia="Times New Roman" w:hAnsi="Times New Roman"/>
          <w:sz w:val="22"/>
          <w:szCs w:val="22"/>
          <w:color w:val="auto"/>
        </w:rPr>
      </w:pPr>
    </w:p>
    <w:p>
      <w:pPr>
        <w:jc w:val="both"/>
        <w:ind w:left="840" w:firstLine="640"/>
        <w:spacing w:after="0" w:line="244" w:lineRule="auto"/>
        <w:tabs>
          <w:tab w:leader="none" w:pos="2077"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173"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92" w:lineRule="exact"/>
        <w:rPr>
          <w:rFonts w:ascii="Times New Roman" w:cs="Times New Roman" w:eastAsia="Times New Roman" w:hAnsi="Times New Roman"/>
          <w:sz w:val="22"/>
          <w:szCs w:val="22"/>
          <w:color w:val="auto"/>
        </w:rPr>
      </w:pPr>
    </w:p>
    <w:p>
      <w:pPr>
        <w:jc w:val="both"/>
        <w:ind w:left="840" w:firstLine="640"/>
        <w:spacing w:after="0" w:line="239" w:lineRule="auto"/>
        <w:tabs>
          <w:tab w:leader="none" w:pos="2149"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any Disqualified Stock of Borrower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180" w:lineRule="exact"/>
        <w:rPr>
          <w:rFonts w:ascii="Times New Roman" w:cs="Times New Roman" w:eastAsia="Times New Roman" w:hAnsi="Times New Roman"/>
          <w:sz w:val="22"/>
          <w:szCs w:val="22"/>
          <w:color w:val="auto"/>
        </w:rPr>
      </w:pPr>
    </w:p>
    <w:p>
      <w:pPr>
        <w:jc w:val="both"/>
        <w:ind w:left="840" w:right="20" w:firstLine="640"/>
        <w:spacing w:after="0" w:line="244" w:lineRule="auto"/>
        <w:tabs>
          <w:tab w:leader="none" w:pos="2217"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permitted by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need not be permitted solely by reference to one provision permitting such Indebtedness but may be permitted in part by one such provision and in part by one or more other provisions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permitting such Indebtedness;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-156-</w:t>
      </w:r>
    </w:p>
    <w:p>
      <w:pPr>
        <w:sectPr>
          <w:pgSz w:w="11900" w:h="16838" w:orient="portrait"/>
          <w:cols w:equalWidth="0" w:num="1">
            <w:col w:w="10120"/>
          </w:cols>
          <w:pgMar w:left="1440" w:top="1084" w:right="339" w:bottom="1440" w:gutter="0" w:footer="0" w:header="0"/>
        </w:sectPr>
      </w:pPr>
    </w:p>
    <w:bookmarkStart w:id="252" w:name="page253"/>
    <w:bookmarkEnd w:id="252"/>
    <w:p>
      <w:pPr>
        <w:jc w:val="both"/>
        <w:ind w:left="840" w:firstLine="640"/>
        <w:spacing w:after="0" w:line="231" w:lineRule="auto"/>
        <w:tabs>
          <w:tab w:leader="none" w:pos="2147"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under this Agreement, including for purposes of calculating the Interest Coverage Ratio, the Consolidated First Lien Secured Leverage Ratio, the Consolidated Total Senior Secured Leverage Ratio or the Consolidated Total Leverage Ratio, as applicable, in connection with the incurrence, issuance or assumption of any Indebtedness pursuant to Sections 7.03(a) or (b) or the incurrence or creation of any Lien pursuant to the definition of “Permitted Liens,” the Borrower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“Reserved Indebtedness Amount”), as being incurred as of such election date, and, if such Interest Coverage Ratio, the Consolidated First Lien Secured Leverage Ratio, the Consolidated Total Leverage Ratio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Section 7.03 or the definition of “Permitted Liens,” as applicable, whether or not the Interest Coverage Ratio, the Consolidated First Lien Secured Leverage Ratio, the Consolidated Total Senior Secured Leverage Ratio, the Consolidated Total Leverage Ratio or other provision of this Agreement, as applicable, at the actual time of any subsequent borrowing or reborrowing (or issuance or creation of letters of credit or bankers’ acceptances thereunder) is complied with (or satisfied) for all purposes (including as to the absence of any continuing Default or Event of Default); provided that for purposes of subsequent calculations of the Interest Coverage Ratio, the Consolidated First Lien Secured Leverage Ratio, the Consolidated Total Senior Secured Leverage Ratio, the Consolidated Total Leverage Ratio or other provision of this Agreement, as applicable, the Reserved Indebtedness Amount shall be deemed to be outstanding, whether or not such amount is actually outstanding, for so long as such commitments are outstanding or until the Borrower revokes an election of a Reserved Indebtedness Amount;</w:t>
      </w:r>
    </w:p>
    <w:p>
      <w:pPr>
        <w:spacing w:after="0" w:line="176" w:lineRule="exact"/>
        <w:rPr>
          <w:rFonts w:ascii="Times New Roman" w:cs="Times New Roman" w:eastAsia="Times New Roman" w:hAnsi="Times New Roman"/>
          <w:sz w:val="22"/>
          <w:szCs w:val="22"/>
          <w:color w:val="auto"/>
        </w:rPr>
      </w:pPr>
    </w:p>
    <w:p>
      <w:pPr>
        <w:ind w:left="1940" w:hanging="460"/>
        <w:spacing w:after="0"/>
        <w:tabs>
          <w:tab w:leader="none" w:pos="194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840" w:firstLine="640"/>
        <w:spacing w:after="0" w:line="244" w:lineRule="auto"/>
        <w:tabs>
          <w:tab w:leader="none" w:pos="2029"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to the contrary, in the case of any Indebtedness incurred to refinance Indebtedness initially incurred in reliance on a clause of </w:t>
      </w:r>
      <w:r>
        <w:rPr>
          <w:rFonts w:ascii="Times New Roman" w:cs="Times New Roman" w:eastAsia="Times New Roman" w:hAnsi="Times New Roman"/>
          <w:sz w:val="21"/>
          <w:szCs w:val="21"/>
          <w:u w:val="single" w:color="auto"/>
          <w:color w:val="auto"/>
        </w:rPr>
        <w:t>Section 7.03(b)</w:t>
      </w:r>
      <w:r>
        <w:rPr>
          <w:rFonts w:ascii="Times New Roman" w:cs="Times New Roman" w:eastAsia="Times New Roman" w:hAnsi="Times New Roman"/>
          <w:sz w:val="21"/>
          <w:szCs w:val="21"/>
          <w:color w:val="auto"/>
        </w:rPr>
        <w:t xml:space="preserve">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179" w:lineRule="exact"/>
        <w:rPr>
          <w:rFonts w:ascii="Times New Roman" w:cs="Times New Roman" w:eastAsia="Times New Roman" w:hAnsi="Times New Roman"/>
          <w:sz w:val="21"/>
          <w:szCs w:val="21"/>
          <w:color w:val="auto"/>
        </w:rPr>
      </w:pPr>
    </w:p>
    <w:p>
      <w:pPr>
        <w:ind w:left="840" w:firstLine="640"/>
        <w:spacing w:after="0" w:line="258" w:lineRule="auto"/>
        <w:tabs>
          <w:tab w:leader="none" w:pos="2147"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Indebtedness issued at a price that is less than the principal amount thereof will be equal to the amount of the liability in respect thereof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-157-</w:t>
      </w:r>
    </w:p>
    <w:p>
      <w:pPr>
        <w:sectPr>
          <w:pgSz w:w="11900" w:h="16838" w:orient="portrait"/>
          <w:cols w:equalWidth="0" w:num="1">
            <w:col w:w="10120"/>
          </w:cols>
          <w:pgMar w:left="1440" w:top="1084" w:right="339" w:bottom="1440" w:gutter="0" w:footer="0" w:header="0"/>
        </w:sectPr>
      </w:pPr>
    </w:p>
    <w:bookmarkStart w:id="253" w:name="page254"/>
    <w:bookmarkEnd w:id="253"/>
    <w:p>
      <w:pPr>
        <w:jc w:val="both"/>
        <w:ind w:firstLine="1304"/>
        <w:spacing w:after="0" w:line="255" w:lineRule="auto"/>
        <w:tabs>
          <w:tab w:leader="none" w:pos="1629"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right="20" w:firstLine="1304"/>
        <w:spacing w:after="0" w:line="255" w:lineRule="auto"/>
        <w:tabs>
          <w:tab w:leader="none" w:pos="1590"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an Unrestricted Subsidiary becomes a Restricted Subsidiary, any Indebtedness of such Subsidiary shall be deemed to be Incurred by a Restricted Subsidiary of the Borrower as of such date (and, if such Indebtedness is not permitted to be Incurred as of such date under this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the Borrower shall be in default of this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1304"/>
        <w:spacing w:after="0" w:line="246" w:lineRule="auto"/>
        <w:tabs>
          <w:tab w:leader="none" w:pos="1593"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157" w:lineRule="exact"/>
        <w:rPr>
          <w:rFonts w:ascii="Times New Roman" w:cs="Times New Roman" w:eastAsia="Times New Roman" w:hAnsi="Times New Roman"/>
          <w:sz w:val="21"/>
          <w:szCs w:val="21"/>
          <w:color w:val="auto"/>
        </w:rPr>
      </w:pPr>
    </w:p>
    <w:p>
      <w:pPr>
        <w:jc w:val="both"/>
        <w:ind w:firstLine="1304"/>
        <w:spacing w:after="0" w:line="236" w:lineRule="auto"/>
        <w:tabs>
          <w:tab w:leader="none" w:pos="1642"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the maximum amount of Indebtedness that the Borrower or a Restricted Subsidiary may Incur pursuant to this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8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15"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Guarantor to Incur any Indebtedness (including Acquired Indebtedness) that is subordinated or junior in right of payment to any Indebtedness of the Borrower or such Guarantor, as the case may be, unless such Indebtedness is expressly subordinated in right of payment to the Secured Obligations or such Guarantor’s Guarantee to the extent and in the same manner as such Indebtedness is subordinated to other Indebtedness of the Borrower or such Guarantor, as the case may be.</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Merger and Consolidation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304"/>
        <w:spacing w:after="0" w:line="258" w:lineRule="auto"/>
        <w:tabs>
          <w:tab w:leader="none" w:pos="159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consolidate with or merge with or into, or convey, transfer or lease all or substantially all its assets to, any Person, unless either:</w:t>
      </w:r>
    </w:p>
    <w:p>
      <w:pPr>
        <w:spacing w:after="0" w:line="158" w:lineRule="exact"/>
        <w:rPr>
          <w:rFonts w:ascii="Times New Roman" w:cs="Times New Roman" w:eastAsia="Times New Roman" w:hAnsi="Times New Roman"/>
          <w:sz w:val="22"/>
          <w:szCs w:val="22"/>
          <w:color w:val="auto"/>
        </w:rPr>
      </w:pPr>
    </w:p>
    <w:p>
      <w:pPr>
        <w:ind w:left="2600" w:hanging="428"/>
        <w:spacing w:after="0"/>
        <w:tabs>
          <w:tab w:leader="none" w:pos="260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Borrower is the surviving Person or</w:t>
      </w:r>
    </w:p>
    <w:p>
      <w:pPr>
        <w:spacing w:after="0" w:line="206" w:lineRule="exact"/>
        <w:rPr>
          <w:rFonts w:ascii="Times New Roman" w:cs="Times New Roman" w:eastAsia="Times New Roman" w:hAnsi="Times New Roman"/>
          <w:sz w:val="20"/>
          <w:szCs w:val="20"/>
          <w:color w:val="auto"/>
        </w:rPr>
      </w:pPr>
    </w:p>
    <w:p>
      <w:pPr>
        <w:ind w:left="2600" w:hanging="483"/>
        <w:spacing w:after="0"/>
        <w:tabs>
          <w:tab w:leader="none" w:pos="260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the Borrower is not the surviving Person,</w:t>
      </w:r>
    </w:p>
    <w:p>
      <w:pPr>
        <w:spacing w:after="0" w:line="206" w:lineRule="exact"/>
        <w:rPr>
          <w:rFonts w:ascii="Times New Roman" w:cs="Times New Roman" w:eastAsia="Times New Roman" w:hAnsi="Times New Roman"/>
          <w:sz w:val="20"/>
          <w:szCs w:val="20"/>
          <w:color w:val="auto"/>
        </w:rPr>
      </w:pPr>
    </w:p>
    <w:p>
      <w:pPr>
        <w:ind w:left="2600" w:firstLine="648"/>
        <w:spacing w:after="0" w:line="258" w:lineRule="auto"/>
        <w:tabs>
          <w:tab w:leader="none" w:pos="3877" w:val="left"/>
        </w:tabs>
        <w:numPr>
          <w:ilvl w:val="2"/>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(the “</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 will be a Person organized or existing under the laws of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1900" w:h="16838" w:orient="portrait"/>
          <w:cols w:equalWidth="0" w:num="1">
            <w:col w:w="11240"/>
          </w:cols>
          <w:pgMar w:left="320" w:top="1084" w:right="339" w:bottom="1440" w:gutter="0" w:footer="0" w:header="0"/>
        </w:sectPr>
      </w:pPr>
    </w:p>
    <w:bookmarkStart w:id="254" w:name="page255"/>
    <w:bookmarkEnd w:id="254"/>
    <w:p>
      <w:pPr>
        <w:jc w:val="both"/>
        <w:ind w:left="2600"/>
        <w:spacing w:after="0" w:line="244" w:lineRule="auto"/>
        <w:rPr>
          <w:sz w:val="20"/>
          <w:szCs w:val="20"/>
          <w:color w:val="auto"/>
        </w:rPr>
      </w:pPr>
      <w:r>
        <w:rPr>
          <w:rFonts w:ascii="Times New Roman" w:cs="Times New Roman" w:eastAsia="Times New Roman" w:hAnsi="Times New Roman"/>
          <w:sz w:val="22"/>
          <w:szCs w:val="22"/>
          <w:color w:val="auto"/>
        </w:rPr>
        <w:t>jurisdiction of the Borrower or the United States of America, any State of the United States or the District of Columbia or any territory thereof and the Successor Company (if not the Borrower) will expressly assume all the obligations of the Borrower hereunder;</w:t>
      </w:r>
    </w:p>
    <w:p>
      <w:pPr>
        <w:spacing w:after="0" w:line="173" w:lineRule="exact"/>
        <w:rPr>
          <w:sz w:val="20"/>
          <w:szCs w:val="20"/>
          <w:color w:val="auto"/>
        </w:rPr>
      </w:pPr>
    </w:p>
    <w:p>
      <w:pPr>
        <w:jc w:val="both"/>
        <w:ind w:left="2600" w:firstLine="648"/>
        <w:spacing w:after="0" w:line="235" w:lineRule="auto"/>
        <w:tabs>
          <w:tab w:leader="none" w:pos="3766"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shall have occurred and be continuing;</w:t>
      </w:r>
    </w:p>
    <w:p>
      <w:pPr>
        <w:spacing w:after="0" w:line="178" w:lineRule="exact"/>
        <w:rPr>
          <w:rFonts w:ascii="Times New Roman" w:cs="Times New Roman" w:eastAsia="Times New Roman" w:hAnsi="Times New Roman"/>
          <w:sz w:val="22"/>
          <w:szCs w:val="22"/>
          <w:color w:val="auto"/>
        </w:rPr>
      </w:pPr>
    </w:p>
    <w:p>
      <w:pPr>
        <w:jc w:val="both"/>
        <w:ind w:left="2600" w:firstLine="648"/>
        <w:spacing w:after="0" w:line="238" w:lineRule="auto"/>
        <w:tabs>
          <w:tab w:leader="none" w:pos="4022"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pro forma effect to such transaction, either (a) the Consolidated Total Leverage Ratio for the most recently ended Test Period does not exceed 2.80:1.00 or (b) the Consolidated Total Leverage Ratio of the Borrower and the Restricted Subsidiaries would not be higher than it was immediately prior to giving effect to such transaction; and</w:t>
      </w:r>
    </w:p>
    <w:p>
      <w:pPr>
        <w:spacing w:after="0" w:line="176" w:lineRule="exact"/>
        <w:rPr>
          <w:rFonts w:ascii="Times New Roman" w:cs="Times New Roman" w:eastAsia="Times New Roman" w:hAnsi="Times New Roman"/>
          <w:sz w:val="22"/>
          <w:szCs w:val="22"/>
          <w:color w:val="auto"/>
        </w:rPr>
      </w:pPr>
    </w:p>
    <w:p>
      <w:pPr>
        <w:jc w:val="both"/>
        <w:ind w:left="2600" w:firstLine="648"/>
        <w:spacing w:after="0" w:line="239" w:lineRule="auto"/>
        <w:tabs>
          <w:tab w:leader="none" w:pos="3768"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documentation and other information required by regulatory authorities under applicable “know your customer” and anti-money laundering rules and regulations, including without limitation the USA PATRIOT Act reasonably requested by the Lenders, including a beneficial ownership certificate;</w:t>
      </w:r>
    </w:p>
    <w:p>
      <w:pPr>
        <w:spacing w:after="0" w:line="166" w:lineRule="exact"/>
        <w:rPr>
          <w:rFonts w:ascii="Times New Roman" w:cs="Times New Roman" w:eastAsia="Times New Roman" w:hAnsi="Times New Roman"/>
          <w:sz w:val="22"/>
          <w:szCs w:val="22"/>
          <w:color w:val="auto"/>
        </w:rPr>
      </w:pPr>
    </w:p>
    <w:p>
      <w:pPr>
        <w:jc w:val="both"/>
        <w:ind w:firstLine="1304"/>
        <w:spacing w:after="0" w:line="255" w:lineRule="auto"/>
        <w:tabs>
          <w:tab w:leader="none" w:pos="1602"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the sale, lease, conveyance, assignment, transfer or other disposition of all or substantially all of the properties and assets of one or more Subsidiaries of the Borrower, which properties and assets, if held by the Borrower instead of such Subsidiaries, would constitute all or substantially all of the properties and assets of the Borrower on a consolidated basis, shall be deemed to be a transfer of all or substantially all of the properties and assets of the Borrower.</w:t>
      </w:r>
    </w:p>
    <w:p>
      <w:pPr>
        <w:spacing w:after="0" w:line="161" w:lineRule="exact"/>
        <w:rPr>
          <w:rFonts w:ascii="Times New Roman" w:cs="Times New Roman" w:eastAsia="Times New Roman" w:hAnsi="Times New Roman"/>
          <w:sz w:val="21"/>
          <w:szCs w:val="21"/>
          <w:color w:val="auto"/>
        </w:rPr>
      </w:pPr>
    </w:p>
    <w:p>
      <w:pPr>
        <w:ind w:left="2240" w:hanging="288"/>
        <w:spacing w:after="0"/>
        <w:tabs>
          <w:tab w:leader="none" w:pos="224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34" w:lineRule="auto"/>
        <w:tabs>
          <w:tab w:leader="none" w:pos="2631"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(i) any Restricted Subsidiary may consolidate, amalgamate or otherwise combine with, merge into or transfer all or part of its properties and assets to the Borrower or a Guarantor, (ii) any Restricted Subsidiary may consolidate, amalgamate or otherwise combine with, merge into or transfer all or part of its properties and assets to any other Restricted Subsidiary and (iii) the Borrower and the Restricted Subsidiaries may complete any Disposition permitted under this Agreement, Permitted Investment, Permitted IPO Reorganization or Permitted Tax Restructuring.</w:t>
      </w:r>
    </w:p>
    <w:p>
      <w:pPr>
        <w:spacing w:after="0" w:line="180" w:lineRule="exact"/>
        <w:rPr>
          <w:rFonts w:ascii="Times New Roman" w:cs="Times New Roman" w:eastAsia="Times New Roman" w:hAnsi="Times New Roman"/>
          <w:sz w:val="22"/>
          <w:szCs w:val="22"/>
          <w:color w:val="auto"/>
        </w:rPr>
      </w:pPr>
    </w:p>
    <w:p>
      <w:pPr>
        <w:ind w:left="1300" w:firstLine="652"/>
        <w:spacing w:after="0" w:line="258" w:lineRule="auto"/>
        <w:tabs>
          <w:tab w:leader="none" w:pos="2511"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provisions (other than the requirements of </w:t>
      </w:r>
      <w:r>
        <w:rPr>
          <w:rFonts w:ascii="Times New Roman" w:cs="Times New Roman" w:eastAsia="Times New Roman" w:hAnsi="Times New Roman"/>
          <w:sz w:val="22"/>
          <w:szCs w:val="22"/>
          <w:u w:val="single" w:color="auto"/>
          <w:color w:val="auto"/>
        </w:rPr>
        <w:t>Section 7.04(b)</w:t>
      </w:r>
      <w:r>
        <w:rPr>
          <w:rFonts w:ascii="Times New Roman" w:cs="Times New Roman" w:eastAsia="Times New Roman" w:hAnsi="Times New Roman"/>
          <w:sz w:val="22"/>
          <w:szCs w:val="22"/>
          <w:color w:val="auto"/>
        </w:rPr>
        <w:t>) shall not apply to the creation of a new Subsidiary as a Restricted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ectPr>
          <w:pgSz w:w="11900" w:h="16838" w:orient="portrait"/>
          <w:cols w:equalWidth="0" w:num="1">
            <w:col w:w="11240"/>
          </w:cols>
          <w:pgMar w:left="320" w:top="1084" w:right="339" w:bottom="1440" w:gutter="0" w:footer="0" w:header="0"/>
        </w:sectPr>
      </w:pPr>
    </w:p>
    <w:bookmarkStart w:id="255" w:name="page256"/>
    <w:bookmarkEnd w:id="255"/>
    <w:p>
      <w:pPr>
        <w:ind w:left="1300" w:firstLine="652"/>
        <w:spacing w:after="0" w:line="258" w:lineRule="auto"/>
        <w:tabs>
          <w:tab w:leader="none" w:pos="242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Guarantor may consolidate with or merge or amalgamate with or into, or convey, transfer or lease all or substantially all its assets, in one or a series of related transactions, to any Person, unless:</w:t>
      </w:r>
    </w:p>
    <w:p>
      <w:pPr>
        <w:spacing w:after="0" w:line="158" w:lineRule="exact"/>
        <w:rPr>
          <w:rFonts w:ascii="Times New Roman" w:cs="Times New Roman" w:eastAsia="Times New Roman" w:hAnsi="Times New Roman"/>
          <w:sz w:val="22"/>
          <w:szCs w:val="22"/>
          <w:color w:val="auto"/>
        </w:rPr>
      </w:pPr>
    </w:p>
    <w:p>
      <w:pPr>
        <w:ind w:left="1960" w:firstLine="640"/>
        <w:spacing w:after="0" w:line="258" w:lineRule="auto"/>
        <w:tabs>
          <w:tab w:leader="none" w:pos="3071"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Person is the Borrower or any Restricted Subsidiary that is Guarantor or becomes a Guarantor concurrently with the transaction; or</w:t>
      </w:r>
    </w:p>
    <w:p>
      <w:pPr>
        <w:spacing w:after="0" w:line="158" w:lineRule="exact"/>
        <w:rPr>
          <w:rFonts w:ascii="Times New Roman" w:cs="Times New Roman" w:eastAsia="Times New Roman" w:hAnsi="Times New Roman"/>
          <w:sz w:val="22"/>
          <w:szCs w:val="22"/>
          <w:color w:val="auto"/>
        </w:rPr>
      </w:pPr>
    </w:p>
    <w:p>
      <w:pPr>
        <w:jc w:val="both"/>
        <w:ind w:left="1960" w:firstLine="640"/>
        <w:spacing w:after="0" w:line="250" w:lineRule="auto"/>
        <w:tabs>
          <w:tab w:leader="none" w:pos="3221"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either (x) the Borrower or a Guarantor is the continuing Person or (y) the resulting, surviving or transferee Person expressly assumes all of the obligations of the Guarantor under its Guarantee of the Secured Obligations, this Agreement and the Collateral Documents; and (B) immediately after giving effect to the transaction, no Event of Default shall have occurred and be continuing; or</w:t>
      </w:r>
    </w:p>
    <w:p>
      <w:pPr>
        <w:spacing w:after="0" w:line="168" w:lineRule="exact"/>
        <w:rPr>
          <w:rFonts w:ascii="Times New Roman" w:cs="Times New Roman" w:eastAsia="Times New Roman" w:hAnsi="Times New Roman"/>
          <w:sz w:val="21"/>
          <w:szCs w:val="21"/>
          <w:color w:val="auto"/>
        </w:rPr>
      </w:pPr>
    </w:p>
    <w:p>
      <w:pPr>
        <w:jc w:val="both"/>
        <w:ind w:left="1960" w:firstLine="640"/>
        <w:spacing w:after="0" w:line="239" w:lineRule="auto"/>
        <w:tabs>
          <w:tab w:leader="none" w:pos="3205"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constitutes a sale, disposition (including by way of consolidation, merger or amalgamation) or transfer of the Guarantor or the sale, disposition, conveyance, transfer or lease of all or substantially all of the assets of the Guarantor (in each case other than to the Borrower or a Restricted Subsidiary) otherwise permitted by this Agreement.</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32" w:lineRule="auto"/>
        <w:tabs>
          <w:tab w:leader="none" w:pos="259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any Guarantor may (a) consolidate, amalgamate or otherwise combine with, merge into or transfer all or part of its properties and assets to another Guarantor or the Borrower, (b) consolidate, amalgamate or otherwise combine with or merge into an Affiliate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Borrower determines in good faith that such action is in the best interests of the Borrower and (e) complete any Disposition permitted under this Agreement, Permitted Investment, Permitted IPO Reorganization or Permitted Tax Restructuring. Notwithstanding anything to the contrary in this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the Borrower may contribute Capital Stock of any or all of its Subsidiaries to any Guarantor.</w:t>
      </w:r>
    </w:p>
    <w:p>
      <w:pPr>
        <w:spacing w:after="0" w:line="185"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33" w:lineRule="auto"/>
        <w:tabs>
          <w:tab w:leader="none" w:pos="251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Limitation on Sales of Assets and Subsidiary Stock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58" w:lineRule="auto"/>
        <w:tabs>
          <w:tab w:leader="none" w:pos="159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 and shall not permit any of the Restricted Subsidiaries to, make any Asset Disposition other than Dispositions contemplated on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ectPr>
          <w:pgSz w:w="11900" w:h="16838" w:orient="portrait"/>
          <w:cols w:equalWidth="0" w:num="1">
            <w:col w:w="11240"/>
          </w:cols>
          <w:pgMar w:left="320" w:top="1084" w:right="339" w:bottom="1440" w:gutter="0" w:footer="0" w:header="0"/>
        </w:sectPr>
      </w:pPr>
    </w:p>
    <w:bookmarkStart w:id="256" w:name="page257"/>
    <w:bookmarkEnd w:id="256"/>
    <w:p>
      <w:pPr>
        <w:spacing w:after="0" w:line="258" w:lineRule="auto"/>
        <w:rPr>
          <w:sz w:val="20"/>
          <w:szCs w:val="20"/>
          <w:color w:val="auto"/>
        </w:rPr>
      </w:pPr>
      <w:r>
        <w:rPr>
          <w:rFonts w:ascii="Times New Roman" w:cs="Times New Roman" w:eastAsia="Times New Roman" w:hAnsi="Times New Roman"/>
          <w:sz w:val="22"/>
          <w:szCs w:val="22"/>
          <w:color w:val="auto"/>
        </w:rPr>
        <w:t xml:space="preserve">any such Dispositions in a principal amount in excess of $3.0 million is set forth on </w:t>
      </w:r>
      <w:r>
        <w:rPr>
          <w:rFonts w:ascii="Times New Roman" w:cs="Times New Roman" w:eastAsia="Times New Roman" w:hAnsi="Times New Roman"/>
          <w:sz w:val="22"/>
          <w:szCs w:val="22"/>
          <w:u w:val="single" w:color="auto"/>
          <w:color w:val="auto"/>
        </w:rPr>
        <w:t>Schedule 7.05</w:t>
      </w:r>
      <w:r>
        <w:rPr>
          <w:rFonts w:ascii="Times New Roman" w:cs="Times New Roman" w:eastAsia="Times New Roman" w:hAnsi="Times New Roman"/>
          <w:sz w:val="22"/>
          <w:szCs w:val="22"/>
          <w:color w:val="auto"/>
        </w:rPr>
        <w:t xml:space="preserve"> to the Closing Date Certificate, unless:</w:t>
      </w:r>
    </w:p>
    <w:p>
      <w:pPr>
        <w:spacing w:after="0" w:line="158" w:lineRule="exact"/>
        <w:rPr>
          <w:sz w:val="20"/>
          <w:szCs w:val="20"/>
          <w:color w:val="auto"/>
        </w:rPr>
      </w:pPr>
    </w:p>
    <w:p>
      <w:pPr>
        <w:jc w:val="both"/>
        <w:ind w:left="1960" w:firstLine="640"/>
        <w:spacing w:after="0" w:line="234" w:lineRule="auto"/>
        <w:tabs>
          <w:tab w:leader="none" w:pos="3065"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Borrower, of the shares and assets subject to such Asset Disposition (including, for the avoidance of doubt, if such Asset Disposition is a Permitted Asset Swap);</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35" w:lineRule="auto"/>
        <w:tabs>
          <w:tab w:leader="none" w:pos="3154"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Asset Disposition, or series of related Asset Dispositions (except to the extent the Asset Disposition is a Permitted Asset Swap) with a purchase price in excess of the greater of $32.0 million and 15.0% of LTM EBITDA, at least 75.0% of the consideration from such Asset Disposition, together with all other Asset Dispositions since the Closing Date (on a cumulative basis), (including by way of relief from, or by any other Person assuming responsibility for, any liabilities, contingent or otherwise) received by the Borrower or such Restricted Subsidiary, as the case may be, is in the form of cash or Cash Equivalents; and</w:t>
      </w:r>
    </w:p>
    <w:p>
      <w:pPr>
        <w:spacing w:after="0" w:line="183" w:lineRule="exact"/>
        <w:rPr>
          <w:sz w:val="20"/>
          <w:szCs w:val="20"/>
          <w:color w:val="auto"/>
        </w:rPr>
      </w:pPr>
    </w:p>
    <w:p>
      <w:pPr>
        <w:ind w:left="1840" w:hanging="536"/>
        <w:spacing w:after="0"/>
        <w:tabs>
          <w:tab w:leader="none" w:pos="184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complies with </w:t>
      </w:r>
      <w:r>
        <w:rPr>
          <w:rFonts w:ascii="Times New Roman" w:cs="Times New Roman" w:eastAsia="Times New Roman" w:hAnsi="Times New Roman"/>
          <w:sz w:val="22"/>
          <w:szCs w:val="22"/>
          <w:u w:val="single" w:color="auto"/>
          <w:color w:val="auto"/>
        </w:rPr>
        <w:t>Section 2.05(b)(ii)</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9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w:t>
      </w:r>
      <w:r>
        <w:rPr>
          <w:rFonts w:ascii="Times New Roman" w:cs="Times New Roman" w:eastAsia="Times New Roman" w:hAnsi="Times New Roman"/>
          <w:sz w:val="22"/>
          <w:szCs w:val="22"/>
          <w:u w:val="single" w:color="auto"/>
          <w:color w:val="auto"/>
        </w:rPr>
        <w:t>Section 7.05(a)(ii)</w:t>
      </w:r>
      <w:r>
        <w:rPr>
          <w:rFonts w:ascii="Times New Roman" w:cs="Times New Roman" w:eastAsia="Times New Roman" w:hAnsi="Times New Roman"/>
          <w:sz w:val="22"/>
          <w:szCs w:val="22"/>
          <w:color w:val="auto"/>
        </w:rPr>
        <w:t xml:space="preserve"> hereof, the following shall be deemed to be cash:</w:t>
      </w:r>
    </w:p>
    <w:p>
      <w:pPr>
        <w:spacing w:after="0" w:line="206" w:lineRule="exact"/>
        <w:rPr>
          <w:rFonts w:ascii="Times New Roman" w:cs="Times New Roman" w:eastAsia="Times New Roman" w:hAnsi="Times New Roman"/>
          <w:sz w:val="22"/>
          <w:szCs w:val="22"/>
          <w:color w:val="auto"/>
        </w:rPr>
      </w:pPr>
    </w:p>
    <w:p>
      <w:pPr>
        <w:jc w:val="both"/>
        <w:ind w:left="1960" w:firstLine="640"/>
        <w:spacing w:after="0" w:line="239" w:lineRule="auto"/>
        <w:tabs>
          <w:tab w:leader="none" w:pos="3047"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assumption by the transferee of Indebtedness or other liabilities contingent or otherwise of the Borrower or a Restricted Subsidiary (other than Subordinated Indebtedness of the Borrower or a Guarantor) and the release of the Borrower or such Restricted Subsidiary from all liability on such Indebtedness or other liability in connection with such Asset Disposition;</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35" w:lineRule="auto"/>
        <w:tabs>
          <w:tab w:leader="none" w:pos="3155"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notes or other obligations received by the Borrower or any Restricted Subsidiary from the transferee that are converted by the Borrower or such Restricted Subsidiary into cash or Cash Equivalents, or by their terms are required to be satisfied for cash and Cash Equivalents (to the extent of the cash or Cash Equivalents received), in each case, within 270 days following the closing of such Asset Disposition;</w:t>
      </w:r>
    </w:p>
    <w:p>
      <w:pPr>
        <w:spacing w:after="0" w:line="178" w:lineRule="exact"/>
        <w:rPr>
          <w:rFonts w:ascii="Times New Roman" w:cs="Times New Roman" w:eastAsia="Times New Roman" w:hAnsi="Times New Roman"/>
          <w:sz w:val="22"/>
          <w:szCs w:val="22"/>
          <w:color w:val="auto"/>
        </w:rPr>
      </w:pPr>
    </w:p>
    <w:p>
      <w:pPr>
        <w:ind w:left="3140" w:hanging="540"/>
        <w:spacing w:after="0"/>
        <w:tabs>
          <w:tab w:leader="none" w:pos="314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Capital Stock or assets of the kind referred to in </w:t>
      </w:r>
      <w:r>
        <w:rPr>
          <w:rFonts w:ascii="Times New Roman" w:cs="Times New Roman" w:eastAsia="Times New Roman" w:hAnsi="Times New Roman"/>
          <w:sz w:val="22"/>
          <w:szCs w:val="22"/>
          <w:u w:val="single" w:color="auto"/>
          <w:color w:val="auto"/>
        </w:rPr>
        <w:t>Section 2.05(b)(ii)(B)(i)</w:t>
      </w:r>
      <w:r>
        <w:rPr>
          <w:rFonts w:ascii="Times New Roman" w:cs="Times New Roman" w:eastAsia="Times New Roman" w:hAnsi="Times New Roman"/>
          <w:sz w:val="22"/>
          <w:szCs w:val="22"/>
          <w:color w:val="auto"/>
        </w:rPr>
        <w:t xml:space="preserve"> and (ii);</w:t>
      </w:r>
    </w:p>
    <w:p>
      <w:pPr>
        <w:spacing w:after="0" w:line="206" w:lineRule="exact"/>
        <w:rPr>
          <w:rFonts w:ascii="Times New Roman" w:cs="Times New Roman" w:eastAsia="Times New Roman" w:hAnsi="Times New Roman"/>
          <w:sz w:val="22"/>
          <w:szCs w:val="22"/>
          <w:color w:val="auto"/>
        </w:rPr>
      </w:pPr>
    </w:p>
    <w:p>
      <w:pPr>
        <w:ind w:left="1960" w:firstLine="640"/>
        <w:spacing w:after="0" w:line="258" w:lineRule="auto"/>
        <w:tabs>
          <w:tab w:leader="none" w:pos="3145"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Restricted Subsidiary that is no longer a Restricted Subsidiary as a result of such Asset Disposition, to the extent that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ectPr>
          <w:pgSz w:w="11900" w:h="16838" w:orient="portrait"/>
          <w:cols w:equalWidth="0" w:num="1">
            <w:col w:w="11240"/>
          </w:cols>
          <w:pgMar w:left="320" w:top="1084" w:right="339" w:bottom="1440" w:gutter="0" w:footer="0" w:header="0"/>
        </w:sectPr>
      </w:pPr>
    </w:p>
    <w:bookmarkStart w:id="257" w:name="page258"/>
    <w:bookmarkEnd w:id="257"/>
    <w:p>
      <w:pPr>
        <w:ind w:left="1960"/>
        <w:spacing w:after="0" w:line="258" w:lineRule="auto"/>
        <w:rPr>
          <w:sz w:val="20"/>
          <w:szCs w:val="20"/>
          <w:color w:val="auto"/>
        </w:rPr>
      </w:pPr>
      <w:r>
        <w:rPr>
          <w:rFonts w:ascii="Times New Roman" w:cs="Times New Roman" w:eastAsia="Times New Roman" w:hAnsi="Times New Roman"/>
          <w:sz w:val="22"/>
          <w:szCs w:val="22"/>
          <w:color w:val="auto"/>
        </w:rPr>
        <w:t>Borrower and each other Restricted Subsidiary are released from any Guarantee of payment of such Indebtedness in connection with such Asset Disposition;</w:t>
      </w:r>
    </w:p>
    <w:p>
      <w:pPr>
        <w:spacing w:after="0" w:line="158" w:lineRule="exact"/>
        <w:rPr>
          <w:sz w:val="20"/>
          <w:szCs w:val="20"/>
          <w:color w:val="auto"/>
        </w:rPr>
      </w:pPr>
    </w:p>
    <w:p>
      <w:pPr>
        <w:jc w:val="both"/>
        <w:ind w:left="1960" w:firstLine="640"/>
        <w:spacing w:after="0" w:line="244" w:lineRule="auto"/>
        <w:tabs>
          <w:tab w:leader="none" w:pos="3162"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consisting of Indebtedness of the Borrower (other than Disqualified Stock or Subordinated Indebtedness) received after the Closing Date from Persons who are not Holdings or any Restricted Subsidiary; and</w:t>
      </w:r>
    </w:p>
    <w:p>
      <w:pPr>
        <w:spacing w:after="0" w:line="173" w:lineRule="exact"/>
        <w:rPr>
          <w:rFonts w:ascii="Times New Roman" w:cs="Times New Roman" w:eastAsia="Times New Roman" w:hAnsi="Times New Roman"/>
          <w:sz w:val="22"/>
          <w:szCs w:val="22"/>
          <w:color w:val="auto"/>
        </w:rPr>
      </w:pPr>
    </w:p>
    <w:p>
      <w:pPr>
        <w:jc w:val="both"/>
        <w:ind w:left="1960" w:firstLine="640"/>
        <w:spacing w:after="0" w:line="234" w:lineRule="auto"/>
        <w:tabs>
          <w:tab w:leader="none" w:pos="336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Designated Non-Cash Consideration received by the Borrower or any Restricted Subsidiary in such Asset Dispositions having an aggregate fair market value, taken together with all other Designated Non-Cash Consideration received pursuant to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that is at that time outstanding, not to exceed the greater of $64.0 million and 30.0% of LTM EBITDA (with the fair market value of each item of Designated Non-Cash Consideration being measured at the time received and without giving effect to subsequent changes in value).</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the foregoing, in no event shall any Loan Party be permitted to dispose of any Material Intellectual Property, whether as a Disposition, Investment, Restricted Payment or otherwise in the ordinary course of such Loan Party’s business, to any Unrestricted Subsidiary or any Restricted Subsidiary that is not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Loan Parties shall be permitted to grant non-exclusive licenses to any Unrestricted Subsidiary or any Restricted Subsidiary that is not a Loan Party in the ordinary course of business.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Restricted Payments &amp; Modification of Subordinated Indebtedness Documents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Holdings shall not, and shall not permit any of its Restricted Subsidiaries, directly or indirectly, to:</w:t>
      </w:r>
    </w:p>
    <w:p>
      <w:pPr>
        <w:spacing w:after="0" w:line="206" w:lineRule="exact"/>
        <w:rPr>
          <w:sz w:val="20"/>
          <w:szCs w:val="20"/>
          <w:color w:val="auto"/>
        </w:rPr>
      </w:pPr>
    </w:p>
    <w:p>
      <w:pPr>
        <w:jc w:val="both"/>
        <w:ind w:right="20" w:firstLine="656"/>
        <w:spacing w:after="0" w:line="244" w:lineRule="auto"/>
        <w:tabs>
          <w:tab w:leader="none" w:pos="115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any dividend or make any distribution on or in respect of Holdings or any Restricted Subsidiary’s Capital Stock (including any such payment in connection with any merger, amalgamation or consolidation involving Holdings or any of its Restricted Subsidiaries) except:</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325"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payments or distributions payable in Capital Stock of Holdings (other than Disqualified Stock) or in options, warrants or other rights to purchase such Capital Stock of Holdings; and</w:t>
      </w:r>
    </w:p>
    <w:p>
      <w:pPr>
        <w:spacing w:after="0" w:line="158" w:lineRule="exact"/>
        <w:rPr>
          <w:rFonts w:ascii="Times New Roman" w:cs="Times New Roman" w:eastAsia="Times New Roman" w:hAnsi="Times New Roman"/>
          <w:sz w:val="22"/>
          <w:szCs w:val="22"/>
          <w:color w:val="auto"/>
        </w:rPr>
      </w:pPr>
    </w:p>
    <w:p>
      <w:pPr>
        <w:jc w:val="both"/>
        <w:ind w:right="20" w:firstLine="1952"/>
        <w:spacing w:after="0" w:line="244" w:lineRule="auto"/>
        <w:tabs>
          <w:tab w:leader="none" w:pos="2286"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payments or distributions payable to Holdings or a Restricted Subsidiary (and, in the case of any such Restricted Subsidiary making such dividend or distribution, to holders of its Capital Stock other than Holdings or another Restricted Subsidiary on no more than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w:t>
      </w:r>
    </w:p>
    <w:p>
      <w:pPr>
        <w:spacing w:after="0" w:line="173" w:lineRule="exact"/>
        <w:rPr>
          <w:sz w:val="20"/>
          <w:szCs w:val="20"/>
          <w:color w:val="auto"/>
        </w:rPr>
      </w:pPr>
    </w:p>
    <w:p>
      <w:pPr>
        <w:jc w:val="both"/>
        <w:ind w:left="1960" w:hanging="8"/>
        <w:spacing w:after="0" w:line="238" w:lineRule="auto"/>
        <w:tabs>
          <w:tab w:leader="none" w:pos="2545"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repurchase, redeem, retire or otherwise acquire or retire for value any Capital Stock of Holdings, the Borrower or any Parent Entity held by Persons other than Holdings or a Restricted Subsidiary;</w:t>
      </w:r>
    </w:p>
    <w:p>
      <w:pPr>
        <w:spacing w:after="0" w:line="178" w:lineRule="exact"/>
        <w:rPr>
          <w:rFonts w:ascii="Times New Roman" w:cs="Times New Roman" w:eastAsia="Times New Roman" w:hAnsi="Times New Roman"/>
          <w:sz w:val="22"/>
          <w:szCs w:val="22"/>
          <w:color w:val="auto"/>
        </w:rPr>
      </w:pPr>
    </w:p>
    <w:p>
      <w:pPr>
        <w:jc w:val="both"/>
        <w:ind w:left="1960" w:hanging="8"/>
        <w:spacing w:after="0" w:line="244" w:lineRule="auto"/>
        <w:tabs>
          <w:tab w:leader="none" w:pos="2589"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repurchase, redeem, defease or otherwise acquire or retire for value, prior to scheduled maturity, scheduled repayment or scheduled sinking fund payment, any Subordinated Indebtedness in excess of $20,000,000, or</w:t>
      </w:r>
    </w:p>
    <w:p>
      <w:pPr>
        <w:spacing w:after="0" w:line="17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w:t>
      </w:r>
    </w:p>
    <w:p>
      <w:pPr>
        <w:spacing w:after="0" w:line="206"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(any such dividend, distribution, payment, purchase, redemption, repurchase, defeasance, other acquisition, retirement or Restricted Investment referred to in clauses (i) through (iv) above are referred to herein as a “</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if at the time Holdings or such Restricted Subsidiary makes such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1900" w:h="16838" w:orient="portrait"/>
          <w:cols w:equalWidth="0" w:num="1">
            <w:col w:w="11240"/>
          </w:cols>
          <w:pgMar w:left="320" w:top="1084" w:right="339" w:bottom="1440" w:gutter="0" w:footer="0" w:header="0"/>
        </w:sectPr>
      </w:pPr>
    </w:p>
    <w:bookmarkStart w:id="258" w:name="page259"/>
    <w:bookmarkEnd w:id="25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Restricted Payment the aggregate amount of such Restricted Payment and all other Restricted Payments made subsequent to the Closing Date (and not returned or rescinded) (including Permitted Payments made pursuant to </w:t>
      </w:r>
      <w:r>
        <w:rPr>
          <w:rFonts w:ascii="Times New Roman" w:cs="Times New Roman" w:eastAsia="Times New Roman" w:hAnsi="Times New Roman"/>
          <w:sz w:val="22"/>
          <w:szCs w:val="22"/>
          <w:u w:val="single" w:color="auto"/>
          <w:color w:val="auto"/>
        </w:rPr>
        <w:t>Section 7.06(b)(i)</w:t>
      </w:r>
      <w:r>
        <w:rPr>
          <w:rFonts w:ascii="Times New Roman" w:cs="Times New Roman" w:eastAsia="Times New Roman" w:hAnsi="Times New Roman"/>
          <w:sz w:val="22"/>
          <w:szCs w:val="22"/>
          <w:color w:val="auto"/>
        </w:rPr>
        <w:t xml:space="preserve"> (without duplication) and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but excluding all other Restricted Payments permitted by </w:t>
      </w:r>
      <w:r>
        <w:rPr>
          <w:rFonts w:ascii="Times New Roman" w:cs="Times New Roman" w:eastAsia="Times New Roman" w:hAnsi="Times New Roman"/>
          <w:sz w:val="22"/>
          <w:szCs w:val="22"/>
          <w:u w:val="single" w:color="auto"/>
          <w:color w:val="auto"/>
        </w:rPr>
        <w:t>Section 7.06(b)</w:t>
      </w:r>
      <w:r>
        <w:rPr>
          <w:rFonts w:ascii="Times New Roman" w:cs="Times New Roman" w:eastAsia="Times New Roman" w:hAnsi="Times New Roman"/>
          <w:sz w:val="22"/>
          <w:szCs w:val="22"/>
          <w:color w:val="auto"/>
        </w:rPr>
        <w:t>) would exceed the sum of (without duplication):</w:t>
      </w:r>
    </w:p>
    <w:p>
      <w:pPr>
        <w:spacing w:after="0" w:line="198" w:lineRule="exact"/>
        <w:rPr>
          <w:sz w:val="20"/>
          <w:szCs w:val="20"/>
          <w:color w:val="auto"/>
        </w:rPr>
      </w:pPr>
    </w:p>
    <w:p>
      <w:pPr>
        <w:jc w:val="both"/>
        <w:ind w:firstLine="2600"/>
        <w:spacing w:after="0"/>
        <w:tabs>
          <w:tab w:leader="none" w:pos="289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50% of Cumulative Consolidated Net Income of Holdings and the Restricted Subsidiaries for the period from the first day of the first full fiscal quarter commencing after the Closing Date until the last day of the then-most recent fiscal quarter or fiscal year of Holdings, as applicable, for which financial statements have been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(such amount,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Growth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in the case of Restricted Payments (other than pursuant to clause (iv) above), immediately after giving pro forma effect to such transaction, the Consolidated Total Leverage Ratio for the most recently ended Test Period does not exceed 2.80:1.00 and (y) in the case of Restricted Investments, immediately after giving pro forma effect to such transaction, the Interest Coverage Ratio for the most recently ended Test Period does not exceed 2.00:1.00;</w:t>
      </w:r>
    </w:p>
    <w:p>
      <w:pPr>
        <w:spacing w:after="0" w:line="168" w:lineRule="exact"/>
        <w:rPr>
          <w:rFonts w:ascii="Times New Roman" w:cs="Times New Roman" w:eastAsia="Times New Roman" w:hAnsi="Times New Roman"/>
          <w:sz w:val="22"/>
          <w:szCs w:val="22"/>
          <w:color w:val="auto"/>
        </w:rPr>
      </w:pPr>
    </w:p>
    <w:p>
      <w:pPr>
        <w:jc w:val="both"/>
        <w:ind w:firstLine="2600"/>
        <w:spacing w:after="0" w:line="232" w:lineRule="auto"/>
        <w:tabs>
          <w:tab w:leader="none" w:pos="2925"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100.0% of the aggregate amount of cash, and the fair market value of property or assets or marketable securities, received by Holdings from the issue or sale of its Capital Stock (other than Disqualified Stock or Designated Preferred Stock) or as a result of a merger or consolidation with another Person subsequent to the Closing Date or otherwise contributed to the equity (other than through the issuance of Disqualified Stock or Designated Preferred Stock) of Holdings or a Restricted Subsidiary (including the aggregate principal amount of any Indebtedness of Holdings or a Restricted Subsidiary contributed to Holdings or a Restricted Subsidiary for cancellation) or that becomes part of the capital of Holdings or a Restricted Subsidiary through consolidation or merger subsequent to the Closing Date and, in each case, contributed to the Borrower (other than (w) Net Cash Proceeds or property or assets or marketable securities received from an issuance or sale of such Capital Stock to a Restricted Subsidiary or an employee stock ownership plan or trust established by Holdings or any Subsidiary of Holdings for the benefit of its employees to the extent funded by Holdings or any Restricted Subsidiary, (x) cash or property or assets or marketable securities to the extent that any Restricted Payment has been made from such proceeds in reliance on </w:t>
      </w:r>
      <w:r>
        <w:rPr>
          <w:rFonts w:ascii="Times New Roman" w:cs="Times New Roman" w:eastAsia="Times New Roman" w:hAnsi="Times New Roman"/>
          <w:sz w:val="22"/>
          <w:szCs w:val="22"/>
          <w:u w:val="single" w:color="auto"/>
          <w:color w:val="auto"/>
        </w:rPr>
        <w:t>Section 7.06(b)(vi)</w:t>
      </w:r>
      <w:r>
        <w:rPr>
          <w:rFonts w:ascii="Times New Roman" w:cs="Times New Roman" w:eastAsia="Times New Roman" w:hAnsi="Times New Roman"/>
          <w:sz w:val="22"/>
          <w:szCs w:val="22"/>
          <w:color w:val="auto"/>
        </w:rPr>
        <w:t xml:space="preserve"> hereof, and (y) Excluded Contributions and Cure Amounts;</w:t>
      </w:r>
    </w:p>
    <w:p>
      <w:pPr>
        <w:spacing w:after="0" w:line="183" w:lineRule="exact"/>
        <w:rPr>
          <w:rFonts w:ascii="Times New Roman" w:cs="Times New Roman" w:eastAsia="Times New Roman" w:hAnsi="Times New Roman"/>
          <w:sz w:val="22"/>
          <w:szCs w:val="22"/>
          <w:color w:val="auto"/>
        </w:rPr>
      </w:pPr>
    </w:p>
    <w:p>
      <w:pPr>
        <w:jc w:val="both"/>
        <w:ind w:firstLine="2600"/>
        <w:spacing w:after="0" w:line="235" w:lineRule="auto"/>
        <w:tabs>
          <w:tab w:leader="none" w:pos="2925"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 of the aggregate amount of cash, and the fair market value of property or assets or marketable securities, received by Holdings or any Restricted Subsidiary from the issuance or sale (other than to Holdings or a Restricted Subsidiary or an employee stock ownership plan or trust established by Holdings or any Subsidiary of Holdings for the benefit of their employees to the extent funded by Holdings or any Restricted Subsidiary) by Holdings or any Restricted Subsidiary subsequent to Closing Date of any Indebtedness or Disqualified Stock or Designated Preferred Stock that has been converted into or exchanged for Capital Stock of Holdings (other than Disqualified Stock or Designated Preferred Stock) plus, without duplication, the amount of any cash, and the fair market value of property or assets or marketable securities, received by Holdings or any Restricted Subsidiary upon such conversion or exchange and, in each case, contributed to the Borrower;</w:t>
      </w:r>
    </w:p>
    <w:p>
      <w:pPr>
        <w:spacing w:after="0" w:line="178" w:lineRule="exact"/>
        <w:rPr>
          <w:rFonts w:ascii="Times New Roman" w:cs="Times New Roman" w:eastAsia="Times New Roman" w:hAnsi="Times New Roman"/>
          <w:sz w:val="22"/>
          <w:szCs w:val="22"/>
          <w:color w:val="auto"/>
        </w:rPr>
      </w:pPr>
    </w:p>
    <w:p>
      <w:pPr>
        <w:jc w:val="both"/>
        <w:ind w:firstLine="2600"/>
        <w:spacing w:after="0" w:line="233" w:lineRule="auto"/>
        <w:tabs>
          <w:tab w:leader="none" w:pos="293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 of the aggregate amount received in cash and the fair market value of marketable securities or other property received by means of: (i) the sale or other disposition (other than to Holdings or a Restricted Subsidiary) of, or other returns, profits, distributions and similar amounts on Investments from, Restricted Investments made by Holdings or its Restricted Subsidiaries and repurchases and redemptions of, or cash distributions or cash interest received in respect of, such Investments from Holdings or its Restricted Subsidiaries and repayments of loans or advances, and releases of guarantees, which constitute Restricted Investments by Holdings or its Restricted Subsidiaries, in each case after the Closing Date; or (ii) the sale or other disposition (other than to Holdings or a Restricted Subsidiary) of the Capital Stock of an Unrestricted Subsidiary or a JV Entity or a dividend, payment or distribution from an Unrestricted Subsidiary or a JV Entity (other than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1900" w:h="16838" w:orient="portrait"/>
          <w:cols w:equalWidth="0" w:num="1">
            <w:col w:w="11240"/>
          </w:cols>
          <w:pgMar w:left="320" w:top="1084" w:right="339" w:bottom="1440" w:gutter="0" w:footer="0" w:header="0"/>
        </w:sectPr>
      </w:pPr>
    </w:p>
    <w:bookmarkStart w:id="259" w:name="page260"/>
    <w:bookmarkEnd w:id="259"/>
    <w:p>
      <w:pPr>
        <w:jc w:val="both"/>
        <w:spacing w:after="0" w:line="238" w:lineRule="auto"/>
        <w:rPr>
          <w:sz w:val="20"/>
          <w:szCs w:val="20"/>
          <w:color w:val="auto"/>
        </w:rPr>
      </w:pPr>
      <w:r>
        <w:rPr>
          <w:rFonts w:ascii="Times New Roman" w:cs="Times New Roman" w:eastAsia="Times New Roman" w:hAnsi="Times New Roman"/>
          <w:sz w:val="22"/>
          <w:szCs w:val="22"/>
          <w:color w:val="auto"/>
        </w:rPr>
        <w:t>to the extent of the amount of the Investment that constituted a Permitted Investment and will increase the amount available under the applicable clause of the definition of “Permitted Investment”) or a dividend, payment or distribution from a Person that is not a Restricted Subsidiary after the Closing Date (other than to the extent of the amount of the Investment that constituted a Permitted Investment and will increase the amount available under the applicable clause of the definition of “Permitted Investment”);</w:t>
      </w:r>
    </w:p>
    <w:p>
      <w:pPr>
        <w:spacing w:after="0" w:line="177" w:lineRule="exact"/>
        <w:rPr>
          <w:sz w:val="20"/>
          <w:szCs w:val="20"/>
          <w:color w:val="auto"/>
        </w:rPr>
      </w:pPr>
    </w:p>
    <w:p>
      <w:pPr>
        <w:jc w:val="both"/>
        <w:ind w:firstLine="2600"/>
        <w:spacing w:after="0" w:line="233" w:lineRule="auto"/>
        <w:tabs>
          <w:tab w:leader="none" w:pos="291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redesignation of an Unrestricted Subsidiary as a Restricted Subsidiary or the merger, amalgamation or consolidation of an Unrestricted Subsidiary into Holdings or a Restricted Subsidiary or the transfer of all or substantially all of the assets of an Unrestricted Subsidiary to Holdings or a Restricted Subsidiary after the Closing Date, the fair market value of the Investment in such Unrestricted Subsidiary (or the assets transferred), as determined in good faith by Holdings,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and will increase the amount available under the applicable clause of the definition of “Permitted Investment” below;</w:t>
      </w:r>
    </w:p>
    <w:p>
      <w:pPr>
        <w:spacing w:after="0" w:line="179" w:lineRule="exact"/>
        <w:rPr>
          <w:rFonts w:ascii="Times New Roman" w:cs="Times New Roman" w:eastAsia="Times New Roman" w:hAnsi="Times New Roman"/>
          <w:sz w:val="22"/>
          <w:szCs w:val="22"/>
          <w:color w:val="auto"/>
        </w:rPr>
      </w:pPr>
    </w:p>
    <w:p>
      <w:pPr>
        <w:ind w:left="2900" w:hanging="300"/>
        <w:spacing w:after="0"/>
        <w:tabs>
          <w:tab w:leader="none" w:pos="290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greater of $64.0 million and 30.0% of LTM EBITDA; and</w:t>
      </w:r>
    </w:p>
    <w:p>
      <w:pPr>
        <w:spacing w:after="0" w:line="206" w:lineRule="exact"/>
        <w:rPr>
          <w:rFonts w:ascii="Times New Roman" w:cs="Times New Roman" w:eastAsia="Times New Roman" w:hAnsi="Times New Roman"/>
          <w:sz w:val="22"/>
          <w:szCs w:val="22"/>
          <w:color w:val="auto"/>
        </w:rPr>
      </w:pPr>
    </w:p>
    <w:p>
      <w:pPr>
        <w:ind w:left="2900" w:hanging="300"/>
        <w:spacing w:after="0"/>
        <w:tabs>
          <w:tab w:leader="none" w:pos="290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Retained Declined Proceeds.</w:t>
      </w:r>
    </w:p>
    <w:p>
      <w:pPr>
        <w:spacing w:after="0" w:line="20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xml:space="preserve"> will not prohibit any of the following (collectively, “</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left="1960" w:firstLine="640"/>
        <w:spacing w:after="0" w:line="238" w:lineRule="auto"/>
        <w:tabs>
          <w:tab w:leader="none" w:pos="3184"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within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w:t>
      </w:r>
    </w:p>
    <w:p>
      <w:pPr>
        <w:spacing w:after="0" w:line="176" w:lineRule="exact"/>
        <w:rPr>
          <w:rFonts w:ascii="Times New Roman" w:cs="Times New Roman" w:eastAsia="Times New Roman" w:hAnsi="Times New Roman"/>
          <w:sz w:val="22"/>
          <w:szCs w:val="22"/>
          <w:color w:val="auto"/>
        </w:rPr>
      </w:pPr>
    </w:p>
    <w:p>
      <w:pPr>
        <w:jc w:val="both"/>
        <w:ind w:left="1960" w:firstLine="640"/>
        <w:spacing w:after="0" w:line="243" w:lineRule="auto"/>
        <w:tabs>
          <w:tab w:leader="none" w:pos="3316"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prepayment, purchase, repurchase, redemption, defeasance, discharge or other acquisition or retirement of Capital Stock, including any accrued and unpaid dividends thereon (“</w:t>
      </w:r>
      <w:r>
        <w:rPr>
          <w:rFonts w:ascii="Times New Roman" w:cs="Times New Roman" w:eastAsia="Times New Roman" w:hAnsi="Times New Roman"/>
          <w:sz w:val="21"/>
          <w:szCs w:val="21"/>
          <w:u w:val="single" w:color="auto"/>
          <w:color w:val="auto"/>
        </w:rPr>
        <w:t>Treasury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Holdings (other than Disqualified Stock or Designated Preferred Stock) or a contribution to the equity of Holdings (other than through the issuance of Disqualified Stock or Designated Preferred Stock or through an Excluded Contribution or Cure Amount) (“</w:t>
      </w:r>
      <w:r>
        <w:rPr>
          <w:rFonts w:ascii="Times New Roman" w:cs="Times New Roman" w:eastAsia="Times New Roman" w:hAnsi="Times New Roman"/>
          <w:sz w:val="21"/>
          <w:szCs w:val="21"/>
          <w:u w:val="single" w:color="auto"/>
          <w:color w:val="auto"/>
        </w:rPr>
        <w:t>Refunding Capital Stock</w:t>
      </w:r>
      <w:r>
        <w:rPr>
          <w:rFonts w:ascii="Times New Roman" w:cs="Times New Roman" w:eastAsia="Times New Roman" w:hAnsi="Times New Roman"/>
          <w:sz w:val="21"/>
          <w:szCs w:val="21"/>
          <w:color w:val="auto"/>
        </w:rPr>
        <w:t xml:space="preserve">”) (b) the declaration and payment of dividends on Treasury Capital Stock out of the proceeds of the substantially concurrent sale or issuance of such Treasury Capital Stock (other than to a Subsidiary of Holdings or to an employee stock ownership plan or any trust established by Holdings or any of its Subsidiaries); and (c) if immediately prior to the retirement of Treasury Capital Stock, the declaration and payment of dividends thereon was permitted under </w:t>
      </w:r>
      <w:r>
        <w:rPr>
          <w:rFonts w:ascii="Times New Roman" w:cs="Times New Roman" w:eastAsia="Times New Roman" w:hAnsi="Times New Roman"/>
          <w:sz w:val="21"/>
          <w:szCs w:val="21"/>
          <w:u w:val="single" w:color="auto"/>
          <w:color w:val="auto"/>
        </w:rPr>
        <w:t>Section 7.06(b)(xiii)</w:t>
      </w:r>
      <w:r>
        <w:rPr>
          <w:rFonts w:ascii="Times New Roman" w:cs="Times New Roman" w:eastAsia="Times New Roman" w:hAnsi="Times New Roman"/>
          <w:sz w:val="21"/>
          <w:szCs w:val="21"/>
          <w:color w:val="auto"/>
        </w:rPr>
        <w:t xml:space="preserve"> hereof, the declaration and payment of dividends on the Refunding Capital Stock (other than Refunding Capital Stock the proceeds of</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ectPr>
          <w:pgSz w:w="11900" w:h="16838" w:orient="portrait"/>
          <w:cols w:equalWidth="0" w:num="1">
            <w:col w:w="11240"/>
          </w:cols>
          <w:pgMar w:left="320" w:top="1084" w:right="339" w:bottom="1440" w:gutter="0" w:footer="0" w:header="0"/>
        </w:sectPr>
      </w:pPr>
    </w:p>
    <w:bookmarkStart w:id="260" w:name="page261"/>
    <w:bookmarkEnd w:id="260"/>
    <w:p>
      <w:pPr>
        <w:jc w:val="both"/>
        <w:ind w:left="1960"/>
        <w:spacing w:after="0" w:line="244" w:lineRule="auto"/>
        <w:rPr>
          <w:sz w:val="20"/>
          <w:szCs w:val="20"/>
          <w:color w:val="auto"/>
        </w:rPr>
      </w:pPr>
      <w:r>
        <w:rPr>
          <w:rFonts w:ascii="Times New Roman" w:cs="Times New Roman" w:eastAsia="Times New Roman" w:hAnsi="Times New Roman"/>
          <w:sz w:val="22"/>
          <w:szCs w:val="22"/>
          <w:color w:val="auto"/>
        </w:rPr>
        <w:t>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w:t>
      </w:r>
    </w:p>
    <w:p>
      <w:pPr>
        <w:spacing w:after="0" w:line="173" w:lineRule="exact"/>
        <w:rPr>
          <w:sz w:val="20"/>
          <w:szCs w:val="20"/>
          <w:color w:val="auto"/>
        </w:rPr>
      </w:pPr>
    </w:p>
    <w:p>
      <w:pPr>
        <w:jc w:val="both"/>
        <w:ind w:left="1960" w:firstLine="640"/>
        <w:spacing w:after="0" w:line="236" w:lineRule="auto"/>
        <w:tabs>
          <w:tab w:leader="none" w:pos="3165"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purchase, repurchase, exchange, redemption, defeasance, discharge or other acquisition or retirement of Subordinated Indebtedness made by exchange for, or out of the proceeds of the substantially concurrent sale of, Refinancing Indebtedness permitted to be Incurred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w:t>
      </w:r>
      <w:r>
        <w:rPr>
          <w:rFonts w:ascii="Times New Roman" w:cs="Times New Roman" w:eastAsia="Times New Roman" w:hAnsi="Times New Roman"/>
          <w:sz w:val="22"/>
          <w:szCs w:val="22"/>
          <w:color w:val="auto"/>
        </w:rPr>
        <w:t xml:space="preserve"> hereof;</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38" w:lineRule="auto"/>
        <w:tabs>
          <w:tab w:leader="none" w:pos="3157"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purchase, repurchase, exchange, redemption, defeasance, discharge or other acquisition or retirement of Preferred Stock of Holdings or a Restricted Subsidiary made by exchange for, or out of the proceeds of the substantially concurrent sale of, Preferred Stock of Holdings or a Restricted Subsidiary, as the case may be, that, in each case, is permitted to be Incurred pursuant to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hereof;</w:t>
      </w:r>
    </w:p>
    <w:p>
      <w:pPr>
        <w:spacing w:after="0" w:line="176" w:lineRule="exact"/>
        <w:rPr>
          <w:rFonts w:ascii="Times New Roman" w:cs="Times New Roman" w:eastAsia="Times New Roman" w:hAnsi="Times New Roman"/>
          <w:sz w:val="22"/>
          <w:szCs w:val="22"/>
          <w:color w:val="auto"/>
        </w:rPr>
      </w:pPr>
    </w:p>
    <w:p>
      <w:pPr>
        <w:ind w:left="1960" w:firstLine="640"/>
        <w:spacing w:after="0" w:line="258" w:lineRule="auto"/>
        <w:tabs>
          <w:tab w:leader="none" w:pos="3092"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purchase, repurchase, redemption, defeasance, discharge or other acquisition or retirement of Subordinated Indebtedness of Holdings or a Restricted Subsidiary:</w:t>
      </w:r>
    </w:p>
    <w:p>
      <w:pPr>
        <w:spacing w:after="0" w:line="158"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0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326"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by the agreement governing such Subordinated Indebtedness, following the occurrence of (A) a Change of Control (or other similar event described therein as a “change of control”) or (B) an Asset Disposition (or other similar event described therein as an “asset disposition” or “asset sale”) but only if the Borrower shall have first complied with the terms described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shall not be in default of </w:t>
      </w:r>
      <w:r>
        <w:rPr>
          <w:rFonts w:ascii="Times New Roman" w:cs="Times New Roman" w:eastAsia="Times New Roman" w:hAnsi="Times New Roman"/>
          <w:sz w:val="21"/>
          <w:szCs w:val="21"/>
          <w:u w:val="single" w:color="auto"/>
          <w:color w:val="auto"/>
        </w:rPr>
        <w:t>Section 8.01(j)</w:t>
      </w:r>
      <w:r>
        <w:rPr>
          <w:rFonts w:ascii="Times New Roman" w:cs="Times New Roman" w:eastAsia="Times New Roman" w:hAnsi="Times New Roman"/>
          <w:sz w:val="21"/>
          <w:szCs w:val="21"/>
          <w:color w:val="auto"/>
        </w:rPr>
        <w:t xml:space="preserve"> hereof, as applicable; or</w:t>
      </w:r>
    </w:p>
    <w:p>
      <w:pPr>
        <w:spacing w:after="0" w:line="168" w:lineRule="exact"/>
        <w:rPr>
          <w:rFonts w:ascii="Times New Roman" w:cs="Times New Roman" w:eastAsia="Times New Roman" w:hAnsi="Times New Roman"/>
          <w:sz w:val="21"/>
          <w:szCs w:val="21"/>
          <w:color w:val="auto"/>
        </w:rPr>
      </w:pPr>
    </w:p>
    <w:p>
      <w:pPr>
        <w:jc w:val="both"/>
        <w:ind w:firstLine="1952"/>
        <w:spacing w:after="0" w:line="239" w:lineRule="auto"/>
        <w:tabs>
          <w:tab w:leader="none" w:pos="2286"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consisting of Acquired Indebtedness (other than Indebtedness Incurred (x) to provide all or any portion of the funds utilized to consummate the transaction or series of related transactions pursuant to which such Person became a Restricted Subsidiary or was otherwise acquired by Holdings or a Restricted Subsidiary or (y) otherwise in connection with or contemplation of such acquisition);</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32" w:lineRule="auto"/>
        <w:tabs>
          <w:tab w:leader="none" w:pos="3398"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Restricted Payment to pay for the prepayment, purchase, repurchase, redemption, defeasance, discharge, retirement or other acquisition of Capital Stock (other than Disqualified Stock) of Holdings or of any Parent Entity held by any future, present or former employee, director, officer, manager, contractor, consultant or advisor (or their respective Controlled Investment Affiliate or Immediate Family Members) of Holdings, any of its Subsidiaries or of any Parent Entity (or permitted transferees, assigns, estates, trusts or heirs of such employee, director, officer, manager, contractor, consultant or advisor or their respective Controlled Investment Affiliates or Immediate Family Members) either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Holdings or any Parent Entity in connection with such prepayment, purchase, repurchase, redemption, defeasance,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1900" w:h="16838" w:orient="portrait"/>
          <w:cols w:equalWidth="0" w:num="1">
            <w:col w:w="11240"/>
          </w:cols>
          <w:pgMar w:left="320" w:top="1084" w:right="339" w:bottom="1440" w:gutter="0" w:footer="0" w:header="0"/>
        </w:sectPr>
      </w:pPr>
    </w:p>
    <w:bookmarkStart w:id="261" w:name="page262"/>
    <w:bookmarkEnd w:id="261"/>
    <w:p>
      <w:pPr>
        <w:jc w:val="both"/>
        <w:ind w:left="1960"/>
        <w:spacing w:after="0" w:line="233" w:lineRule="auto"/>
        <w:rPr>
          <w:sz w:val="20"/>
          <w:szCs w:val="20"/>
          <w:color w:val="auto"/>
        </w:rPr>
      </w:pPr>
      <w:r>
        <w:rPr>
          <w:rFonts w:ascii="Times New Roman" w:cs="Times New Roman" w:eastAsia="Times New Roman" w:hAnsi="Times New Roman"/>
          <w:sz w:val="22"/>
          <w:szCs w:val="22"/>
          <w:color w:val="auto"/>
        </w:rPr>
        <w:t xml:space="preserve">discharge, retirement or other acquisition), including any Capital Stock rolled over, accelerated or paid out by or to any employee, director, officer, manager, contractor, consultant or advisor (or their respective Controlled Investment Affiliates or Immediate Family Members) of Holdings, any of its Subsidiaries or any Parent Entity in connection with any transaction;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aggregate Restricted Payments made under this clause (vi) do not exceed the greater of $5.5 million and 2.5% of LTM EBITDA in any calendar year (with unused amounts in any calendar year being carried over to succeeding calendar years);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such amount in any calendar year may be increased by an amount not to exceed:</w:t>
      </w:r>
    </w:p>
    <w:p>
      <w:pPr>
        <w:spacing w:after="0" w:line="182" w:lineRule="exact"/>
        <w:rPr>
          <w:sz w:val="20"/>
          <w:szCs w:val="20"/>
          <w:color w:val="auto"/>
        </w:rPr>
      </w:pPr>
    </w:p>
    <w:p>
      <w:pPr>
        <w:jc w:val="both"/>
        <w:ind w:firstLine="1952"/>
        <w:spacing w:after="0" w:line="235" w:lineRule="auto"/>
        <w:tabs>
          <w:tab w:leader="none" w:pos="2298"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cash proceeds from the sale of Capital Stock (other than Disqualified Stock, Designated Preferred Stock, Excluded Contributions or Cure Amounts) of Holdings and, to the extent contributed to the capital of Holdings, the cash proceeds from the sale of Capital Stock of any Parent Entity, in each case to any future, present or former employee, director, officer, manager, contractor, consultant or advisor (or their respective Controlled Investment Affiliates or Immediate Family Members) of Holdings, any of its Subsidiaries or any Parent Entity that occurred after the Closing Date, to the extent the cash proceeds from the sale of such Capital Stock have not otherwise been applied to the payment of Restricted Payments by virtue of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i w:val="1"/>
          <w:iCs w:val="1"/>
          <w:color w:val="auto"/>
        </w:rPr>
        <w:t>plus</w:t>
      </w:r>
    </w:p>
    <w:p>
      <w:pPr>
        <w:spacing w:after="0" w:line="183" w:lineRule="exact"/>
        <w:rPr>
          <w:rFonts w:ascii="Times New Roman" w:cs="Times New Roman" w:eastAsia="Times New Roman" w:hAnsi="Times New Roman"/>
          <w:sz w:val="22"/>
          <w:szCs w:val="22"/>
          <w:color w:val="auto"/>
        </w:rPr>
      </w:pPr>
    </w:p>
    <w:p>
      <w:pPr>
        <w:ind w:right="20" w:firstLine="1952"/>
        <w:spacing w:after="0" w:line="258" w:lineRule="auto"/>
        <w:tabs>
          <w:tab w:leader="none" w:pos="2313"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cash proceeds of key man life insurance policies received by Holdings or any of its Restricted Subsidiaries after the Closing Date (or any Parent Entity to the extent contributed to Holdings); </w:t>
      </w:r>
      <w:r>
        <w:rPr>
          <w:rFonts w:ascii="Times New Roman" w:cs="Times New Roman" w:eastAsia="Times New Roman" w:hAnsi="Times New Roman"/>
          <w:sz w:val="22"/>
          <w:szCs w:val="22"/>
          <w:i w:val="1"/>
          <w:iCs w:val="1"/>
          <w:color w:val="auto"/>
        </w:rPr>
        <w:t>less</w:t>
      </w:r>
    </w:p>
    <w:p>
      <w:pPr>
        <w:spacing w:after="0" w:line="144" w:lineRule="exact"/>
        <w:rPr>
          <w:rFonts w:ascii="Times New Roman" w:cs="Times New Roman" w:eastAsia="Times New Roman" w:hAnsi="Times New Roman"/>
          <w:sz w:val="22"/>
          <w:szCs w:val="22"/>
          <w:color w:val="auto"/>
        </w:rPr>
      </w:pPr>
    </w:p>
    <w:p>
      <w:pPr>
        <w:ind w:left="2300" w:hanging="348"/>
        <w:spacing w:after="0"/>
        <w:tabs>
          <w:tab w:leader="none" w:pos="2300"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Restricted Payments made in previous calendar years pursuant to clauses (A) and</w:t>
      </w:r>
    </w:p>
    <w:p>
      <w:pPr>
        <w:spacing w:after="0" w:line="14"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7.06(b)(vi)</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 cancellation of Indebtedness owing to Holdings or any Restricted Subsidiary from any future, present or former employee, director, officer, manager, contractor, consultant or advisor (or their respective Controlled Investment Affiliates or Immediate Family Members) of Holdings or its Restricted Subsidiaries or any Parent Entity in connection with a repurchase of Capital Stock of Holdings or any Parent Entity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or any other provision of this Agreement;</w:t>
      </w:r>
    </w:p>
    <w:p>
      <w:pPr>
        <w:spacing w:after="0" w:line="169" w:lineRule="exact"/>
        <w:rPr>
          <w:sz w:val="20"/>
          <w:szCs w:val="20"/>
          <w:color w:val="auto"/>
        </w:rPr>
      </w:pPr>
    </w:p>
    <w:p>
      <w:pPr>
        <w:jc w:val="both"/>
        <w:ind w:left="1960" w:hanging="8"/>
        <w:spacing w:after="0" w:line="244" w:lineRule="auto"/>
        <w:tabs>
          <w:tab w:leader="none" w:pos="2565"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declaration and payment of dividends on Disqualified Stock of Holdings or any of its Restricted Subsidiaries or Preferred Stock of a Restricted Subsidiary, issued in accordance with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7.03</w:t>
      </w:r>
      <w:r>
        <w:rPr>
          <w:rFonts w:ascii="Times New Roman" w:cs="Times New Roman" w:eastAsia="Times New Roman" w:hAnsi="Times New Roman"/>
          <w:sz w:val="22"/>
          <w:szCs w:val="22"/>
          <w:color w:val="auto"/>
        </w:rPr>
        <w:t xml:space="preserve"> hereof;</w:t>
      </w:r>
    </w:p>
    <w:p>
      <w:pPr>
        <w:spacing w:after="0" w:line="173" w:lineRule="exact"/>
        <w:rPr>
          <w:rFonts w:ascii="Times New Roman" w:cs="Times New Roman" w:eastAsia="Times New Roman" w:hAnsi="Times New Roman"/>
          <w:sz w:val="22"/>
          <w:szCs w:val="22"/>
          <w:color w:val="auto"/>
        </w:rPr>
      </w:pPr>
    </w:p>
    <w:p>
      <w:pPr>
        <w:jc w:val="both"/>
        <w:ind w:left="1960" w:hanging="8"/>
        <w:spacing w:after="0" w:line="235" w:lineRule="auto"/>
        <w:tabs>
          <w:tab w:leader="none" w:pos="271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made or expected to be made by Holdings or any Restricted Subsidiary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Holdings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ectPr>
          <w:pgSz w:w="11900" w:h="16838" w:orient="portrait"/>
          <w:cols w:equalWidth="0" w:num="1">
            <w:col w:w="11240"/>
          </w:cols>
          <w:pgMar w:left="320" w:top="1084" w:right="339" w:bottom="1440" w:gutter="0" w:footer="0" w:header="0"/>
        </w:sectPr>
      </w:pPr>
    </w:p>
    <w:bookmarkStart w:id="262" w:name="page263"/>
    <w:bookmarkEnd w:id="262"/>
    <w:p>
      <w:pPr>
        <w:ind w:left="1960"/>
        <w:spacing w:after="0"/>
        <w:rPr>
          <w:sz w:val="20"/>
          <w:szCs w:val="20"/>
          <w:color w:val="auto"/>
        </w:rPr>
      </w:pPr>
      <w:r>
        <w:rPr>
          <w:rFonts w:ascii="Times New Roman" w:cs="Times New Roman" w:eastAsia="Times New Roman" w:hAnsi="Times New Roman"/>
          <w:sz w:val="22"/>
          <w:szCs w:val="22"/>
          <w:color w:val="auto"/>
        </w:rPr>
        <w:t>thereof or payments in respect of withholding or similar taxes payable upon exercise or vesting thereof;</w:t>
      </w:r>
    </w:p>
    <w:p>
      <w:pPr>
        <w:spacing w:after="0" w:line="206" w:lineRule="exact"/>
        <w:rPr>
          <w:sz w:val="20"/>
          <w:szCs w:val="20"/>
          <w:color w:val="auto"/>
        </w:rPr>
      </w:pPr>
    </w:p>
    <w:p>
      <w:pPr>
        <w:ind w:left="1960" w:right="20" w:hanging="8"/>
        <w:spacing w:after="0" w:line="258" w:lineRule="auto"/>
        <w:tabs>
          <w:tab w:leader="none" w:pos="2563"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loans, advances or distributions to any Parent Entity or other payments by Holdings or any Restricted Subsidiary in amounts equal to (without duplication):</w:t>
      </w:r>
    </w:p>
    <w:p>
      <w:pPr>
        <w:spacing w:after="0" w:line="158" w:lineRule="exact"/>
        <w:rPr>
          <w:sz w:val="20"/>
          <w:szCs w:val="20"/>
          <w:color w:val="auto"/>
        </w:rPr>
      </w:pPr>
    </w:p>
    <w:p>
      <w:pPr>
        <w:ind w:left="2300" w:hanging="348"/>
        <w:spacing w:after="0"/>
        <w:tabs>
          <w:tab w:leader="none" w:pos="230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required for any Parent Entity to pay any Parent Entity Expenses;</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28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required to permit any Parent Entity to pay franchise and similar taxes, and other fees and expenses of such Parent Entity, in each case, required to maintain the corporate or other organizational existence of such Parent Entity;</w:t>
      </w:r>
    </w:p>
    <w:p>
      <w:pPr>
        <w:spacing w:after="0" w:line="178" w:lineRule="exact"/>
        <w:rPr>
          <w:rFonts w:ascii="Times New Roman" w:cs="Times New Roman" w:eastAsia="Times New Roman" w:hAnsi="Times New Roman"/>
          <w:sz w:val="22"/>
          <w:szCs w:val="22"/>
          <w:color w:val="auto"/>
        </w:rPr>
      </w:pPr>
    </w:p>
    <w:p>
      <w:pPr>
        <w:jc w:val="both"/>
        <w:ind w:firstLine="1952"/>
        <w:spacing w:after="0" w:line="231" w:lineRule="auto"/>
        <w:tabs>
          <w:tab w:leader="none" w:pos="228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taxable year (or portion thereof) in which Holdings or any Subsidiary is a member (or a disregarded entity of a member) of a group filing a consolidated, combined, group, affiliated or unitary tax return with any Parent Entity or Subsidiary of a Parent Entity (or in which Holdings is a disregarded entity wholly owned, directly or indirectly, by a corporate Parent Entity), any dividends or other distributions to fund any income or in-lieu of income Taxes for such taxable year (or portion thereof) for which such Parent Entity or Subsidiary is liable up to an amount not to exceed the amount of any such Taxes that Holdings and/or its applicable Subsidiaries would have been required to pay for such taxable year (or portion thereof) if Holdings and/or its applicable Subsidiaries had paid such Taxes on a separate company basis, or a consolidated, combined, group, affiliated or unitary basis on behalf of an affiliated group consisting only of Holdings and such Subsidiaries, for all relevant taxable periods; or (b) for any taxable year (or portion thereof) ending after the Effective Date for which Holdings is treated as a disregarded entity, partnership, or other flow-through entity for U.S. federal, state, provincial, territorial, and/or local income Tax purposes, the payment of dividends or other distributions to the direct or indirect owner or owners of equity of Holdings in an aggregate amount equal to each of the direct or indirect owners’ Tax Amount. Each direct or indirect owner’s “Tax Amount” is the product of (i) the aggregate taxable income of Holdings and its Subsidiaries allocated to such owners for U.S. federal income tax purposes for such taxable year (or portion thereof) and (ii) the highest combined marginal federal, state and/or local income tax rate applicable to any direct or indirect equity owner of Holdings residing in California or New York, New York (whichever is higher for the relevant taxable year or portion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payments pursuant to this clause (C) for Taxes attributable to the income of an Unrestricted Subsidiary shall be limited to the amount of any cash actually paid by such Unrestricted Subsidiary to the Borrower or any Guarantor for such purpose;</w:t>
      </w:r>
    </w:p>
    <w:p>
      <w:pPr>
        <w:spacing w:after="0" w:line="193" w:lineRule="exact"/>
        <w:rPr>
          <w:rFonts w:ascii="Times New Roman" w:cs="Times New Roman" w:eastAsia="Times New Roman" w:hAnsi="Times New Roman"/>
          <w:sz w:val="22"/>
          <w:szCs w:val="22"/>
          <w:color w:val="auto"/>
        </w:rPr>
      </w:pPr>
    </w:p>
    <w:p>
      <w:pPr>
        <w:ind w:firstLine="1952"/>
        <w:spacing w:after="0" w:line="258" w:lineRule="auto"/>
        <w:tabs>
          <w:tab w:leader="none" w:pos="2298"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constituting or to be used for purposes of making payments to the extent specified in Section 7.07(b)(ii), (iii), (v), (xi), (xii), (xiii), (xv) and (xix); or</w:t>
      </w:r>
    </w:p>
    <w:p>
      <w:pPr>
        <w:spacing w:after="0" w:line="144" w:lineRule="exact"/>
        <w:rPr>
          <w:rFonts w:ascii="Times New Roman" w:cs="Times New Roman" w:eastAsia="Times New Roman" w:hAnsi="Times New Roman"/>
          <w:sz w:val="22"/>
          <w:szCs w:val="22"/>
          <w:color w:val="auto"/>
        </w:rPr>
      </w:pPr>
    </w:p>
    <w:p>
      <w:pPr>
        <w:jc w:val="both"/>
        <w:ind w:left="1960" w:firstLine="640"/>
        <w:spacing w:after="0" w:line="234" w:lineRule="auto"/>
        <w:tabs>
          <w:tab w:leader="none" w:pos="3079" w:val="left"/>
        </w:tabs>
        <w:numPr>
          <w:ilvl w:val="1"/>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so long as no Specified Default has occurred and is continuing (or would result therefrom), the declaration and payment of dividends on the common stock or common equity interests of Holdings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following a public offering of such common stock or common equity interests (or such exchangeable securities, as applicable), in an amount in any fiscal year not to exceed an aggregate amount equal to up to the lesser of (x) 6.0% of the amount of net cash proceeds received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ectPr>
          <w:pgSz w:w="11900" w:h="16838" w:orient="portrait"/>
          <w:cols w:equalWidth="0" w:num="1">
            <w:col w:w="11240"/>
          </w:cols>
          <w:pgMar w:left="320" w:top="1084" w:right="339" w:bottom="1440" w:gutter="0" w:footer="0" w:header="0"/>
        </w:sectPr>
      </w:pPr>
    </w:p>
    <w:bookmarkStart w:id="263" w:name="page264"/>
    <w:bookmarkEnd w:id="263"/>
    <w:p>
      <w:pPr>
        <w:ind w:left="840"/>
        <w:spacing w:after="0"/>
        <w:rPr>
          <w:sz w:val="20"/>
          <w:szCs w:val="20"/>
          <w:color w:val="auto"/>
        </w:rPr>
      </w:pPr>
      <w:r>
        <w:rPr>
          <w:rFonts w:ascii="Times New Roman" w:cs="Times New Roman" w:eastAsia="Times New Roman" w:hAnsi="Times New Roman"/>
          <w:sz w:val="22"/>
          <w:szCs w:val="22"/>
          <w:color w:val="auto"/>
        </w:rPr>
        <w:t>by or contributed to the Borrower or any of its Restricted Subsidiaries from any such public offering and</w:t>
      </w:r>
    </w:p>
    <w:p>
      <w:pPr>
        <w:spacing w:after="0" w:line="14" w:lineRule="exact"/>
        <w:rPr>
          <w:sz w:val="20"/>
          <w:szCs w:val="20"/>
          <w:color w:val="auto"/>
        </w:rPr>
      </w:pPr>
    </w:p>
    <w:p>
      <w:pPr>
        <w:jc w:val="both"/>
        <w:ind w:left="840" w:hanging="8"/>
        <w:spacing w:after="0" w:line="242" w:lineRule="auto"/>
        <w:tabs>
          <w:tab w:leader="none" w:pos="1150"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Term Loans prepaid with the proceeds of such public offering; or (b) in lieu of all or a portion of the dividends permitted by clause (a), any prepayment, purchase, repurchase, redemption, defeasance, discharge, retirement or other acquisition of the Capital Stock of Holdings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w:t>
      </w:r>
    </w:p>
    <w:p>
      <w:pPr>
        <w:spacing w:after="0" w:line="174" w:lineRule="exact"/>
        <w:rPr>
          <w:rFonts w:ascii="Times New Roman" w:cs="Times New Roman" w:eastAsia="Times New Roman" w:hAnsi="Times New Roman"/>
          <w:sz w:val="21"/>
          <w:szCs w:val="21"/>
          <w:color w:val="auto"/>
        </w:rPr>
      </w:pPr>
    </w:p>
    <w:p>
      <w:pPr>
        <w:jc w:val="both"/>
        <w:ind w:left="840" w:firstLine="640"/>
        <w:spacing w:after="0" w:line="236" w:lineRule="auto"/>
        <w:tabs>
          <w:tab w:leader="none" w:pos="205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Holdings, or loans, advances, dividends or distributions to any Parent Entity to make payments, to holders of Capital Stock of Holdings or any Parent Entity in lieu of the issuance of fractional shares of such Capital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payment, loan, advance, dividend or distribution shall not be for the purpose of evading any limitation of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or otherwise to facilitate any dividend or other return of capital to the holders of such Capital Stock (as determined in good faith by Holdings);</w:t>
      </w:r>
    </w:p>
    <w:p>
      <w:pPr>
        <w:spacing w:after="0" w:line="181" w:lineRule="exact"/>
        <w:rPr>
          <w:rFonts w:ascii="Times New Roman" w:cs="Times New Roman" w:eastAsia="Times New Roman" w:hAnsi="Times New Roman"/>
          <w:sz w:val="22"/>
          <w:szCs w:val="22"/>
          <w:color w:val="auto"/>
        </w:rPr>
      </w:pPr>
    </w:p>
    <w:p>
      <w:pPr>
        <w:jc w:val="both"/>
        <w:ind w:left="840" w:firstLine="640"/>
        <w:spacing w:after="0" w:line="234" w:lineRule="auto"/>
        <w:tabs>
          <w:tab w:leader="none" w:pos="2130"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Restricted Payments permitted pursuant to this clause (b) shall not exceed the original amount of Excluded Contributions that were used to finance the acquisition or such property or assets;</w:t>
      </w:r>
    </w:p>
    <w:p>
      <w:pPr>
        <w:spacing w:after="0" w:line="180" w:lineRule="exact"/>
        <w:rPr>
          <w:rFonts w:ascii="Times New Roman" w:cs="Times New Roman" w:eastAsia="Times New Roman" w:hAnsi="Times New Roman"/>
          <w:sz w:val="22"/>
          <w:szCs w:val="22"/>
          <w:color w:val="auto"/>
        </w:rPr>
      </w:pPr>
    </w:p>
    <w:p>
      <w:pPr>
        <w:jc w:val="both"/>
        <w:ind w:left="840" w:firstLine="640"/>
        <w:spacing w:after="0" w:line="232" w:lineRule="auto"/>
        <w:tabs>
          <w:tab w:leader="none" w:pos="2171"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declaration and payment of dividends on Designated Preferred Stock of Holdings or any of its Restricted Subsidiaries issued after the Closing Date; (ii) the declaration and payment of dividends to a Parent Entity in an amount sufficient to allow the Parent Entity to pay dividends to holders of its Designated Preferred Stock issued after the Closing Date; and (iii) the declaration and payment of dividends on Refunding Capital Stock that is Preferred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case of clause (ii), the amount of dividends declared and paid to a Person pursuant to such clause shall not exceed the cash proceeds received by Holdings or the aggregate amount contributed in cash to the equity of Holdings (other than through the issuance of Disqualified Stock, a Cure Amount or an Excluded Contribution of Holdings), from the issuance or sale of such Designated Preferred Stock;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in the case of clauses (i) and (iii), that for the most recently ended four fiscal quarters for which consolidated financial statements are available immediately preceding the date of issuance of such Designated Preferred Stock or declaration of such dividends on such Refunding Capital Stock, after giving effect to such payment on a pro forma basis Holdings would be permitted to Incur at least $1.00 of additional Indebtedness pursuant to the test set forth in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840" w:firstLine="640"/>
        <w:spacing w:after="0" w:line="258" w:lineRule="auto"/>
        <w:tabs>
          <w:tab w:leader="none" w:pos="2147"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or payments of Securitization Fees, sales contributions and other transfers of Securitization Assets or Receivables Assets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-168-</w:t>
      </w:r>
    </w:p>
    <w:p>
      <w:pPr>
        <w:sectPr>
          <w:pgSz w:w="11900" w:h="16838" w:orient="portrait"/>
          <w:cols w:equalWidth="0" w:num="1">
            <w:col w:w="10120"/>
          </w:cols>
          <w:pgMar w:left="1440" w:top="1084" w:right="339" w:bottom="1440" w:gutter="0" w:footer="0" w:header="0"/>
        </w:sectPr>
      </w:pPr>
    </w:p>
    <w:bookmarkStart w:id="264" w:name="page265"/>
    <w:bookmarkEnd w:id="264"/>
    <w:p>
      <w:pPr>
        <w:ind w:left="840"/>
        <w:spacing w:after="0" w:line="258" w:lineRule="auto"/>
        <w:rPr>
          <w:sz w:val="20"/>
          <w:szCs w:val="20"/>
          <w:color w:val="auto"/>
        </w:rPr>
      </w:pPr>
      <w:r>
        <w:rPr>
          <w:rFonts w:ascii="Times New Roman" w:cs="Times New Roman" w:eastAsia="Times New Roman" w:hAnsi="Times New Roman"/>
          <w:sz w:val="22"/>
          <w:szCs w:val="22"/>
          <w:color w:val="auto"/>
        </w:rPr>
        <w:t>and purchases of Securitization Assets or Receivables Assets pursuant to a Securitization Repurchase Obligation, in each case in connection with a Qualified Securitization Financing or Receivables Facility;</w:t>
      </w:r>
    </w:p>
    <w:p>
      <w:pPr>
        <w:spacing w:after="0" w:line="158" w:lineRule="exact"/>
        <w:rPr>
          <w:sz w:val="20"/>
          <w:szCs w:val="20"/>
          <w:color w:val="auto"/>
        </w:rPr>
      </w:pPr>
    </w:p>
    <w:p>
      <w:pPr>
        <w:jc w:val="both"/>
        <w:ind w:left="840" w:firstLine="640"/>
        <w:spacing w:after="0" w:line="239" w:lineRule="auto"/>
        <w:tabs>
          <w:tab w:leader="none" w:pos="2198"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Distribution and any fees, costs and expenses (including all legal, accounting and other professional fees, costs and expenses) related thereto, including Transaction Expenses, or used to fund amounts owed to Affiliates in connection with the Transactions (including dividends to any Parent Entity to permit payment by such Parent Entity of such amounts);</w:t>
      </w:r>
    </w:p>
    <w:p>
      <w:pPr>
        <w:spacing w:after="0" w:line="166" w:lineRule="exact"/>
        <w:rPr>
          <w:rFonts w:ascii="Times New Roman" w:cs="Times New Roman" w:eastAsia="Times New Roman" w:hAnsi="Times New Roman"/>
          <w:sz w:val="22"/>
          <w:szCs w:val="22"/>
          <w:color w:val="auto"/>
        </w:rPr>
      </w:pPr>
    </w:p>
    <w:p>
      <w:pPr>
        <w:ind w:left="2200" w:hanging="720"/>
        <w:spacing w:after="0"/>
        <w:tabs>
          <w:tab w:leader="none" w:pos="2200" w:val="left"/>
        </w:tabs>
        <w:numPr>
          <w:ilvl w:val="1"/>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Event of Default has occurred and is continuing (or would result therefrom),</w:t>
      </w:r>
    </w:p>
    <w:p>
      <w:pPr>
        <w:spacing w:after="0" w:line="25" w:lineRule="exact"/>
        <w:rPr>
          <w:rFonts w:ascii="Times New Roman" w:cs="Times New Roman" w:eastAsia="Times New Roman" w:hAnsi="Times New Roman"/>
          <w:sz w:val="21"/>
          <w:szCs w:val="21"/>
          <w:color w:val="auto"/>
        </w:rPr>
      </w:pPr>
    </w:p>
    <w:p>
      <w:pPr>
        <w:jc w:val="both"/>
        <w:ind w:left="840" w:hanging="8"/>
        <w:spacing w:after="0" w:line="244" w:lineRule="auto"/>
        <w:tabs>
          <w:tab w:leader="none" w:pos="1100"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Payments (including loans or advances) in an aggregate amount outstanding at the time made not to exceed the greater of $53.0 million and 25.0% of LTM EBITDA at such time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amounts reallocated to clause (w) of the definition of “Permitted Investments” or to </w:t>
      </w:r>
      <w:r>
        <w:rPr>
          <w:rFonts w:ascii="Times New Roman" w:cs="Times New Roman" w:eastAsia="Times New Roman" w:hAnsi="Times New Roman"/>
          <w:sz w:val="21"/>
          <w:szCs w:val="21"/>
          <w:u w:val="single" w:color="auto"/>
          <w:color w:val="auto"/>
        </w:rPr>
        <w:t>Section 7.03(xiv)</w:t>
      </w:r>
      <w:r>
        <w:rPr>
          <w:rFonts w:ascii="Times New Roman" w:cs="Times New Roman" w:eastAsia="Times New Roman" w:hAnsi="Times New Roman"/>
          <w:sz w:val="21"/>
          <w:szCs w:val="21"/>
          <w:color w:val="auto"/>
        </w:rPr>
        <w:t>, (ii) any Restricted Payments, so long as, immediately after giving pro forma effect to the payment of any such Restricted Payment and the incurrence of any Indebtedness the net proceeds of which are used to make such Restricted Payment, the Consolidated Total Leverage Ratio shall be no greater than 1.80 to 1.00;</w:t>
      </w:r>
    </w:p>
    <w:p>
      <w:pPr>
        <w:spacing w:after="0" w:line="176" w:lineRule="exact"/>
        <w:rPr>
          <w:rFonts w:ascii="Times New Roman" w:cs="Times New Roman" w:eastAsia="Times New Roman" w:hAnsi="Times New Roman"/>
          <w:sz w:val="21"/>
          <w:szCs w:val="21"/>
          <w:color w:val="auto"/>
        </w:rPr>
      </w:pPr>
    </w:p>
    <w:p>
      <w:pPr>
        <w:ind w:left="840" w:firstLine="640"/>
        <w:spacing w:after="0" w:line="258" w:lineRule="auto"/>
        <w:tabs>
          <w:tab w:leader="none" w:pos="2442"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mandatory redemptions of Disqualified Stock issued as a Restricted Payment or as consideration for a Permitted Investment;</w:t>
      </w:r>
    </w:p>
    <w:p>
      <w:pPr>
        <w:spacing w:after="0" w:line="158" w:lineRule="exact"/>
        <w:rPr>
          <w:rFonts w:ascii="Times New Roman" w:cs="Times New Roman" w:eastAsia="Times New Roman" w:hAnsi="Times New Roman"/>
          <w:sz w:val="22"/>
          <w:szCs w:val="22"/>
          <w:color w:val="auto"/>
        </w:rPr>
      </w:pPr>
    </w:p>
    <w:p>
      <w:pPr>
        <w:jc w:val="both"/>
        <w:ind w:left="840" w:firstLine="640"/>
        <w:spacing w:after="0" w:line="235" w:lineRule="auto"/>
        <w:tabs>
          <w:tab w:leader="none" w:pos="2274"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defeasance, repurchase, exchange or other acquisition or retirement of Subordinated Indebtedness, so long as, immediately after giving pro forma effect to the payment of any such Restricted Payment and the incurrence of any Indebtedness the net proceeds of which are used to make such Restricted Payment, the Consolidated Total Leverage Ratio shall be no greater than 1.80 to 1.00;</w:t>
      </w:r>
    </w:p>
    <w:p>
      <w:pPr>
        <w:spacing w:after="0" w:line="178" w:lineRule="exact"/>
        <w:rPr>
          <w:rFonts w:ascii="Times New Roman" w:cs="Times New Roman" w:eastAsia="Times New Roman" w:hAnsi="Times New Roman"/>
          <w:sz w:val="22"/>
          <w:szCs w:val="22"/>
          <w:color w:val="auto"/>
        </w:rPr>
      </w:pPr>
    </w:p>
    <w:p>
      <w:pPr>
        <w:jc w:val="both"/>
        <w:ind w:left="840" w:firstLine="640"/>
        <w:spacing w:after="0" w:line="239" w:lineRule="auto"/>
        <w:tabs>
          <w:tab w:leader="none" w:pos="2082"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hereof;</w:t>
      </w:r>
    </w:p>
    <w:p>
      <w:pPr>
        <w:spacing w:after="0" w:line="180" w:lineRule="exact"/>
        <w:rPr>
          <w:rFonts w:ascii="Times New Roman" w:cs="Times New Roman" w:eastAsia="Times New Roman" w:hAnsi="Times New Roman"/>
          <w:sz w:val="22"/>
          <w:szCs w:val="22"/>
          <w:color w:val="auto"/>
        </w:rPr>
      </w:pPr>
    </w:p>
    <w:p>
      <w:pPr>
        <w:jc w:val="both"/>
        <w:ind w:left="840" w:firstLine="640"/>
        <w:spacing w:after="0" w:line="242" w:lineRule="auto"/>
        <w:tabs>
          <w:tab w:leader="none" w:pos="2259" w:val="left"/>
        </w:tabs>
        <w:numPr>
          <w:ilvl w:val="1"/>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Restricted Payments to a Parent Entity to finance Investments that would otherwise be permitted to be made pursuant to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if made by Holdings;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Restricted Payment shall be made substantially concurrently with the closing of such Investment, (b) such Parent Entity shall, promptly following the closing thereof, cause (1) all property acquired (whether assets or Capital Stock) to be contributed to the capital of Holdings or one of its Restricted Subsidiaries or (2) the merger or amalgamation of the Person formed or acquired into Holdings or one of its Restricted Subsidiaries (to the extent not prohibited by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 xml:space="preserve"> hereof) to consummate such Investment, (c) such Parent Entity and its Affiliates (other than Holdings or a Restricted Subsidiary) receives no consideration or other payment in connection with such transaction except to the extent Holdings or a Restricted Subsidiary could have given such consideration or made such payment in compliance with this Agreement,</w:t>
      </w:r>
    </w:p>
    <w:p>
      <w:pPr>
        <w:spacing w:after="0" w:line="5" w:lineRule="exact"/>
        <w:rPr>
          <w:rFonts w:ascii="Times New Roman" w:cs="Times New Roman" w:eastAsia="Times New Roman" w:hAnsi="Times New Roman"/>
          <w:sz w:val="21"/>
          <w:szCs w:val="21"/>
          <w:color w:val="auto"/>
        </w:rPr>
      </w:pPr>
    </w:p>
    <w:p>
      <w:pPr>
        <w:ind w:left="8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any property received by Holdings shall not increase amounts available for Restricted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-169-</w:t>
      </w:r>
    </w:p>
    <w:p>
      <w:pPr>
        <w:sectPr>
          <w:pgSz w:w="11900" w:h="16838" w:orient="portrait"/>
          <w:cols w:equalWidth="0" w:num="1">
            <w:col w:w="10120"/>
          </w:cols>
          <w:pgMar w:left="1440" w:top="1084" w:right="339" w:bottom="1440" w:gutter="0" w:footer="0" w:header="0"/>
        </w:sectPr>
      </w:pPr>
    </w:p>
    <w:bookmarkStart w:id="265" w:name="page266"/>
    <w:bookmarkEnd w:id="265"/>
    <w:p>
      <w:pPr>
        <w:jc w:val="both"/>
        <w:ind w:left="1952"/>
        <w:spacing w:after="0" w:line="238" w:lineRule="auto"/>
        <w:rPr>
          <w:sz w:val="20"/>
          <w:szCs w:val="20"/>
          <w:color w:val="auto"/>
        </w:rPr>
      </w:pPr>
      <w:r>
        <w:rPr>
          <w:rFonts w:ascii="Times New Roman" w:cs="Times New Roman" w:eastAsia="Times New Roman" w:hAnsi="Times New Roman"/>
          <w:sz w:val="22"/>
          <w:szCs w:val="22"/>
          <w:color w:val="auto"/>
        </w:rPr>
        <w:t xml:space="preserve">Payments pursuant to </w:t>
      </w:r>
      <w:r>
        <w:rPr>
          <w:rFonts w:ascii="Times New Roman" w:cs="Times New Roman" w:eastAsia="Times New Roman" w:hAnsi="Times New Roman"/>
          <w:sz w:val="22"/>
          <w:szCs w:val="22"/>
          <w:u w:val="single" w:color="auto"/>
          <w:color w:val="auto"/>
        </w:rPr>
        <w:t>Section 7.06(a)</w:t>
      </w:r>
      <w:r>
        <w:rPr>
          <w:rFonts w:ascii="Times New Roman" w:cs="Times New Roman" w:eastAsia="Times New Roman" w:hAnsi="Times New Roman"/>
          <w:sz w:val="22"/>
          <w:szCs w:val="22"/>
          <w:color w:val="auto"/>
        </w:rPr>
        <w:t xml:space="preserve">, except to the extent the fair market value at the time of such receipt of such property exceeds the Restricted Payment made pursuant to this clause (xxi) and (e) such Investment shall be deemed to be made by Holdings or such Restricted Subsidiary pursuant to another provision of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(other than pursuant to </w:t>
      </w:r>
      <w:r>
        <w:rPr>
          <w:rFonts w:ascii="Times New Roman" w:cs="Times New Roman" w:eastAsia="Times New Roman" w:hAnsi="Times New Roman"/>
          <w:sz w:val="22"/>
          <w:szCs w:val="22"/>
          <w:u w:val="single" w:color="auto"/>
          <w:color w:val="auto"/>
        </w:rPr>
        <w:t>Section 7.06(b)(xiii)</w:t>
      </w:r>
      <w:r>
        <w:rPr>
          <w:rFonts w:ascii="Times New Roman" w:cs="Times New Roman" w:eastAsia="Times New Roman" w:hAnsi="Times New Roman"/>
          <w:sz w:val="22"/>
          <w:szCs w:val="22"/>
          <w:color w:val="auto"/>
        </w:rPr>
        <w:t>) or pursuant to the definition of “Permitted Investment” (other than pursuant to clause (l) thereof);</w:t>
      </w:r>
    </w:p>
    <w:p>
      <w:pPr>
        <w:spacing w:after="0" w:line="177" w:lineRule="exact"/>
        <w:rPr>
          <w:sz w:val="20"/>
          <w:szCs w:val="20"/>
          <w:color w:val="auto"/>
        </w:rPr>
      </w:pPr>
    </w:p>
    <w:p>
      <w:pPr>
        <w:ind w:left="1952" w:right="20" w:firstLine="640"/>
        <w:spacing w:after="0" w:line="245" w:lineRule="auto"/>
        <w:tabs>
          <w:tab w:leader="none" w:pos="3404" w:val="left"/>
        </w:tabs>
        <w:numPr>
          <w:ilvl w:val="2"/>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made in connection with a Permitted Intercompany Activity or Permitted Tax Restructuring;</w:t>
      </w:r>
    </w:p>
    <w:p>
      <w:pPr>
        <w:spacing w:after="0" w:line="172" w:lineRule="exact"/>
        <w:rPr>
          <w:rFonts w:ascii="Times New Roman" w:cs="Times New Roman" w:eastAsia="Times New Roman" w:hAnsi="Times New Roman"/>
          <w:sz w:val="22"/>
          <w:szCs w:val="22"/>
          <w:color w:val="auto"/>
        </w:rPr>
      </w:pPr>
    </w:p>
    <w:p>
      <w:pPr>
        <w:ind w:left="3352" w:hanging="760"/>
        <w:spacing w:after="0"/>
        <w:tabs>
          <w:tab w:leader="none" w:pos="3352" w:val="left"/>
        </w:tabs>
        <w:numPr>
          <w:ilvl w:val="2"/>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952" w:firstLine="640"/>
        <w:spacing w:after="0" w:line="239" w:lineRule="auto"/>
        <w:tabs>
          <w:tab w:leader="none" w:pos="3489" w:val="left"/>
        </w:tabs>
        <w:numPr>
          <w:ilvl w:val="2"/>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prepayments, purchases or redemptions of Subordinated Indebtedness in an aggregate amount outstanding at the time made not to exceed the greater of $53.0 million and 25.0% of LTM EBITDA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amounts reallocated to clause (w) of the definition of “Permitted Investments”;</w:t>
      </w:r>
    </w:p>
    <w:p>
      <w:pPr>
        <w:spacing w:after="0" w:line="180" w:lineRule="exact"/>
        <w:rPr>
          <w:rFonts w:ascii="Times New Roman" w:cs="Times New Roman" w:eastAsia="Times New Roman" w:hAnsi="Times New Roman"/>
          <w:sz w:val="22"/>
          <w:szCs w:val="22"/>
          <w:color w:val="auto"/>
        </w:rPr>
      </w:pPr>
    </w:p>
    <w:p>
      <w:pPr>
        <w:ind w:left="3272" w:hanging="680"/>
        <w:spacing w:after="0"/>
        <w:tabs>
          <w:tab w:leader="none" w:pos="3272" w:val="left"/>
        </w:tabs>
        <w:numPr>
          <w:ilvl w:val="2"/>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3392" w:hanging="800"/>
        <w:spacing w:after="0"/>
        <w:tabs>
          <w:tab w:leader="none" w:pos="3392" w:val="left"/>
        </w:tabs>
        <w:numPr>
          <w:ilvl w:val="2"/>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conversions of Subordinated Indebtedness into Common Stock or other Qualified Capital</w:t>
      </w:r>
    </w:p>
    <w:p>
      <w:pPr>
        <w:spacing w:after="0" w:line="25" w:lineRule="exact"/>
        <w:rPr>
          <w:rFonts w:ascii="Times New Roman" w:cs="Times New Roman" w:eastAsia="Times New Roman" w:hAnsi="Times New Roman"/>
          <w:sz w:val="21"/>
          <w:szCs w:val="21"/>
          <w:color w:val="auto"/>
        </w:rPr>
      </w:pPr>
    </w:p>
    <w:p>
      <w:pPr>
        <w:ind w:left="195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Stock; and</w:t>
      </w:r>
    </w:p>
    <w:p>
      <w:pPr>
        <w:spacing w:after="0" w:line="182" w:lineRule="exact"/>
        <w:rPr>
          <w:rFonts w:ascii="Times New Roman" w:cs="Times New Roman" w:eastAsia="Times New Roman" w:hAnsi="Times New Roman"/>
          <w:sz w:val="21"/>
          <w:szCs w:val="21"/>
          <w:color w:val="auto"/>
        </w:rPr>
      </w:pPr>
    </w:p>
    <w:p>
      <w:pPr>
        <w:ind w:left="1952" w:right="200" w:firstLine="640"/>
        <w:spacing w:after="0" w:line="258" w:lineRule="auto"/>
        <w:tabs>
          <w:tab w:leader="none" w:pos="3404" w:val="left"/>
        </w:tabs>
        <w:numPr>
          <w:ilvl w:val="2"/>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owing (x) pursuant to the TRA and (y) in respect of the Original Acquisition Agreement Earn-Out.</w:t>
      </w:r>
    </w:p>
    <w:p>
      <w:pPr>
        <w:spacing w:after="0" w:line="144" w:lineRule="exact"/>
        <w:rPr>
          <w:rFonts w:ascii="Times New Roman" w:cs="Times New Roman" w:eastAsia="Times New Roman" w:hAnsi="Times New Roman"/>
          <w:sz w:val="22"/>
          <w:szCs w:val="22"/>
          <w:color w:val="auto"/>
        </w:rPr>
      </w:pPr>
    </w:p>
    <w:p>
      <w:pPr>
        <w:jc w:val="both"/>
        <w:ind w:left="-8" w:firstLine="1304"/>
        <w:spacing w:after="0" w:line="239" w:lineRule="auto"/>
        <w:tabs>
          <w:tab w:leader="none" w:pos="1582"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of the Restricted Subsidiaries, directly or indirectly, to amend, modify or change any term or condition of documents evidencing Subordinated Indebtedness in a manner that violates the applicable subordination agreement or such document evidencing Subordinated Indebtedness in a manner that is material and adverse to the Lenders.</w:t>
      </w:r>
    </w:p>
    <w:p>
      <w:pPr>
        <w:spacing w:after="0" w:line="180" w:lineRule="exact"/>
        <w:rPr>
          <w:rFonts w:ascii="Times New Roman" w:cs="Times New Roman" w:eastAsia="Times New Roman" w:hAnsi="Times New Roman"/>
          <w:sz w:val="22"/>
          <w:szCs w:val="22"/>
          <w:color w:val="auto"/>
        </w:rPr>
      </w:pPr>
    </w:p>
    <w:p>
      <w:pPr>
        <w:ind w:left="1592" w:hanging="296"/>
        <w:spacing w:after="0"/>
        <w:tabs>
          <w:tab w:leader="none" w:pos="1592"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8" w:firstLine="1304"/>
        <w:spacing w:after="0" w:line="238" w:lineRule="auto"/>
        <w:tabs>
          <w:tab w:leader="none" w:pos="1595"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all Restricted Payments (other than cash) shall be the fair market value on the date of such Restricted Payment of the asset(s) or securities proposed to be paid, transferred or issued by the Borrower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Borrower acting in good faith.</w:t>
      </w:r>
    </w:p>
    <w:p>
      <w:pPr>
        <w:spacing w:after="0" w:line="163" w:lineRule="exact"/>
        <w:rPr>
          <w:rFonts w:ascii="Times New Roman" w:cs="Times New Roman" w:eastAsia="Times New Roman" w:hAnsi="Times New Roman"/>
          <w:sz w:val="22"/>
          <w:szCs w:val="22"/>
          <w:color w:val="auto"/>
        </w:rPr>
      </w:pPr>
    </w:p>
    <w:p>
      <w:pPr>
        <w:jc w:val="both"/>
        <w:ind w:left="-8" w:firstLine="1304"/>
        <w:spacing w:after="0" w:line="244" w:lineRule="auto"/>
        <w:tabs>
          <w:tab w:leader="none" w:pos="1558"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shall not restrict the making of, or dividends or other distributions in amounts sufficient to make, any “AHYDO Catch-Up Payment” with respect to any Indebtedness of any Parent Entity, the Borrower or any of the Restricted Subsidiaries permitted to be Incurred under this Agreement.</w:t>
      </w:r>
    </w:p>
    <w:p>
      <w:pPr>
        <w:spacing w:after="0" w:line="173" w:lineRule="exact"/>
        <w:rPr>
          <w:rFonts w:ascii="Times New Roman" w:cs="Times New Roman" w:eastAsia="Times New Roman" w:hAnsi="Times New Roman"/>
          <w:sz w:val="22"/>
          <w:szCs w:val="22"/>
          <w:color w:val="auto"/>
        </w:rPr>
      </w:pPr>
    </w:p>
    <w:p>
      <w:pPr>
        <w:jc w:val="both"/>
        <w:ind w:left="-8" w:firstLine="1304"/>
        <w:spacing w:after="0" w:line="253" w:lineRule="auto"/>
        <w:tabs>
          <w:tab w:leader="none" w:pos="1634" w:val="left"/>
        </w:tabs>
        <w:numPr>
          <w:ilvl w:val="1"/>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Holdings, the Borrower and its Restricted Subsidiaries shall not make any Restricted Payments (other than pursuant to </w:t>
      </w:r>
      <w:r>
        <w:rPr>
          <w:rFonts w:ascii="Times New Roman" w:cs="Times New Roman" w:eastAsia="Times New Roman" w:hAnsi="Times New Roman"/>
          <w:sz w:val="21"/>
          <w:szCs w:val="21"/>
          <w:u w:val="single" w:color="auto"/>
          <w:color w:val="auto"/>
        </w:rPr>
        <w:t>clause (a)(iii)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above) permitted under clause</w:t>
      </w:r>
    </w:p>
    <w:p>
      <w:pPr>
        <w:ind w:left="-8" w:firstLine="8"/>
        <w:spacing w:after="0" w:line="237" w:lineRule="auto"/>
        <w:tabs>
          <w:tab w:leader="none" w:pos="306" w:val="left"/>
        </w:tabs>
        <w:numPr>
          <w:ilvl w:val="0"/>
          <w:numId w:val="3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(b)(xvii)</w:t>
      </w:r>
      <w:r>
        <w:rPr>
          <w:rFonts w:ascii="Times New Roman" w:cs="Times New Roman" w:eastAsia="Times New Roman" w:hAnsi="Times New Roman"/>
          <w:sz w:val="22"/>
          <w:szCs w:val="22"/>
          <w:color w:val="auto"/>
        </w:rPr>
        <w:t xml:space="preserve"> until such time after the Closing Date as the Borrower shall have prepaid at least $100.0 million of the Term Loans in accordance with the terms of this Agreement.</w:t>
      </w:r>
    </w:p>
    <w:p>
      <w:pPr>
        <w:spacing w:after="0" w:line="178" w:lineRule="exact"/>
        <w:rPr>
          <w:rFonts w:ascii="Times New Roman" w:cs="Times New Roman" w:eastAsia="Times New Roman" w:hAnsi="Times New Roman"/>
          <w:sz w:val="22"/>
          <w:szCs w:val="22"/>
          <w:u w:val="single" w:color="auto"/>
          <w:color w:val="auto"/>
        </w:rPr>
      </w:pPr>
    </w:p>
    <w:p>
      <w:pPr>
        <w:jc w:val="both"/>
        <w:ind w:left="-8" w:firstLine="1304"/>
        <w:spacing w:after="0" w:line="244" w:lineRule="auto"/>
        <w:tabs>
          <w:tab w:leader="none" w:pos="1621"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no event shall any Loan Party be permitted to dispose of any Material Intellectual Property, whether as a Disposition, Investment, Restricted Payment or otherwise in the ordinary course of such Loan Party’s business, to any Unrestricted Subsidiary or any</w:t>
      </w:r>
    </w:p>
    <w:p>
      <w:pPr>
        <w:sectPr>
          <w:pgSz w:w="11900" w:h="16838" w:orient="portrait"/>
          <w:cols w:equalWidth="0" w:num="1">
            <w:col w:w="11232"/>
          </w:cols>
          <w:pgMar w:left="328"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-170-</w:t>
      </w:r>
    </w:p>
    <w:p>
      <w:pPr>
        <w:sectPr>
          <w:pgSz w:w="11900" w:h="16838" w:orient="portrait"/>
          <w:cols w:equalWidth="0" w:num="1">
            <w:col w:w="11232"/>
          </w:cols>
          <w:pgMar w:left="328" w:top="1084" w:right="339" w:bottom="1440" w:gutter="0" w:footer="0" w:header="0"/>
          <w:type w:val="continuous"/>
        </w:sectPr>
      </w:pPr>
    </w:p>
    <w:bookmarkStart w:id="266" w:name="page267"/>
    <w:bookmarkEnd w:id="266"/>
    <w:p>
      <w:pPr>
        <w:spacing w:after="0" w:line="262" w:lineRule="auto"/>
        <w:rPr>
          <w:sz w:val="20"/>
          <w:szCs w:val="20"/>
          <w:color w:val="auto"/>
        </w:rPr>
      </w:pPr>
      <w:r>
        <w:rPr>
          <w:rFonts w:ascii="Times New Roman" w:cs="Times New Roman" w:eastAsia="Times New Roman" w:hAnsi="Times New Roman"/>
          <w:sz w:val="22"/>
          <w:szCs w:val="22"/>
          <w:color w:val="auto"/>
        </w:rPr>
        <w:t xml:space="preserve">Restricted Subsidiary that is not a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Loan Parties shall be permitted to grant non-exclusive licenses to any Unrestricted Subsidiary or any Restricted Subsidiary that is not a Loan Party in the ordinary course of business.</w:t>
      </w:r>
    </w:p>
    <w:p>
      <w:pPr>
        <w:spacing w:after="0" w:line="154"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u w:val="single" w:color="auto"/>
          <w:color w:val="auto"/>
        </w:rPr>
        <w:t>Section 7.07</w:t>
      </w:r>
      <w:r>
        <w:rPr>
          <w:sz w:val="20"/>
          <w:szCs w:val="20"/>
          <w:color w:val="auto"/>
        </w:rPr>
        <w:tab/>
      </w:r>
      <w:r>
        <w:rPr>
          <w:rFonts w:ascii="Times New Roman" w:cs="Times New Roman" w:eastAsia="Times New Roman" w:hAnsi="Times New Roman"/>
          <w:sz w:val="21"/>
          <w:szCs w:val="21"/>
          <w:u w:val="single" w:color="auto"/>
          <w:color w:val="auto"/>
        </w:rPr>
        <w:t>Affiliate Transactions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firstLine="652"/>
        <w:spacing w:after="0" w:line="236" w:lineRule="auto"/>
        <w:tabs>
          <w:tab w:leader="none" w:pos="2419"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shall not, and shall not permit any of its Restricted Subsidiaries to enter into or conduct any transaction (including the purchase, sale, lease or exchange of any property or the rendering of any service) with any Affiliate of Holdings (an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involving aggregate value in excess of the greater of $16.0 million and 7.5% of LTM EBITDA unless:</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39" w:lineRule="auto"/>
        <w:tabs>
          <w:tab w:leader="none" w:pos="3102"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such Affiliate Transaction taken as a whole are not materially less favorable to Holdings or such Restricted Subsidiary, as the case may be, than those that could be obtained in a comparable transaction at the time of such transaction or the execution of the agreement providing for such transaction in arm’s length dealings with a Person who is not such an Affiliate; and</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111"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such Affiliate Transaction involves an aggregate value in excess of the greater of $21.3 million and 10.0% of LTM EBITDA, the terms of such transaction have been approved by a majority of the members of the Board of Directors.</w:t>
      </w:r>
    </w:p>
    <w:p>
      <w:pPr>
        <w:spacing w:after="0" w:line="17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Any Affiliate Transaction shall be deemed to have satisfied the requirements set forth in </w:t>
      </w:r>
      <w:r>
        <w:rPr>
          <w:rFonts w:ascii="Times New Roman" w:cs="Times New Roman" w:eastAsia="Times New Roman" w:hAnsi="Times New Roman"/>
          <w:sz w:val="22"/>
          <w:szCs w:val="22"/>
          <w:u w:val="single" w:color="auto"/>
          <w:color w:val="auto"/>
        </w:rPr>
        <w:t>Section 7.07(a)(ii)</w:t>
      </w:r>
      <w:r>
        <w:rPr>
          <w:rFonts w:ascii="Times New Roman" w:cs="Times New Roman" w:eastAsia="Times New Roman" w:hAnsi="Times New Roman"/>
          <w:sz w:val="22"/>
          <w:szCs w:val="22"/>
          <w:color w:val="auto"/>
        </w:rPr>
        <w:t xml:space="preserve"> if such Affiliate Transaction is approved by a majority of the Disinterested Directors, if any.</w:t>
      </w:r>
    </w:p>
    <w:p>
      <w:pPr>
        <w:spacing w:after="0" w:line="158" w:lineRule="exact"/>
        <w:rPr>
          <w:sz w:val="20"/>
          <w:szCs w:val="20"/>
          <w:color w:val="auto"/>
        </w:rPr>
      </w:pPr>
    </w:p>
    <w:p>
      <w:pPr>
        <w:ind w:left="1600" w:hanging="296"/>
        <w:spacing w:after="0"/>
        <w:tabs>
          <w:tab w:leader="none" w:pos="160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7.07(a)</w:t>
      </w:r>
      <w:r>
        <w:rPr>
          <w:rFonts w:ascii="Times New Roman" w:cs="Times New Roman" w:eastAsia="Times New Roman" w:hAnsi="Times New Roman"/>
          <w:sz w:val="22"/>
          <w:szCs w:val="22"/>
          <w:color w:val="auto"/>
        </w:rPr>
        <w:t xml:space="preserve"> shall not apply to:</w:t>
      </w:r>
    </w:p>
    <w:p>
      <w:pPr>
        <w:spacing w:after="0" w:line="192" w:lineRule="exact"/>
        <w:rPr>
          <w:rFonts w:ascii="Times New Roman" w:cs="Times New Roman" w:eastAsia="Times New Roman" w:hAnsi="Times New Roman"/>
          <w:sz w:val="22"/>
          <w:szCs w:val="22"/>
          <w:color w:val="auto"/>
        </w:rPr>
      </w:pPr>
    </w:p>
    <w:p>
      <w:pPr>
        <w:ind w:left="1960" w:hanging="8"/>
        <w:spacing w:after="0" w:line="258" w:lineRule="auto"/>
        <w:tabs>
          <w:tab w:leader="none" w:pos="2431"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or other transaction permitted to be made or undertaken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 xml:space="preserve"> hereof (including Permitted Payments), or any Permitted Investment;</w:t>
      </w:r>
    </w:p>
    <w:p>
      <w:pPr>
        <w:spacing w:after="0" w:line="158" w:lineRule="exact"/>
        <w:rPr>
          <w:rFonts w:ascii="Times New Roman" w:cs="Times New Roman" w:eastAsia="Times New Roman" w:hAnsi="Times New Roman"/>
          <w:sz w:val="22"/>
          <w:szCs w:val="22"/>
          <w:color w:val="auto"/>
        </w:rPr>
      </w:pPr>
    </w:p>
    <w:p>
      <w:pPr>
        <w:jc w:val="both"/>
        <w:ind w:left="1960" w:hanging="8"/>
        <w:spacing w:after="0" w:line="236" w:lineRule="auto"/>
        <w:tabs>
          <w:tab w:leader="none" w:pos="2551"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transfer or sale of (a) Capital Stock, options, other equity-related interests or other securities, or other payments, awards or grants in cash, securities or otherwise to any Parent Entity, Permitted Holder or future, current or former employee, director, officer, manager, contractor, consultant or advisor (or their respective Controlled Investment Affiliates or Immediate Family Members) of the Borrower, any of its Subsidiaries or any of its Parent Entities and (b) directors’ qualifying shares and shares issued to foreign nationals as required under applicable law;</w:t>
      </w:r>
    </w:p>
    <w:p>
      <w:pPr>
        <w:spacing w:after="0" w:line="181"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Advances and any waiver or transaction with respect thereto;</w:t>
      </w:r>
    </w:p>
    <w:p>
      <w:pPr>
        <w:spacing w:after="0" w:line="206" w:lineRule="exact"/>
        <w:rPr>
          <w:rFonts w:ascii="Times New Roman" w:cs="Times New Roman" w:eastAsia="Times New Roman" w:hAnsi="Times New Roman"/>
          <w:sz w:val="22"/>
          <w:szCs w:val="22"/>
          <w:color w:val="auto"/>
        </w:rPr>
      </w:pPr>
    </w:p>
    <w:p>
      <w:pPr>
        <w:jc w:val="both"/>
        <w:ind w:left="1960" w:hanging="8"/>
        <w:spacing w:after="0" w:line="236" w:lineRule="auto"/>
        <w:tabs>
          <w:tab w:leader="none" w:pos="2671"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any transaction between or among Holdings and any Restricted Subsidiary (or entity that becomes a Restricted Subsidiary as a result of such transaction), or between or among Restricted Subsidiaries and (b) any merger, amalgamation or consolidation with any Parent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Parent Entity shall have no material liabilities and no material assets other than cash,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ectPr>
          <w:pgSz w:w="11900" w:h="16838" w:orient="portrait"/>
          <w:cols w:equalWidth="0" w:num="1">
            <w:col w:w="11240"/>
          </w:cols>
          <w:pgMar w:left="320" w:top="1080" w:right="339" w:bottom="1440" w:gutter="0" w:footer="0" w:header="0"/>
        </w:sectPr>
      </w:pPr>
    </w:p>
    <w:bookmarkStart w:id="267" w:name="page268"/>
    <w:bookmarkEnd w:id="267"/>
    <w:p>
      <w:pPr>
        <w:ind w:left="840"/>
        <w:spacing w:after="0" w:line="258" w:lineRule="auto"/>
        <w:rPr>
          <w:sz w:val="20"/>
          <w:szCs w:val="20"/>
          <w:color w:val="auto"/>
        </w:rPr>
      </w:pPr>
      <w:r>
        <w:rPr>
          <w:rFonts w:ascii="Times New Roman" w:cs="Times New Roman" w:eastAsia="Times New Roman" w:hAnsi="Times New Roman"/>
          <w:sz w:val="22"/>
          <w:szCs w:val="22"/>
          <w:color w:val="auto"/>
        </w:rPr>
        <w:t>Cash Equivalents and the Capital Stock of the Borrower and such merger, amalgamation or consolidation is otherwise permitted under this Agreement;</w:t>
      </w:r>
    </w:p>
    <w:p>
      <w:pPr>
        <w:spacing w:after="0" w:line="158" w:lineRule="exact"/>
        <w:rPr>
          <w:sz w:val="20"/>
          <w:szCs w:val="20"/>
          <w:color w:val="auto"/>
        </w:rPr>
      </w:pPr>
    </w:p>
    <w:p>
      <w:pPr>
        <w:jc w:val="both"/>
        <w:ind w:left="840" w:hanging="8"/>
        <w:spacing w:after="0" w:line="233" w:lineRule="auto"/>
        <w:tabs>
          <w:tab w:leader="none" w:pos="130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compensation, fees, costs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Holdings, any Parent Entity or any Restricted Subsidiary (whether directly or indirectly including through any Person owned or controlled by any of such employees, directors, officers, managers, contractors, consultants, distributors or advisors (or their respective Controlled Investment Affiliates or Immediate Family Members));</w:t>
      </w:r>
    </w:p>
    <w:p>
      <w:pPr>
        <w:spacing w:after="0" w:line="199" w:lineRule="exact"/>
        <w:rPr>
          <w:rFonts w:ascii="Times New Roman" w:cs="Times New Roman" w:eastAsia="Times New Roman" w:hAnsi="Times New Roman"/>
          <w:sz w:val="22"/>
          <w:szCs w:val="22"/>
          <w:color w:val="auto"/>
        </w:rPr>
      </w:pPr>
    </w:p>
    <w:p>
      <w:pPr>
        <w:jc w:val="both"/>
        <w:ind w:left="840" w:hanging="8"/>
        <w:spacing w:after="0" w:line="241" w:lineRule="auto"/>
        <w:tabs>
          <w:tab w:leader="none" w:pos="133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entry into and performance of obligations of Holdings or any of its Restricted Subsidiaries under the terms of any transaction arising out of, and any payments pursuant to or for purposes of funding, any agreement or instrument in effect as of or on the Closing Date or entered into on or about the Closing Date in connection with the Transactions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that any such Affiliate Transaction in a principal amount in excess of $3.0 million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set forth on Schedule 7.07 to the Closing Date Certificate), as these agreements and instruments may be amended, modified, supplemented, extended, renewed or refinanced from time to time in accordance with the other terms of this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or to the extent not more disadvantageous to the Lenders in any material respect in the reasonable determination of Holdings when taken as a whole as compared to the applicable agreement as in effect on the Closing Date or when entered into in connection with the Transactions, as applicable;</w:t>
      </w:r>
    </w:p>
    <w:p>
      <w:pPr>
        <w:spacing w:after="0" w:line="183" w:lineRule="exact"/>
        <w:rPr>
          <w:rFonts w:ascii="Times New Roman" w:cs="Times New Roman" w:eastAsia="Times New Roman" w:hAnsi="Times New Roman"/>
          <w:sz w:val="20"/>
          <w:szCs w:val="20"/>
          <w:color w:val="auto"/>
        </w:rPr>
      </w:pPr>
    </w:p>
    <w:p>
      <w:pPr>
        <w:jc w:val="both"/>
        <w:ind w:left="840" w:hanging="8"/>
        <w:spacing w:after="0" w:line="244" w:lineRule="auto"/>
        <w:tabs>
          <w:tab w:leader="none" w:pos="146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173"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737"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vendors, clients, joint venture partners, suppliers, contractors, distributors or purchasers or sellers of goods or services, in each case in the ordinary course of business or consistent with past practice, which are fair to Holdings or the relevant Restricted Subsidiary, in the reasonable determination of Holdings, or are on terms, taken as a whole, that are not materially less favorable as might reasonably have been obtained at such time from an unaffiliated party;</w:t>
      </w:r>
    </w:p>
    <w:p>
      <w:pPr>
        <w:spacing w:after="0" w:line="163"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39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between or among Holdings or any Restricted Subsidiary and any Person (including a joint venture or an Unrestricted Subsidiary) that is an Affiliate of Holdings or similar entity solely because Holdings or a Restricted Subsidiary or any Affiliate of Holdings or a Restricted Subsidiary or any Affiliate of any Permitted Holder owns an equity interest in or otherwise controls such Affiliate or similar entity;</w:t>
      </w:r>
    </w:p>
    <w:p>
      <w:pPr>
        <w:spacing w:after="0" w:line="176"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356"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issuances, sales or transfers of Capital Stock (other than Disqualified Stock or Designated Preferred Stock) of Holdings, any Parent Entity or any of the Restricted Subsidiaries or options, warrants or other rights to acquire such Capital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-172-</w:t>
      </w:r>
    </w:p>
    <w:p>
      <w:pPr>
        <w:sectPr>
          <w:pgSz w:w="11900" w:h="16838" w:orient="portrait"/>
          <w:cols w:equalWidth="0" w:num="1">
            <w:col w:w="10120"/>
          </w:cols>
          <w:pgMar w:left="1440" w:top="1084" w:right="339" w:bottom="1440" w:gutter="0" w:footer="0" w:header="0"/>
        </w:sectPr>
      </w:pPr>
    </w:p>
    <w:bookmarkStart w:id="268" w:name="page269"/>
    <w:bookmarkEnd w:id="268"/>
    <w:p>
      <w:pPr>
        <w:jc w:val="both"/>
        <w:ind w:left="840"/>
        <w:spacing w:after="0" w:line="244" w:lineRule="auto"/>
        <w:rPr>
          <w:sz w:val="20"/>
          <w:szCs w:val="20"/>
          <w:color w:val="auto"/>
        </w:rPr>
      </w:pPr>
      <w:r>
        <w:rPr>
          <w:rFonts w:ascii="Times New Roman" w:cs="Times New Roman" w:eastAsia="Times New Roman" w:hAnsi="Times New Roman"/>
          <w:sz w:val="22"/>
          <w:szCs w:val="22"/>
          <w:color w:val="auto"/>
        </w:rPr>
        <w:t>Stock and the granting of registration and other customary rights (and the performance of the related obligations) in connection therewith or any contribution to capital of Holdings or any Restricted Subsidiary;</w:t>
      </w:r>
    </w:p>
    <w:p>
      <w:pPr>
        <w:spacing w:after="0" w:line="173" w:lineRule="exact"/>
        <w:rPr>
          <w:sz w:val="20"/>
          <w:szCs w:val="20"/>
          <w:color w:val="auto"/>
        </w:rPr>
      </w:pPr>
    </w:p>
    <w:p>
      <w:pPr>
        <w:jc w:val="both"/>
        <w:ind w:left="840" w:hanging="8"/>
        <w:spacing w:after="0" w:line="235" w:lineRule="auto"/>
        <w:tabs>
          <w:tab w:leader="none" w:pos="1433"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financial advisory, monitoring, management, consulting, oversight and similar fees (including refinancing, subsequent transaction and termination fees) under any management agreement in effect on the Closing Date and expenses and indemnities of the Sponsor and to directors (with no restrictions on the payment of such advisory, monitoring, management, consulting, oversight and similar fees or the payment of such expenses and indemnities);</w:t>
      </w:r>
    </w:p>
    <w:p>
      <w:pPr>
        <w:spacing w:after="0" w:line="178" w:lineRule="exact"/>
        <w:rPr>
          <w:rFonts w:ascii="Times New Roman" w:cs="Times New Roman" w:eastAsia="Times New Roman" w:hAnsi="Times New Roman"/>
          <w:sz w:val="22"/>
          <w:szCs w:val="22"/>
          <w:color w:val="auto"/>
        </w:rPr>
      </w:pPr>
    </w:p>
    <w:p>
      <w:pPr>
        <w:ind w:left="840" w:hanging="8"/>
        <w:spacing w:after="0" w:line="258" w:lineRule="auto"/>
        <w:tabs>
          <w:tab w:leader="none" w:pos="143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any Permitted Holder of all out of pocket expenses Incurred by such Permitted Holder in connection with its direct or indirect investment in Holdings and its Subsidiaries;</w:t>
      </w:r>
    </w:p>
    <w:p>
      <w:pPr>
        <w:spacing w:after="0" w:line="158"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566"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and the payment of all fees, costs and expenses (including all legal, accounting and other professional fees, costs and expenses) related to the Transactions, including Transaction Expenses;</w:t>
      </w:r>
    </w:p>
    <w:p>
      <w:pPr>
        <w:spacing w:after="0" w:line="173"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561"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in which Holdings or any Restricted Subsidiary, as the case may be, delivers to the Administrative Agent a letter from an Independent Financial Advisor stating that such transaction is fair to Holdings or such Restricted Subsidiary from a financial point of view or meets the requirements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7.07(a)(i)</w:t>
      </w:r>
      <w:r>
        <w:rPr>
          <w:rFonts w:ascii="Times New Roman" w:cs="Times New Roman" w:eastAsia="Times New Roman" w:hAnsi="Times New Roman"/>
          <w:sz w:val="22"/>
          <w:szCs w:val="22"/>
          <w:color w:val="auto"/>
        </w:rPr>
        <w:t xml:space="preserve"> hereof;</w:t>
      </w:r>
    </w:p>
    <w:p>
      <w:pPr>
        <w:spacing w:after="0" w:line="166" w:lineRule="exact"/>
        <w:rPr>
          <w:rFonts w:ascii="Times New Roman" w:cs="Times New Roman" w:eastAsia="Times New Roman" w:hAnsi="Times New Roman"/>
          <w:sz w:val="22"/>
          <w:szCs w:val="22"/>
          <w:color w:val="auto"/>
        </w:rPr>
      </w:pPr>
    </w:p>
    <w:p>
      <w:pPr>
        <w:jc w:val="both"/>
        <w:ind w:left="840" w:hanging="8"/>
        <w:spacing w:after="0" w:line="234" w:lineRule="auto"/>
        <w:tabs>
          <w:tab w:leader="none" w:pos="1519"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existence of, or the performance by Holdings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Parent Entity) may enter into thereafter;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existence of, or the performance by Holdings or any Restricted Subsidiary (or any Parent Entity)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Borrower than those in effect on the Closing Date;</w:t>
      </w:r>
    </w:p>
    <w:p>
      <w:pPr>
        <w:spacing w:after="0" w:line="184" w:lineRule="exact"/>
        <w:rPr>
          <w:rFonts w:ascii="Times New Roman" w:cs="Times New Roman" w:eastAsia="Times New Roman" w:hAnsi="Times New Roman"/>
          <w:sz w:val="22"/>
          <w:szCs w:val="22"/>
          <w:color w:val="auto"/>
        </w:rPr>
      </w:pPr>
    </w:p>
    <w:p>
      <w:pPr>
        <w:jc w:val="both"/>
        <w:ind w:left="840" w:hanging="8"/>
        <w:spacing w:after="0" w:line="258" w:lineRule="auto"/>
        <w:tabs>
          <w:tab w:leader="none" w:pos="1552"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purchases by Holdings’ Affiliates of Indebtedness or Disqualified Stock of Holdings or any of the Restricted Subsidiaries the majority of which Indebtedness or Disqualified Stock is purchased by Persons who are not Holdings’ Affiliates</w:t>
      </w:r>
      <w:r>
        <w:rPr>
          <w:rFonts w:ascii="Times New Roman" w:cs="Times New Roman" w:eastAsia="Times New Roman" w:hAnsi="Times New Roman"/>
          <w:sz w:val="21"/>
          <w:szCs w:val="21"/>
          <w:color w:val="auto"/>
        </w:rPr>
        <w:t>;</w:t>
      </w:r>
    </w:p>
    <w:p>
      <w:pPr>
        <w:spacing w:after="0" w:line="159" w:lineRule="exact"/>
        <w:rPr>
          <w:rFonts w:ascii="Times New Roman" w:cs="Times New Roman" w:eastAsia="Times New Roman" w:hAnsi="Times New Roman"/>
          <w:sz w:val="20"/>
          <w:szCs w:val="20"/>
          <w:color w:val="auto"/>
        </w:rPr>
      </w:pPr>
    </w:p>
    <w:p>
      <w:pPr>
        <w:jc w:val="both"/>
        <w:ind w:left="840" w:hanging="8"/>
        <w:spacing w:after="0" w:line="246" w:lineRule="auto"/>
        <w:tabs>
          <w:tab w:leader="none" w:pos="1561"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investments by Affiliates in securities or loans of Holdings or any of its Restricted Subsidiaries (and payment of reasonable out-of-pocket expenses incurred by such Affiliates in connection therewith) so long as the investment is being offered by Holdings or such Restricted Subsidiary generally to other non-affiliated third party investors on the same or more favorable terms and (ii) payments to Affiliates in respect of securities or loans of Holdings or any of its Restricted Subsidiaries contemplated in the foregoing subclause (i) or that were acquired from Persons other than Holdings and its Restricted Subsidiaries, in each case, in accordance with the terms of such securities or loans;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-173-</w:t>
      </w:r>
    </w:p>
    <w:p>
      <w:pPr>
        <w:sectPr>
          <w:pgSz w:w="11900" w:h="16838" w:orient="portrait"/>
          <w:cols w:equalWidth="0" w:num="1">
            <w:col w:w="10120"/>
          </w:cols>
          <w:pgMar w:left="1440" w:top="1084" w:right="339" w:bottom="1440" w:gutter="0" w:footer="0" w:header="0"/>
        </w:sectPr>
      </w:pPr>
    </w:p>
    <w:bookmarkStart w:id="269" w:name="page270"/>
    <w:bookmarkEnd w:id="269"/>
    <w:p>
      <w:pPr>
        <w:ind w:left="840" w:right="20" w:hanging="8"/>
        <w:spacing w:after="0" w:line="258" w:lineRule="auto"/>
        <w:tabs>
          <w:tab w:leader="none" w:pos="1692"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any Parent Entity, Holdings and its Restricted Subsidiaries pursuant to any tax sharing agreement to the extent permitted by </w:t>
      </w:r>
      <w:r>
        <w:rPr>
          <w:rFonts w:ascii="Times New Roman" w:cs="Times New Roman" w:eastAsia="Times New Roman" w:hAnsi="Times New Roman"/>
          <w:sz w:val="22"/>
          <w:szCs w:val="22"/>
          <w:u w:val="single" w:color="auto"/>
          <w:color w:val="auto"/>
        </w:rPr>
        <w:t>Section 7.06(b)(ix)(B)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7.06(b)(ix)(C)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840" w:hanging="8"/>
        <w:spacing w:after="0" w:line="244" w:lineRule="auto"/>
        <w:tabs>
          <w:tab w:leader="none" w:pos="1533"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Indebtedness and Disqualified Stock (and cancellation of any thereof) of Holdings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Holdings,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Holdings in good faith;</w:t>
      </w:r>
    </w:p>
    <w:p>
      <w:pPr>
        <w:spacing w:after="0" w:line="177" w:lineRule="exact"/>
        <w:rPr>
          <w:rFonts w:ascii="Times New Roman" w:cs="Times New Roman" w:eastAsia="Times New Roman" w:hAnsi="Times New Roman"/>
          <w:sz w:val="21"/>
          <w:szCs w:val="21"/>
          <w:color w:val="auto"/>
        </w:rPr>
      </w:pPr>
    </w:p>
    <w:p>
      <w:pPr>
        <w:jc w:val="both"/>
        <w:ind w:left="840" w:hanging="8"/>
        <w:spacing w:after="0" w:line="234" w:lineRule="auto"/>
        <w:tabs>
          <w:tab w:leader="none" w:pos="1518"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Holdings or its Restricted Subsidiaries and any distributor, employee, director, officer, manager, contractor, consultant or advisor (or their respective Controlled Investment Affiliates or Immediate Family Members) approved by the reasonable determination of Holdings or entered into in connection with the Transactions;</w:t>
      </w:r>
    </w:p>
    <w:p>
      <w:pPr>
        <w:spacing w:after="0" w:line="176" w:lineRule="exact"/>
        <w:rPr>
          <w:rFonts w:ascii="Times New Roman" w:cs="Times New Roman" w:eastAsia="Times New Roman" w:hAnsi="Times New Roman"/>
          <w:sz w:val="22"/>
          <w:szCs w:val="22"/>
          <w:color w:val="auto"/>
        </w:rPr>
      </w:pPr>
    </w:p>
    <w:p>
      <w:pPr>
        <w:jc w:val="both"/>
        <w:ind w:left="840" w:hanging="8"/>
        <w:spacing w:after="0" w:line="238" w:lineRule="auto"/>
        <w:tabs>
          <w:tab w:leader="none" w:pos="159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transition services arrangement, supply arrangement or similar arrangement entered into in connection with or in contemplation of the disposition of assets or Capital Stock in any Restricted Subsidiary permitted under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hereof or entered into with any Business Successor, in each case, that Holdings determines in good faith is either fair to Holdings or otherwise on customary terms for such type of arrangements in connection with similar transactions;</w:t>
      </w:r>
    </w:p>
    <w:p>
      <w:pPr>
        <w:spacing w:after="0" w:line="176" w:lineRule="exact"/>
        <w:rPr>
          <w:rFonts w:ascii="Times New Roman" w:cs="Times New Roman" w:eastAsia="Times New Roman" w:hAnsi="Times New Roman"/>
          <w:sz w:val="22"/>
          <w:szCs w:val="22"/>
          <w:color w:val="auto"/>
        </w:rPr>
      </w:pPr>
    </w:p>
    <w:p>
      <w:pPr>
        <w:jc w:val="both"/>
        <w:ind w:left="840" w:hanging="8"/>
        <w:spacing w:after="0" w:line="244" w:lineRule="auto"/>
        <w:tabs>
          <w:tab w:leader="none" w:pos="16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entered into by an Unrestricted Subsidiary with an Affiliate prior to the day such Unrestricted Subsidiary is redesignated as a Restricted Subsidiary under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pledges of Capital Stock of Unrestricted Subsidiaries;</w:t>
      </w:r>
    </w:p>
    <w:p>
      <w:pPr>
        <w:spacing w:after="0" w:line="159" w:lineRule="exact"/>
        <w:rPr>
          <w:rFonts w:ascii="Times New Roman" w:cs="Times New Roman" w:eastAsia="Times New Roman" w:hAnsi="Times New Roman"/>
          <w:sz w:val="22"/>
          <w:szCs w:val="22"/>
          <w:color w:val="auto"/>
        </w:rPr>
      </w:pPr>
    </w:p>
    <w:p>
      <w:pPr>
        <w:jc w:val="both"/>
        <w:ind w:left="840" w:hanging="8"/>
        <w:spacing w:after="0" w:line="239" w:lineRule="auto"/>
        <w:tabs>
          <w:tab w:leader="none" w:pos="173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lease entered into between Holdings or any Restricted Subsidiary, as lessee, and any Affiliate of Holdings, as lessor and (ii) any operational services arrangement entered into between Holdings or any Restricted Subsidiary and any Affiliate of Holdings, in each case, which is approved as being on arm’s length terms by the reasonable determination of Holdings;</w:t>
      </w:r>
    </w:p>
    <w:p>
      <w:pPr>
        <w:spacing w:after="0" w:line="180" w:lineRule="exact"/>
        <w:rPr>
          <w:rFonts w:ascii="Times New Roman" w:cs="Times New Roman" w:eastAsia="Times New Roman" w:hAnsi="Times New Roman"/>
          <w:sz w:val="22"/>
          <w:szCs w:val="22"/>
          <w:color w:val="auto"/>
        </w:rPr>
      </w:pPr>
    </w:p>
    <w:p>
      <w:pPr>
        <w:ind w:left="840" w:hanging="8"/>
        <w:spacing w:after="0" w:line="258" w:lineRule="auto"/>
        <w:tabs>
          <w:tab w:leader="none" w:pos="172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IP Rights licenses or sublicenses or research or development agreements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-174-</w:t>
      </w:r>
    </w:p>
    <w:p>
      <w:pPr>
        <w:sectPr>
          <w:pgSz w:w="11900" w:h="16838" w:orient="portrait"/>
          <w:cols w:equalWidth="0" w:num="1">
            <w:col w:w="10120"/>
          </w:cols>
          <w:pgMar w:left="1440" w:top="1084" w:right="339" w:bottom="1440" w:gutter="0" w:footer="0" w:header="0"/>
        </w:sectPr>
      </w:pPr>
    </w:p>
    <w:bookmarkStart w:id="270" w:name="page271"/>
    <w:bookmarkEnd w:id="270"/>
    <w:p>
      <w:pPr>
        <w:jc w:val="both"/>
        <w:ind w:left="1960" w:hanging="8"/>
        <w:spacing w:after="0" w:line="244" w:lineRule="auto"/>
        <w:tabs>
          <w:tab w:leader="none" w:pos="2732"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to or from, and transactions with, any Subsidiary or any joint venture in the ordinary course of business or consistent with past practice (including any cash management arrangements or activities related thereto);</w:t>
      </w:r>
    </w:p>
    <w:p>
      <w:pPr>
        <w:spacing w:after="0" w:line="173" w:lineRule="exact"/>
        <w:rPr>
          <w:rFonts w:ascii="Times New Roman" w:cs="Times New Roman" w:eastAsia="Times New Roman" w:hAnsi="Times New Roman"/>
          <w:sz w:val="22"/>
          <w:szCs w:val="22"/>
          <w:color w:val="auto"/>
        </w:rPr>
      </w:pPr>
    </w:p>
    <w:p>
      <w:pPr>
        <w:ind w:left="1960" w:right="20" w:hanging="8"/>
        <w:spacing w:after="0" w:line="258" w:lineRule="auto"/>
        <w:tabs>
          <w:tab w:leader="none" w:pos="2743"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fees, costs and expenses related to registration rights and indemnities provided to equityholders pursuant to equityholders, investor rights, registration rights or similar agreements;</w:t>
      </w:r>
    </w:p>
    <w:p>
      <w:pPr>
        <w:spacing w:after="0" w:line="158" w:lineRule="exact"/>
        <w:rPr>
          <w:rFonts w:ascii="Times New Roman" w:cs="Times New Roman" w:eastAsia="Times New Roman" w:hAnsi="Times New Roman"/>
          <w:sz w:val="22"/>
          <w:szCs w:val="22"/>
          <w:color w:val="auto"/>
        </w:rPr>
      </w:pPr>
    </w:p>
    <w:p>
      <w:pPr>
        <w:ind w:left="1960" w:hanging="8"/>
        <w:spacing w:after="0" w:line="245" w:lineRule="auto"/>
        <w:tabs>
          <w:tab w:leader="none" w:pos="3004"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undertaken in the ordinary course of business pursuant to membership in a purchasing consortium;</w:t>
      </w:r>
    </w:p>
    <w:p>
      <w:pPr>
        <w:spacing w:after="0" w:line="172" w:lineRule="exact"/>
        <w:rPr>
          <w:sz w:val="20"/>
          <w:szCs w:val="20"/>
          <w:color w:val="auto"/>
        </w:rPr>
      </w:pPr>
    </w:p>
    <w:p>
      <w:pPr>
        <w:ind w:left="1960" w:hanging="8"/>
        <w:spacing w:after="0" w:line="258" w:lineRule="auto"/>
        <w:tabs>
          <w:tab w:leader="none" w:pos="3173"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Permitted Intercompany Activities, Permitted Tax Restructuring, Permitted IPO Reorganization and Intercompany License Agreements; and</w:t>
      </w:r>
    </w:p>
    <w:p>
      <w:pPr>
        <w:spacing w:after="0" w:line="158" w:lineRule="exact"/>
        <w:rPr>
          <w:sz w:val="20"/>
          <w:szCs w:val="20"/>
          <w:color w:val="auto"/>
        </w:rPr>
      </w:pPr>
    </w:p>
    <w:p>
      <w:pPr>
        <w:ind w:left="2920" w:hanging="968"/>
        <w:spacing w:after="0"/>
        <w:tabs>
          <w:tab w:leader="none" w:pos="292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pricing or shared services agreements and intercompany loans in connection therewith.</w:t>
      </w:r>
    </w:p>
    <w:p>
      <w:pPr>
        <w:spacing w:after="0" w:line="218" w:lineRule="exact"/>
        <w:rPr>
          <w:sz w:val="20"/>
          <w:szCs w:val="20"/>
          <w:color w:val="auto"/>
        </w:rPr>
      </w:pPr>
    </w:p>
    <w:p>
      <w:pPr>
        <w:jc w:val="both"/>
        <w:ind w:left="1300" w:firstLine="652"/>
        <w:spacing w:after="0" w:line="233" w:lineRule="auto"/>
        <w:tabs>
          <w:tab w:leader="none" w:pos="2411"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if Holdings or any of its Restricted Subsidiaries (i) purchases or otherwise acquires assets or properties from a Person which is not an Affiliate, the purchase or acquisition by an Affiliate of Holdings of an interest in all or a portion of the assets or properties acquired shall not be deemed an Affiliate Transaction (or cause such purchase or acquisition by Holdings or a Restricted Subsidiary to be deemed an Affiliate Transaction) or (ii) sells or otherwise disposes of assets or other properties to a Person who is not an Affiliate, the sale or other disposition by an Affiliate of Holdings of an interest in all or a portion of the assets or properties sold shall not be deemed an Affiliate Transaction (or cause such sale or other disposition by Holdings or a Restricted Subsidiary to be deemed an Affiliate Transaction).</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u w:val="single" w:color="auto"/>
          <w:color w:val="auto"/>
        </w:rPr>
        <w:t>Limitation on Restrictions on Distributions from Restricted Subsidiaries and Negative Pledges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right="20" w:firstLine="652"/>
        <w:spacing w:after="0" w:line="244" w:lineRule="auto"/>
        <w:tabs>
          <w:tab w:leader="none" w:pos="248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shall not, and shall not permit any Restricted Subsidiary to, create or otherwise cause or permit to exist or become effective any consensual encumbrance or consensual restriction on the ability of any Restricted Subsidiary to:</w:t>
      </w:r>
    </w:p>
    <w:p>
      <w:pPr>
        <w:spacing w:after="0" w:line="173" w:lineRule="exact"/>
        <w:rPr>
          <w:sz w:val="20"/>
          <w:szCs w:val="20"/>
          <w:color w:val="auto"/>
        </w:rPr>
      </w:pPr>
    </w:p>
    <w:p>
      <w:pPr>
        <w:ind w:left="1960" w:right="60" w:hanging="8"/>
        <w:spacing w:after="0" w:line="244" w:lineRule="auto"/>
        <w:tabs>
          <w:tab w:leader="none" w:pos="238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create, incur, assume or suffer to exist any Lien upon any of their respective properties or revenues, whether now owned or hereafter acquired, or which requires the grant of any security for an obligation if security is granted for another obligation;</w:t>
      </w:r>
    </w:p>
    <w:p>
      <w:pPr>
        <w:spacing w:after="0" w:line="173" w:lineRule="exact"/>
        <w:rPr>
          <w:rFonts w:ascii="Times New Roman" w:cs="Times New Roman" w:eastAsia="Times New Roman" w:hAnsi="Times New Roman"/>
          <w:sz w:val="22"/>
          <w:szCs w:val="22"/>
          <w:color w:val="auto"/>
        </w:rPr>
      </w:pPr>
    </w:p>
    <w:p>
      <w:pPr>
        <w:ind w:left="1960" w:hanging="8"/>
        <w:spacing w:after="0" w:line="258" w:lineRule="auto"/>
        <w:tabs>
          <w:tab w:leader="none" w:pos="2504"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in cash or otherwise on its Capital Stock or pay any Indebtedness or other obligations owed to Holdings or any Restricted Subsidiary;</w:t>
      </w:r>
    </w:p>
    <w:p>
      <w:pPr>
        <w:spacing w:after="0" w:line="144"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loans or advances to Holdings or any Restricted Subsidiary; or</w:t>
      </w:r>
    </w:p>
    <w:p>
      <w:pPr>
        <w:spacing w:after="0" w:line="20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property or assets to Holdings or any Restricted Subsidiary;</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(x) the priority of any Preferred Stock in receiving dividends or liquidating distributions prior to dividends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liquidating distributions being paid on common stock and (y) the subordination of (including the application of any standstill requirements to) loans or advances made 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1900" w:h="16838" w:orient="portrait"/>
          <w:cols w:equalWidth="0" w:num="1">
            <w:col w:w="11240"/>
          </w:cols>
          <w:pgMar w:left="320" w:top="1084" w:right="339" w:bottom="1440" w:gutter="0" w:footer="0" w:header="0"/>
        </w:sectPr>
      </w:pPr>
    </w:p>
    <w:bookmarkStart w:id="271" w:name="page272"/>
    <w:bookmarkEnd w:id="271"/>
    <w:p>
      <w:pPr>
        <w:spacing w:after="0" w:line="258" w:lineRule="auto"/>
        <w:rPr>
          <w:sz w:val="20"/>
          <w:szCs w:val="20"/>
          <w:color w:val="auto"/>
        </w:rPr>
      </w:pPr>
      <w:r>
        <w:rPr>
          <w:rFonts w:ascii="Times New Roman" w:cs="Times New Roman" w:eastAsia="Times New Roman" w:hAnsi="Times New Roman"/>
          <w:sz w:val="22"/>
          <w:szCs w:val="22"/>
          <w:color w:val="auto"/>
        </w:rPr>
        <w:t>Holdings or any Restricted Subsidiary to other Indebtedness Incurred by Holdings or any Restricted Subsidiary shall not be deemed to constitute such an encumbrance or restriction.</w:t>
      </w:r>
    </w:p>
    <w:p>
      <w:pPr>
        <w:spacing w:after="0" w:line="158" w:lineRule="exact"/>
        <w:rPr>
          <w:sz w:val="20"/>
          <w:szCs w:val="20"/>
          <w:color w:val="auto"/>
        </w:rPr>
      </w:pPr>
    </w:p>
    <w:p>
      <w:pPr>
        <w:ind w:left="2420" w:hanging="468"/>
        <w:spacing w:after="0"/>
        <w:tabs>
          <w:tab w:leader="none" w:pos="2420"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7.08(a)</w:t>
      </w:r>
      <w:r>
        <w:rPr>
          <w:rFonts w:ascii="Times New Roman" w:cs="Times New Roman" w:eastAsia="Times New Roman" w:hAnsi="Times New Roman"/>
          <w:sz w:val="22"/>
          <w:szCs w:val="22"/>
          <w:color w:val="auto"/>
        </w:rPr>
        <w:t xml:space="preserve"> shall not prohibit:</w:t>
      </w:r>
    </w:p>
    <w:p>
      <w:pPr>
        <w:spacing w:after="0" w:line="206" w:lineRule="exact"/>
        <w:rPr>
          <w:rFonts w:ascii="Times New Roman" w:cs="Times New Roman" w:eastAsia="Times New Roman" w:hAnsi="Times New Roman"/>
          <w:sz w:val="22"/>
          <w:szCs w:val="22"/>
          <w:color w:val="auto"/>
        </w:rPr>
      </w:pPr>
    </w:p>
    <w:p>
      <w:pPr>
        <w:ind w:left="1960" w:firstLine="640"/>
        <w:spacing w:after="0" w:line="258" w:lineRule="auto"/>
        <w:tabs>
          <w:tab w:leader="none" w:pos="3031" w:val="left"/>
        </w:tabs>
        <w:numPr>
          <w:ilvl w:val="2"/>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any agreement or instrument, in each case, in effect at or entered into on the Closing Date in connection with the Transactions;</w:t>
      </w:r>
    </w:p>
    <w:p>
      <w:pPr>
        <w:spacing w:after="0" w:line="158"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pursuant to this Agreement, the Collateral Documents and the</w:t>
      </w:r>
    </w:p>
    <w:p>
      <w:pPr>
        <w:spacing w:after="0" w:line="12" w:lineRule="exact"/>
        <w:rPr>
          <w:rFonts w:ascii="Times New Roman" w:cs="Times New Roman" w:eastAsia="Times New Roman" w:hAnsi="Times New Roman"/>
          <w:sz w:val="21"/>
          <w:szCs w:val="21"/>
          <w:color w:val="auto"/>
        </w:rPr>
      </w:pP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Guarantees;</w:t>
      </w:r>
    </w:p>
    <w:p>
      <w:pPr>
        <w:spacing w:after="0" w:line="182" w:lineRule="exact"/>
        <w:rPr>
          <w:rFonts w:ascii="Times New Roman" w:cs="Times New Roman" w:eastAsia="Times New Roman" w:hAnsi="Times New Roman"/>
          <w:sz w:val="21"/>
          <w:szCs w:val="21"/>
          <w:color w:val="auto"/>
        </w:rPr>
      </w:pPr>
    </w:p>
    <w:p>
      <w:pPr>
        <w:ind w:left="3140" w:hanging="540"/>
        <w:spacing w:after="0"/>
        <w:tabs>
          <w:tab w:leader="none" w:pos="3140" w:val="left"/>
        </w:tabs>
        <w:numPr>
          <w:ilvl w:val="2"/>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1960" w:firstLine="640"/>
        <w:spacing w:after="0" w:line="243" w:lineRule="auto"/>
        <w:tabs>
          <w:tab w:leader="none" w:pos="3139" w:val="left"/>
        </w:tabs>
        <w:numPr>
          <w:ilvl w:val="2"/>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encumbrance or restriction pursuant to an agreement or instrument of a Person or relating to any Capital Stock or Indebtedness of a Person, entered into on or before the date on which such Person was acquired by or merged, amalgamated, consolidated or otherwise combined with or into Holdings or any Restricted Subsidiary, or was designated as a Restricted Subsidiary or on which such agreement or instrument is assumed by Holdings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Holdings or was merged, amalgamated, consolidated or otherwise combined with or into Holdings or any Restricted Subsidiary or entered into in contemplation of or in connection with such transaction) and outstanding on such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purposes of this clause (iv), if another Person is the Successor Company, any Subsidiary thereof or agreement or instrument of such Person or any such Subsidiary shall be deemed acquired or assumed by Holdings or any Restricted Subsidiary when such Person becomes the Successor Company;</w:t>
      </w:r>
    </w:p>
    <w:p>
      <w:pPr>
        <w:spacing w:after="0" w:line="183"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w:t>
      </w:r>
    </w:p>
    <w:p>
      <w:pPr>
        <w:spacing w:after="0" w:line="206" w:lineRule="exact"/>
        <w:rPr>
          <w:sz w:val="20"/>
          <w:szCs w:val="20"/>
          <w:color w:val="auto"/>
        </w:rPr>
      </w:pPr>
    </w:p>
    <w:p>
      <w:pPr>
        <w:jc w:val="both"/>
        <w:ind w:firstLine="1952"/>
        <w:spacing w:after="0" w:line="244" w:lineRule="auto"/>
        <w:tabs>
          <w:tab w:leader="none" w:pos="2298"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restricts in a customary manner the subletting, assignment or transfer of any property or asset that is subject to a lease, license or similar contract or agreement, or the assignment or transfer of any lease, license or other contract or agreement;</w:t>
      </w:r>
    </w:p>
    <w:p>
      <w:pPr>
        <w:spacing w:after="0" w:line="17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28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contained in mortgages, pledges, charges or other security agreements permitted under this Agreement and the Collateral Documents or securing Indebtedness of Holdings or a Restricted Subsidiary permitted under this Agreement and the Collateral Documents to the extent such encumbrances or restrictions restrict the transfer or encumbrance of the property or assets subject to such mortgages, pledges, charges or other security agreements;</w:t>
      </w:r>
    </w:p>
    <w:p>
      <w:pPr>
        <w:spacing w:after="0" w:line="179" w:lineRule="exact"/>
        <w:rPr>
          <w:rFonts w:ascii="Times New Roman" w:cs="Times New Roman" w:eastAsia="Times New Roman" w:hAnsi="Times New Roman"/>
          <w:sz w:val="22"/>
          <w:szCs w:val="22"/>
          <w:color w:val="auto"/>
        </w:rPr>
      </w:pPr>
    </w:p>
    <w:p>
      <w:pPr>
        <w:jc w:val="both"/>
        <w:ind w:firstLine="1952"/>
        <w:spacing w:after="0" w:line="236" w:lineRule="auto"/>
        <w:tabs>
          <w:tab w:leader="none" w:pos="232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contained in any trading, netting, operating, construction, service, supply, purchase, sale or other agreement to which Holdings or any of its Restricted Subsidiaries is a party entered into in the ordinary course of business or consistent with past practice;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prohibits the encumbrance of solely the property or assets of Holdings or such Restricted Subsidiary that are subject to such agreement, the payment rights arising thereunder or the proceeds thereof and does not extend to any other asset or property of Holdings or such Restricted Subsidiary or the assets or property of another Restricted Subsidiary; or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ectPr>
          <w:pgSz w:w="11900" w:h="16838" w:orient="portrait"/>
          <w:cols w:equalWidth="0" w:num="1">
            <w:col w:w="11240"/>
          </w:cols>
          <w:pgMar w:left="320" w:top="1084" w:right="339" w:bottom="1440" w:gutter="0" w:footer="0" w:header="0"/>
        </w:sectPr>
      </w:pPr>
    </w:p>
    <w:bookmarkStart w:id="272" w:name="page273"/>
    <w:bookmarkEnd w:id="272"/>
    <w:p>
      <w:pPr>
        <w:ind w:firstLine="1952"/>
        <w:spacing w:after="0" w:line="258" w:lineRule="auto"/>
        <w:tabs>
          <w:tab w:leader="none" w:pos="2325"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customary provisions restricting dispositions of real property interests set forth in any reciprocal easement agreements of Holdings or any Restricted Subsidiary;</w:t>
      </w:r>
    </w:p>
    <w:p>
      <w:pPr>
        <w:spacing w:after="0" w:line="158"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263"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Purchase Money Obligations and Capitalized Lease Obligations permitted under this Agreement and the Collateral Documents, in each case, that impose encumbrances or restrictions on the property so acquired;</w:t>
      </w:r>
    </w:p>
    <w:p>
      <w:pPr>
        <w:spacing w:after="0" w:line="173" w:lineRule="exact"/>
        <w:rPr>
          <w:rFonts w:ascii="Times New Roman" w:cs="Times New Roman" w:eastAsia="Times New Roman" w:hAnsi="Times New Roman"/>
          <w:sz w:val="22"/>
          <w:szCs w:val="22"/>
          <w:color w:val="auto"/>
        </w:rPr>
      </w:pPr>
    </w:p>
    <w:p>
      <w:pPr>
        <w:jc w:val="both"/>
        <w:ind w:left="1960" w:firstLine="640"/>
        <w:spacing w:after="0" w:line="236" w:lineRule="auto"/>
        <w:tabs>
          <w:tab w:leader="none" w:pos="3218"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imposed pursuant to an agreement entered into for the direct or indirect sale or disposition to a Person of all or substantially all the Capital Stock or assets of Holdings or any Restricted Subsidiary (or the property or assets that are subject to such restriction) pending the closing of such sale or disposition;</w:t>
      </w:r>
    </w:p>
    <w:p>
      <w:pPr>
        <w:spacing w:after="0" w:line="179" w:lineRule="exact"/>
        <w:rPr>
          <w:rFonts w:ascii="Times New Roman" w:cs="Times New Roman" w:eastAsia="Times New Roman" w:hAnsi="Times New Roman"/>
          <w:sz w:val="22"/>
          <w:szCs w:val="22"/>
          <w:color w:val="auto"/>
        </w:rPr>
      </w:pPr>
    </w:p>
    <w:p>
      <w:pPr>
        <w:ind w:left="1960" w:firstLine="640"/>
        <w:spacing w:after="0" w:line="258" w:lineRule="auto"/>
        <w:tabs>
          <w:tab w:leader="none" w:pos="326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leases, licenses, equityholder agreements, joint venture agreements, organizational documents and other similar agreements and instruments;</w:t>
      </w:r>
    </w:p>
    <w:p>
      <w:pPr>
        <w:spacing w:after="0" w:line="158" w:lineRule="exact"/>
        <w:rPr>
          <w:rFonts w:ascii="Times New Roman" w:cs="Times New Roman" w:eastAsia="Times New Roman" w:hAnsi="Times New Roman"/>
          <w:sz w:val="22"/>
          <w:szCs w:val="22"/>
          <w:color w:val="auto"/>
        </w:rPr>
      </w:pPr>
    </w:p>
    <w:p>
      <w:pPr>
        <w:ind w:left="1960" w:firstLine="640"/>
        <w:spacing w:after="0" w:line="258" w:lineRule="auto"/>
        <w:tabs>
          <w:tab w:leader="none" w:pos="3145"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or restrictions arising or existing by reason of applicable law or any applicable rule, regulation or order, or required by any regulatory authority;</w:t>
      </w:r>
    </w:p>
    <w:p>
      <w:pPr>
        <w:spacing w:after="0" w:line="158" w:lineRule="exact"/>
        <w:rPr>
          <w:rFonts w:ascii="Times New Roman" w:cs="Times New Roman" w:eastAsia="Times New Roman" w:hAnsi="Times New Roman"/>
          <w:sz w:val="22"/>
          <w:szCs w:val="22"/>
          <w:color w:val="auto"/>
        </w:rPr>
      </w:pPr>
    </w:p>
    <w:p>
      <w:pPr>
        <w:ind w:left="1960" w:firstLine="640"/>
        <w:spacing w:after="0" w:line="282" w:lineRule="auto"/>
        <w:tabs>
          <w:tab w:leader="none" w:pos="3118" w:val="left"/>
        </w:tabs>
        <w:numPr>
          <w:ilvl w:val="1"/>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on cash or other deposits or net worth imposed by customers under agreements entered into in the ordinary course of business or consistent with past practice;</w:t>
      </w:r>
    </w:p>
    <w:p>
      <w:pPr>
        <w:spacing w:after="0" w:line="134" w:lineRule="exact"/>
        <w:rPr>
          <w:rFonts w:ascii="Times New Roman" w:cs="Times New Roman" w:eastAsia="Times New Roman" w:hAnsi="Times New Roman"/>
          <w:sz w:val="21"/>
          <w:szCs w:val="21"/>
          <w:color w:val="auto"/>
        </w:rPr>
      </w:pPr>
    </w:p>
    <w:p>
      <w:pPr>
        <w:ind w:left="3120" w:hanging="520"/>
        <w:spacing w:after="0"/>
        <w:tabs>
          <w:tab w:leader="none" w:pos="312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Hedging Obligations;</w:t>
      </w:r>
    </w:p>
    <w:p>
      <w:pPr>
        <w:spacing w:after="0" w:line="206" w:lineRule="exact"/>
        <w:rPr>
          <w:rFonts w:ascii="Times New Roman" w:cs="Times New Roman" w:eastAsia="Times New Roman" w:hAnsi="Times New Roman"/>
          <w:sz w:val="22"/>
          <w:szCs w:val="22"/>
          <w:color w:val="auto"/>
        </w:rPr>
      </w:pPr>
    </w:p>
    <w:p>
      <w:pPr>
        <w:jc w:val="both"/>
        <w:ind w:left="1960" w:firstLine="640"/>
        <w:spacing w:after="0" w:line="238" w:lineRule="auto"/>
        <w:tabs>
          <w:tab w:leader="none" w:pos="3227"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Disqualified Stock or Preferred Stock of Foreign Subsidiaries permitted to be Incurred or issued subsequent to the Closing Date pursuant to the provisions of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that impose restrictions solely on the Foreign Subsidiaries party thereto or their Subsidiaries;</w:t>
      </w:r>
    </w:p>
    <w:p>
      <w:pPr>
        <w:spacing w:after="0" w:line="178"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576"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created in connection with any Qualified Securitization Financing or Receivables Facility that, in the good faith determination of the Borrower, are necessary or advisable to effect such Securitization Facility or Receivables Facility;</w:t>
      </w:r>
    </w:p>
    <w:p>
      <w:pPr>
        <w:spacing w:after="0" w:line="173" w:lineRule="exact"/>
        <w:rPr>
          <w:rFonts w:ascii="Times New Roman" w:cs="Times New Roman" w:eastAsia="Times New Roman" w:hAnsi="Times New Roman"/>
          <w:sz w:val="22"/>
          <w:szCs w:val="22"/>
          <w:color w:val="auto"/>
        </w:rPr>
      </w:pPr>
    </w:p>
    <w:p>
      <w:pPr>
        <w:jc w:val="both"/>
        <w:ind w:left="1960" w:firstLine="640"/>
        <w:spacing w:after="0" w:line="232" w:lineRule="auto"/>
        <w:tabs>
          <w:tab w:leader="none" w:pos="3282"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arising pursuant to an agreement or instrument (which, if it relates to any Indebtedness, shall only be permitted if such Indebtedness is permitted to be Incurred pursuant to the provisions of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hereof) if (i) the encumbrances and restrictions contained in any such agreement or instrument taken as a whole are not materially less favorable to the Lenders than (a) the encumbrances and restrictions contained in the this Agreement, together with the security documents associated therewith or (b) in comparable financings (as determined in good faith by the Borrower) or (ii) either (a) the Borrower determines at the time of entry into such agreement or instrument that such encumbrances or restrictions will not adversely affect, in any material respect, the Borrower’s ability to make principal or interest payments on the Secured Obligations or (b) such encumbrance or restriction applies only during the continuance of a default in respect of a payment relating to such agreement or instrument;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ectPr>
          <w:pgSz w:w="11900" w:h="16838" w:orient="portrait"/>
          <w:cols w:equalWidth="0" w:num="1">
            <w:col w:w="11240"/>
          </w:cols>
          <w:pgMar w:left="320" w:top="1084" w:right="339" w:bottom="1440" w:gutter="0" w:footer="0" w:header="0"/>
        </w:sectPr>
      </w:pPr>
    </w:p>
    <w:bookmarkStart w:id="273" w:name="page274"/>
    <w:bookmarkEnd w:id="273"/>
    <w:p>
      <w:pPr>
        <w:ind w:left="2540" w:hanging="600"/>
        <w:spacing w:after="0"/>
        <w:tabs>
          <w:tab w:leader="none" w:pos="2540"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encumbrance or restriction existing by reason of any Lien permitted under </w:t>
      </w:r>
      <w:r>
        <w:rPr>
          <w:rFonts w:ascii="Times New Roman" w:cs="Times New Roman" w:eastAsia="Times New Roman" w:hAnsi="Times New Roman"/>
          <w:sz w:val="21"/>
          <w:szCs w:val="21"/>
          <w:u w:val="single" w:color="auto"/>
          <w:color w:val="auto"/>
        </w:rPr>
        <w:t>Section 7.01</w:t>
      </w:r>
    </w:p>
    <w:p>
      <w:pPr>
        <w:spacing w:after="0" w:line="25"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hereof; or</w:t>
      </w:r>
    </w:p>
    <w:p>
      <w:pPr>
        <w:spacing w:after="0" w:line="182" w:lineRule="exact"/>
        <w:rPr>
          <w:rFonts w:ascii="Times New Roman" w:cs="Times New Roman" w:eastAsia="Times New Roman" w:hAnsi="Times New Roman"/>
          <w:sz w:val="21"/>
          <w:szCs w:val="21"/>
          <w:color w:val="auto"/>
        </w:rPr>
      </w:pPr>
    </w:p>
    <w:p>
      <w:pPr>
        <w:jc w:val="both"/>
        <w:ind w:left="1300" w:firstLine="640"/>
        <w:spacing w:after="0" w:line="249" w:lineRule="auto"/>
        <w:tabs>
          <w:tab w:leader="none" w:pos="2825"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encumbrance or restriction pursuant to an agreement or instrument effecting a refinancing of Indebtedness Incurred pursuant to, or that otherwise refinances, an agreement or instrument referred to in clauses (i) to (xv) of this </w:t>
      </w:r>
      <w:r>
        <w:rPr>
          <w:rFonts w:ascii="Times New Roman" w:cs="Times New Roman" w:eastAsia="Times New Roman" w:hAnsi="Times New Roman"/>
          <w:sz w:val="21"/>
          <w:szCs w:val="21"/>
          <w:u w:val="single" w:color="auto"/>
          <w:color w:val="auto"/>
        </w:rPr>
        <w:t>Section 7.08(b)</w:t>
      </w:r>
      <w:r>
        <w:rPr>
          <w:rFonts w:ascii="Times New Roman" w:cs="Times New Roman" w:eastAsia="Times New Roman" w:hAnsi="Times New Roman"/>
          <w:sz w:val="21"/>
          <w:szCs w:val="21"/>
          <w:color w:val="auto"/>
        </w:rPr>
        <w:t xml:space="preserve"> or this clause (xvi) (an “</w:t>
      </w:r>
      <w:r>
        <w:rPr>
          <w:rFonts w:ascii="Times New Roman" w:cs="Times New Roman" w:eastAsia="Times New Roman" w:hAnsi="Times New Roman"/>
          <w:sz w:val="21"/>
          <w:szCs w:val="21"/>
          <w:u w:val="single" w:color="auto"/>
          <w:color w:val="auto"/>
        </w:rPr>
        <w:t>Initial Agreement</w:t>
      </w:r>
      <w:r>
        <w:rPr>
          <w:rFonts w:ascii="Times New Roman" w:cs="Times New Roman" w:eastAsia="Times New Roman" w:hAnsi="Times New Roman"/>
          <w:sz w:val="21"/>
          <w:szCs w:val="21"/>
          <w:color w:val="auto"/>
        </w:rPr>
        <w:t>”) or</w:t>
      </w:r>
    </w:p>
    <w:p>
      <w:pPr>
        <w:ind w:left="1300"/>
        <w:spacing w:after="0" w:line="229" w:lineRule="auto"/>
        <w:rPr>
          <w:sz w:val="20"/>
          <w:szCs w:val="20"/>
          <w:color w:val="auto"/>
        </w:rPr>
      </w:pPr>
      <w:r>
        <w:rPr>
          <w:rFonts w:ascii="Times New Roman" w:cs="Times New Roman" w:eastAsia="Times New Roman" w:hAnsi="Times New Roman"/>
          <w:sz w:val="21"/>
          <w:szCs w:val="21"/>
          <w:color w:val="auto"/>
        </w:rPr>
        <w:t>contained in any amendment, supplement or other modification to an agreement referred to in clauses (i) to</w:t>
      </w:r>
    </w:p>
    <w:p>
      <w:pPr>
        <w:jc w:val="both"/>
        <w:ind w:left="1300" w:hanging="8"/>
        <w:spacing w:after="0" w:line="233" w:lineRule="auto"/>
        <w:tabs>
          <w:tab w:leader="none" w:pos="1723"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7.08(b)</w:t>
      </w:r>
      <w:r>
        <w:rPr>
          <w:rFonts w:ascii="Times New Roman" w:cs="Times New Roman" w:eastAsia="Times New Roman" w:hAnsi="Times New Roman"/>
          <w:sz w:val="22"/>
          <w:szCs w:val="22"/>
          <w:color w:val="auto"/>
        </w:rPr>
        <w:t xml:space="preserve"> or this clause (xvi);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encumbrances and restrictions with respect to such Restricted Subsidiary contained in any such agreement or instrument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Borrower).</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Except with the written consent of the Required Revolving Credit Lenders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u w:val="single" w:color="auto"/>
          <w:color w:val="0000FF"/>
        </w:rPr>
        <w:t>,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19"/>
          <w:szCs w:val="19"/>
          <w:color w:val="000000"/>
        </w:rPr>
        <w:t>subject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 8.05</w:t>
      </w:r>
      <w:r>
        <w:rPr>
          <w:rFonts w:ascii="Times New Roman" w:cs="Times New Roman" w:eastAsia="Times New Roman" w:hAnsi="Times New Roman"/>
          <w:sz w:val="19"/>
          <w:szCs w:val="19"/>
          <w:color w:val="000000"/>
        </w:rPr>
        <w:t>, Holdings shall not permit the Consolidated First Lien Secured Leverage Ratio as of the last day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19"/>
          <w:szCs w:val="19"/>
          <w:color w:val="000000"/>
        </w:rPr>
        <w:t xml:space="preserve">any Test Period (commencing with the last day of the first full fiscal quarter of Holdings commencing after the Closing Date) to be greater than </w:t>
      </w:r>
      <w:r>
        <w:rPr>
          <w:rFonts w:ascii="Times New Roman" w:cs="Times New Roman" w:eastAsia="Times New Roman" w:hAnsi="Times New Roman"/>
          <w:sz w:val="21"/>
          <w:szCs w:val="21"/>
          <w:color w:val="FF0000"/>
          <w:strike w:val="1"/>
        </w:rPr>
        <w:t>7.10</w:t>
      </w:r>
      <w:r>
        <w:rPr>
          <w:rFonts w:ascii="Times New Roman" w:cs="Times New Roman" w:eastAsia="Times New Roman" w:hAnsi="Times New Roman"/>
          <w:sz w:val="21"/>
          <w:szCs w:val="21"/>
          <w:u w:val="single" w:color="auto"/>
          <w:color w:val="0000FF"/>
        </w:rPr>
        <w:t>5.50</w:t>
      </w:r>
      <w:r>
        <w:rPr>
          <w:rFonts w:ascii="Times New Roman" w:cs="Times New Roman" w:eastAsia="Times New Roman" w:hAnsi="Times New Roman"/>
          <w:sz w:val="19"/>
          <w:szCs w:val="19"/>
          <w:color w:val="000000"/>
        </w:rPr>
        <w:t xml:space="preserve">:1.00. Notwithstanding the foregoing, this </w:t>
      </w:r>
      <w:r>
        <w:rPr>
          <w:rFonts w:ascii="Times New Roman" w:cs="Times New Roman" w:eastAsia="Times New Roman" w:hAnsi="Times New Roman"/>
          <w:sz w:val="21"/>
          <w:szCs w:val="21"/>
          <w:u w:val="single" w:color="auto"/>
          <w:color w:val="000000"/>
        </w:rPr>
        <w:t>Section 7.09</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19"/>
          <w:szCs w:val="19"/>
          <w:color w:val="000000"/>
        </w:rPr>
        <w:t xml:space="preserve"> shall only be tested when the sum of (i) the Outstanding Amount of Letters of Credit (other than those (x) that remain undrawn in an amount not to exceed $50,000,000 and (y) that are Cash Collateralized in an amount equal to the Outstanding Amount thereof) and (ii) the Outstanding Amount of Revolving Credit Loans exceeds 35.0% of the Revolving Credit Commitments as of the last day of such Test Period;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19"/>
          <w:szCs w:val="19"/>
          <w:color w:val="000000"/>
        </w:rPr>
        <w:t xml:space="preserve">, Revolving Credit Loans originally </w:t>
      </w:r>
      <w:r>
        <w:rPr>
          <w:rFonts w:ascii="Times New Roman" w:cs="Times New Roman" w:eastAsia="Times New Roman" w:hAnsi="Times New Roman"/>
          <w:sz w:val="21"/>
          <w:szCs w:val="21"/>
          <w:color w:val="000000"/>
        </w:rPr>
        <w:t>borrowed on the Closing Date to pay</w:t>
      </w:r>
      <w:r>
        <w:rPr>
          <w:rFonts w:ascii="Times New Roman" w:cs="Times New Roman" w:eastAsia="Times New Roman" w:hAnsi="Times New Roman"/>
          <w:sz w:val="19"/>
          <w:szCs w:val="19"/>
          <w:color w:val="000000"/>
        </w:rPr>
        <w:t xml:space="preserve"> a portion of the Transactions (including any working capital) or pay transaction expense or </w:t>
      </w:r>
      <w:r>
        <w:rPr>
          <w:rFonts w:ascii="Times New Roman" w:cs="Times New Roman" w:eastAsia="Times New Roman" w:hAnsi="Times New Roman"/>
          <w:sz w:val="21"/>
          <w:szCs w:val="21"/>
          <w:color w:val="000000"/>
        </w:rPr>
        <w:t>to fund original issue discount or upfront fees in connection with the “market flex” provisions of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color w:val="000000"/>
        </w:rPr>
        <w:t xml:space="preserve">Fee Letter shall be excluded from such calculation for the first four full fiscal quarter periods ending after the Closing Date </w:t>
      </w:r>
      <w:r>
        <w:rPr>
          <w:rFonts w:ascii="Times New Roman" w:cs="Times New Roman" w:eastAsia="Times New Roman" w:hAnsi="Times New Roman"/>
          <w:sz w:val="19"/>
          <w:szCs w:val="19"/>
          <w:color w:val="000000"/>
        </w:rPr>
        <w:t>(the “</w:t>
      </w:r>
      <w:r>
        <w:rPr>
          <w:rFonts w:ascii="Times New Roman" w:cs="Times New Roman" w:eastAsia="Times New Roman" w:hAnsi="Times New Roman"/>
          <w:sz w:val="21"/>
          <w:szCs w:val="21"/>
          <w:u w:val="single" w:color="auto"/>
          <w:color w:val="000000"/>
        </w:rPr>
        <w:t>Financial Covenant</w:t>
      </w:r>
      <w:r>
        <w:rPr>
          <w:rFonts w:ascii="Times New Roman" w:cs="Times New Roman" w:eastAsia="Times New Roman" w:hAnsi="Times New Roman"/>
          <w:sz w:val="19"/>
          <w:szCs w:val="19"/>
          <w:color w:val="000000"/>
        </w:rPr>
        <w:t>”)</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0000FF"/>
        </w:rPr>
        <w:t>; and</w:t>
      </w:r>
    </w:p>
    <w:p>
      <w:pPr>
        <w:spacing w:after="0" w:line="165" w:lineRule="exact"/>
        <w:rPr>
          <w:sz w:val="20"/>
          <w:szCs w:val="20"/>
          <w:color w:val="auto"/>
        </w:rPr>
      </w:pPr>
    </w:p>
    <w:p>
      <w:pPr>
        <w:jc w:val="both"/>
        <w:ind w:left="640" w:firstLine="4"/>
        <w:spacing w:after="0" w:line="247" w:lineRule="auto"/>
        <w:tabs>
          <w:tab w:leader="none" w:pos="1175" w:val="left"/>
        </w:tabs>
        <w:numPr>
          <w:ilvl w:val="0"/>
          <w:numId w:val="34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the Borrower shall not, and shall not permit any of the Restricted Subsidiaries to (i) incur Indebtedness in reliance on Section 7.03(b)(xi) in an aggregate principal amount exceeding the greater of (x) $75.0 million and (y) 35.0% of LTM EBITDA in the aggregate or (ii) make Restricted Payments described in clause (iii) of definition thereof in reliance on Section 7.06(b)(xxiv) in an aggregate amount exceeding the greater of (x) $35.0 million and</w:t>
      </w:r>
    </w:p>
    <w:p>
      <w:pPr>
        <w:spacing w:after="0" w:line="1" w:lineRule="exact"/>
        <w:rPr>
          <w:rFonts w:ascii="Times New Roman" w:cs="Times New Roman" w:eastAsia="Times New Roman" w:hAnsi="Times New Roman"/>
          <w:sz w:val="21"/>
          <w:szCs w:val="21"/>
          <w:u w:val="single" w:color="auto"/>
          <w:color w:val="0000FF"/>
        </w:rPr>
      </w:pPr>
    </w:p>
    <w:p>
      <w:pPr>
        <w:ind w:left="940" w:hanging="296"/>
        <w:spacing w:after="0"/>
        <w:tabs>
          <w:tab w:leader="none" w:pos="940" w:val="left"/>
        </w:tabs>
        <w:numPr>
          <w:ilvl w:val="0"/>
          <w:numId w:val="34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20.0% of LTM EBITDA.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Permitted Activities of Holdings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Holdings shall not:</w:t>
      </w:r>
    </w:p>
    <w:p>
      <w:pPr>
        <w:spacing w:after="0" w:line="206" w:lineRule="exact"/>
        <w:rPr>
          <w:sz w:val="20"/>
          <w:szCs w:val="20"/>
          <w:color w:val="auto"/>
        </w:rPr>
      </w:pPr>
    </w:p>
    <w:p>
      <w:pPr>
        <w:jc w:val="both"/>
        <w:ind w:left="640" w:firstLine="652"/>
        <w:spacing w:after="0" w:line="239" w:lineRule="auto"/>
        <w:tabs>
          <w:tab w:leader="none" w:pos="189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 other than (i) Guarantees of Indebtedness or other obligations of the Borrower and/or any Restricted Subsidiary, which Indebtedness or other obligations are otherwise permitted hereunder and (ii) Indebtedness owed to the Borrower or any Restricted Subsidiary otherwise permitted hereunder;</w:t>
      </w:r>
    </w:p>
    <w:p>
      <w:pPr>
        <w:spacing w:after="0" w:line="166" w:lineRule="exact"/>
        <w:rPr>
          <w:rFonts w:ascii="Times New Roman" w:cs="Times New Roman" w:eastAsia="Times New Roman" w:hAnsi="Times New Roman"/>
          <w:sz w:val="22"/>
          <w:szCs w:val="22"/>
          <w:color w:val="auto"/>
        </w:rPr>
      </w:pPr>
    </w:p>
    <w:p>
      <w:pPr>
        <w:ind w:left="640" w:right="20" w:firstLine="652"/>
        <w:spacing w:after="0" w:line="258" w:lineRule="auto"/>
        <w:tabs>
          <w:tab w:leader="none" w:pos="176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or suffer to exist any Lien on any property or asset now owned or hereafter acquired by it other than (i) the Liens created under the Collateral Documents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-178-</w:t>
      </w:r>
    </w:p>
    <w:p>
      <w:pPr>
        <w:sectPr>
          <w:pgSz w:w="11900" w:h="16838" w:orient="portrait"/>
          <w:cols w:equalWidth="0" w:num="1">
            <w:col w:w="10580"/>
          </w:cols>
          <w:pgMar w:left="980" w:top="1084" w:right="339" w:bottom="1440" w:gutter="0" w:footer="0" w:header="0"/>
        </w:sectPr>
      </w:pPr>
    </w:p>
    <w:bookmarkStart w:id="274" w:name="page275"/>
    <w:bookmarkEnd w:id="274"/>
    <w:p>
      <w:pPr>
        <w:jc w:val="both"/>
        <w:ind w:left="180"/>
        <w:spacing w:after="0" w:line="247" w:lineRule="auto"/>
        <w:rPr>
          <w:sz w:val="20"/>
          <w:szCs w:val="20"/>
          <w:color w:val="auto"/>
        </w:rPr>
      </w:pPr>
      <w:r>
        <w:rPr>
          <w:rFonts w:ascii="Times New Roman" w:cs="Times New Roman" w:eastAsia="Times New Roman" w:hAnsi="Times New Roman"/>
          <w:sz w:val="21"/>
          <w:szCs w:val="21"/>
          <w:color w:val="auto"/>
        </w:rPr>
        <w:t xml:space="preserve">and, subject to any Customary Intercreditor Agreement, as applicable, to which it is a party, (ii) [reserved], or (iii) Permitted Liens on the Collateral that are secured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or junior basis with the Secured Obligations, so long as such Permitted Liens secure Guarantees permitted under </w:t>
      </w:r>
      <w:r>
        <w:rPr>
          <w:rFonts w:ascii="Times New Roman" w:cs="Times New Roman" w:eastAsia="Times New Roman" w:hAnsi="Times New Roman"/>
          <w:sz w:val="21"/>
          <w:szCs w:val="21"/>
          <w:u w:val="single" w:color="auto"/>
          <w:color w:val="auto"/>
        </w:rPr>
        <w:t>clause(a)(i)</w:t>
      </w:r>
      <w:r>
        <w:rPr>
          <w:rFonts w:ascii="Times New Roman" w:cs="Times New Roman" w:eastAsia="Times New Roman" w:hAnsi="Times New Roman"/>
          <w:sz w:val="21"/>
          <w:szCs w:val="21"/>
          <w:color w:val="auto"/>
        </w:rPr>
        <w:t xml:space="preserve"> above and the underlying Indebtedness subject to such Guarantee is permitted to be secured on the same basis pursuant to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and</w:t>
      </w:r>
    </w:p>
    <w:p>
      <w:pPr>
        <w:spacing w:after="0" w:line="2" w:lineRule="exact"/>
        <w:rPr>
          <w:sz w:val="20"/>
          <w:szCs w:val="20"/>
          <w:color w:val="auto"/>
        </w:rPr>
      </w:pPr>
    </w:p>
    <w:p>
      <w:pPr>
        <w:ind w:left="180" w:right="20" w:firstLine="4"/>
        <w:spacing w:after="0" w:line="237" w:lineRule="auto"/>
        <w:tabs>
          <w:tab w:leader="none" w:pos="55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of the type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(other than in respect of Indebtedness for borrowed money not referred to in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or</w:t>
      </w:r>
    </w:p>
    <w:p>
      <w:pPr>
        <w:spacing w:after="0" w:line="164" w:lineRule="exact"/>
        <w:rPr>
          <w:rFonts w:ascii="Times New Roman" w:cs="Times New Roman" w:eastAsia="Times New Roman" w:hAnsi="Times New Roman"/>
          <w:sz w:val="22"/>
          <w:szCs w:val="22"/>
          <w:color w:val="auto"/>
        </w:rPr>
      </w:pPr>
    </w:p>
    <w:p>
      <w:pPr>
        <w:jc w:val="both"/>
        <w:ind w:left="180" w:firstLine="652"/>
        <w:spacing w:after="0" w:line="230" w:lineRule="auto"/>
        <w:tabs>
          <w:tab w:leader="none" w:pos="1311"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engage in any material business activity or own any material assets other than (i) holding the Capital Stock of the Borrower, and, indirectly, any other subsidiary of the Borrower (and/or any joint venture of any thereof); (ii) performing its obligations under the Loan Documents and other Indebtedness, Liens (including the granting of Liens) and Guarantees permitted hereunder; (iii) issuing its own Capital Stock (including, for the avoidance of doubt, the making of any dividend or distribution on account of, or any redemption, retirement, sinking fund or similar payment, purchase or other acquisition for value of, any shares of any class of Capital Stock permitted hereunder); (iv) filing tax reports and paying Taxes, including tax distributions made pursuant to </w:t>
      </w:r>
      <w:r>
        <w:rPr>
          <w:rFonts w:ascii="Times New Roman" w:cs="Times New Roman" w:eastAsia="Times New Roman" w:hAnsi="Times New Roman"/>
          <w:sz w:val="22"/>
          <w:szCs w:val="22"/>
          <w:u w:val="single" w:color="auto"/>
          <w:color w:val="auto"/>
        </w:rPr>
        <w:t>Section 7.06(ix)</w:t>
      </w:r>
      <w:r>
        <w:rPr>
          <w:rFonts w:ascii="Times New Roman" w:cs="Times New Roman" w:eastAsia="Times New Roman" w:hAnsi="Times New Roman"/>
          <w:sz w:val="22"/>
          <w:szCs w:val="22"/>
          <w:color w:val="auto"/>
        </w:rPr>
        <w:t xml:space="preserve"> and other customary obligations in the ordinary course (and contesting any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Laws; (vii) effecting any initial public offering of its Capital Stock;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Capital Stock of, Holdings pending the application thereof, or otherwise received and held so long as such other assets are not “operated” and (B) the proceeds of Indebtedness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(ix) providing indemnification for its officers, directors, members of management, employees and advisors or consultants; (x) participating in tax, accounting and other administrative matters; (xi) making payments of the type permitted under </w:t>
      </w:r>
      <w:r>
        <w:rPr>
          <w:rFonts w:ascii="Times New Roman" w:cs="Times New Roman" w:eastAsia="Times New Roman" w:hAnsi="Times New Roman"/>
          <w:sz w:val="22"/>
          <w:szCs w:val="22"/>
          <w:u w:val="single" w:color="auto"/>
          <w:color w:val="auto"/>
        </w:rPr>
        <w:t>Section 7.07(b)(xi)</w:t>
      </w:r>
      <w:r>
        <w:rPr>
          <w:rFonts w:ascii="Times New Roman" w:cs="Times New Roman" w:eastAsia="Times New Roman" w:hAnsi="Times New Roman"/>
          <w:sz w:val="22"/>
          <w:szCs w:val="22"/>
          <w:color w:val="auto"/>
        </w:rPr>
        <w:t xml:space="preserve"> and the performance of its obligations under any document, agreement and/or Investment contemplated by the Transactions or otherwise not prohibited under this Agreement; (xii) complying with applicable Laws (including with respect to the maintenance of its existence); (xiii) financing activities, including the receipt and payment of dividends and distributions, making contributions to the capital of its Subsidiaries and guaranteeing the obligations of the Borrower and the Borrower’s other Subsidiaries to the extent permitted hereunder; (xiv) repurchases of Indebtedness through open market purchases and/or “Dutch Auctions” permitted hereunder; (xv) activities incidental to Permitted Acquisitions or similar Investments consummated by the Borrower and/or any Restricted Subsidiaries, including the formation of acquisition vehicle entities and intercompany loans and/or Investments incidental to such Permitted Acquisitions or similar Investments; (xvi) consummating any Permitted IPO Reorganization or any Permitted Tax Restructuring; (xvii) the maintenance of its legal existence (including the ability to incur and pay, as applicable, fees, costs and expenses and taxes related to such maintenance); (xviii) any transaction expressly permitted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and (xix) activities incidental or reasonably related to any of the foregoing; 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-179-</w:t>
      </w:r>
    </w:p>
    <w:p>
      <w:pPr>
        <w:sectPr>
          <w:pgSz w:w="11900" w:h="16838" w:orient="portrait"/>
          <w:cols w:equalWidth="0" w:num="1">
            <w:col w:w="10120"/>
          </w:cols>
          <w:pgMar w:left="1440" w:top="1084" w:right="339" w:bottom="1440" w:gutter="0" w:footer="0" w:header="0"/>
        </w:sectPr>
      </w:pPr>
    </w:p>
    <w:bookmarkStart w:id="275" w:name="page276"/>
    <w:bookmarkEnd w:id="275"/>
    <w:p>
      <w:pPr>
        <w:jc w:val="both"/>
        <w:ind w:left="1300" w:firstLine="652"/>
        <w:spacing w:after="0" w:line="232" w:lineRule="auto"/>
        <w:tabs>
          <w:tab w:leader="none" w:pos="2500"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consolidate or amalgamate with, or merge with or into, or convey, sell or otherwise transfer all or substantially all of its assets to,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exists or would result therefrom, Holdings may consolidate or amalgamate with, or merge with or into, any other Person (other than the Borrower and any of its Subsidiaries) so long as (i) Holdings is the continuing or surviving Person or (ii) if the Person formed by or surviving any such consolidation, amalgamation or merger is not Holdings, (x) (i) the successor Person expressly assumes all obligations of Holdings under this Agreement and the other Loan Documents to which Holdings is a party pursuant to a supplement hereto and/or thereto in a form reasonably satisfactory to the Administrative Agent and (ii) the successor Person will be a Person organized or existing under the laws of the jurisdiction of the Borrower or the United States of America, any State of the United States or the District of Columbia or any territory thereof, (y) the Borrower delivers a certificate of a Responsible Officer with respect to the satisfaction of the conditions set forth in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and (z) the Administrative Agent shall have received all documentation and other information required by regulatory authorities under applicable “know your customer” and anti-money laundering rules and regulations, including without limitation the USA PATRIOT Act reasonably requested by the Lenders.</w:t>
      </w:r>
    </w:p>
    <w:p>
      <w:pPr>
        <w:spacing w:after="0" w:line="181"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7.11 Nature of Business</w:t>
      </w:r>
      <w:r>
        <w:rPr>
          <w:rFonts w:ascii="Times New Roman" w:cs="Times New Roman" w:eastAsia="Times New Roman" w:hAnsi="Times New Roman"/>
          <w:sz w:val="22"/>
          <w:szCs w:val="22"/>
          <w:color w:val="auto"/>
        </w:rPr>
        <w:t>. Holdings and its Restricted Subsidiaries will engage only in material lines of business substantially similar to those lines of business conducted by Holdings and its Restricted Subsidiaries on the Closing Date or any business reasonably related, complementary or ancillary thereto.</w:t>
      </w:r>
    </w:p>
    <w:p>
      <w:pPr>
        <w:spacing w:after="0" w:line="160"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Amendments of Material Documents</w:t>
      </w:r>
      <w:r>
        <w:rPr>
          <w:rFonts w:ascii="Times New Roman" w:cs="Times New Roman" w:eastAsia="Times New Roman" w:hAnsi="Times New Roman"/>
          <w:sz w:val="22"/>
          <w:szCs w:val="22"/>
          <w:color w:val="auto"/>
        </w:rPr>
        <w:t xml:space="preserve">. The Borrower shall not, nor shall the Borrower permit any Loan Party to, amend or modify its organizational documents in a manner that is materially adverse to the Lenders (in their capacities as such) without obtaining the prior written consent of the Administrative Agent; provided that, for the avoidance of doubt, it is understood and agreed that the Borrower and/or any Loan Party may amend or modify its organizational documents to effect a change to its respective organizational form and/or consummate any other transaction that is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1"/>
          <w:szCs w:val="21"/>
          <w:color w:val="auto"/>
        </w:rPr>
        <w:t xml:space="preserve">Section 7.13 </w:t>
      </w:r>
      <w:r>
        <w:rPr>
          <w:rFonts w:ascii="Times New Roman" w:cs="Times New Roman" w:eastAsia="Times New Roman" w:hAnsi="Times New Roman"/>
          <w:sz w:val="21"/>
          <w:szCs w:val="21"/>
          <w:u w:val="single" w:color="auto"/>
          <w:color w:val="auto"/>
        </w:rPr>
        <w:t>Changes in Fiscal Year</w:t>
      </w:r>
      <w:r>
        <w:rPr>
          <w:rFonts w:ascii="Times New Roman" w:cs="Times New Roman" w:eastAsia="Times New Roman" w:hAnsi="Times New Roman"/>
          <w:sz w:val="21"/>
          <w:szCs w:val="21"/>
          <w:color w:val="auto"/>
        </w:rPr>
        <w:t xml:space="preserve">. Holdings will not permit any change to its fiscal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Holdings may change its fiscal year end one or more times with the consent of the Administrative Agent, subject to such adjustments to this Agreement as the Borrower and Administrative Agent shall reasonably agree are necessary or appropriate in connection with such change (and the parties hereto hereby authorize the Borrower and the Administrative Agent to make any such amendments to this Agreement as they jointly deem necessary to give effect to the foregoing).</w:t>
      </w:r>
    </w:p>
    <w:p>
      <w:pPr>
        <w:spacing w:after="0" w:line="1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Events of Default and Remedies</w:t>
      </w:r>
    </w:p>
    <w:p>
      <w:pPr>
        <w:spacing w:after="0" w:line="20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Any of the following events referred to in any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inclusive of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1304"/>
        <w:spacing w:after="0" w:line="244" w:lineRule="auto"/>
        <w:tabs>
          <w:tab w:leader="none" w:pos="159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Any Loan Party fails to pay (i) when and as required to be paid herein, any amount of principal of any Loan or (ii) within five (5) Business Days after the same becomes due, any interest on any Loan or any other amount payable hereunder or with respect to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ectPr>
          <w:pgSz w:w="11900" w:h="16838" w:orient="portrait"/>
          <w:cols w:equalWidth="0" w:num="1">
            <w:col w:w="11240"/>
          </w:cols>
          <w:pgMar w:left="320" w:top="1084" w:right="339" w:bottom="1440" w:gutter="0" w:footer="0" w:header="0"/>
        </w:sectPr>
      </w:pPr>
    </w:p>
    <w:bookmarkStart w:id="276" w:name="page277"/>
    <w:bookmarkEnd w:id="276"/>
    <w:p>
      <w:pPr>
        <w:jc w:val="both"/>
        <w:ind w:firstLine="1304"/>
        <w:spacing w:after="0" w:line="243" w:lineRule="auto"/>
        <w:tabs>
          <w:tab w:leader="none" w:pos="1602"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Covenants</w:t>
      </w:r>
      <w:r>
        <w:rPr>
          <w:rFonts w:ascii="Times New Roman" w:cs="Times New Roman" w:eastAsia="Times New Roman" w:hAnsi="Times New Roman"/>
          <w:sz w:val="21"/>
          <w:szCs w:val="21"/>
          <w:color w:val="auto"/>
        </w:rPr>
        <w:t xml:space="preserve">. Any Loan Party fails to perform or observe any term, covenant or agreement contained in any of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6.04</w:t>
      </w:r>
      <w:r>
        <w:rPr>
          <w:rFonts w:ascii="Times New Roman" w:cs="Times New Roman" w:eastAsia="Times New Roman" w:hAnsi="Times New Roman"/>
          <w:sz w:val="21"/>
          <w:szCs w:val="21"/>
          <w:color w:val="auto"/>
        </w:rPr>
        <w:t xml:space="preserve"> (solely with respect to the Borrower),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 Default or an Event of Default in respect of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FF0000"/>
          <w:strike w:val="1"/>
        </w:rPr>
        <w:t>Financial Covenant Event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FF0000"/>
        </w:rPr>
        <w:t>Default</w:t>
      </w:r>
      <w:r>
        <w:rPr>
          <w:rFonts w:ascii="Times New Roman" w:cs="Times New Roman" w:eastAsia="Times New Roman" w:hAnsi="Times New Roman"/>
          <w:sz w:val="21"/>
          <w:szCs w:val="21"/>
          <w:color w:val="FF0000"/>
        </w:rPr>
        <w:t>”</w:t>
      </w:r>
      <w:r>
        <w:rPr>
          <w:rFonts w:ascii="Times New Roman" w:cs="Times New Roman" w:eastAsia="Times New Roman" w:hAnsi="Times New Roman"/>
          <w:sz w:val="21"/>
          <w:szCs w:val="21"/>
          <w:color w:val="000000"/>
        </w:rPr>
        <w:t>) shall not occur until the earlier of (x) the expiration of the fifteenth (15th) Business Day subsequent to the date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financial statements for the applicable fiscal quarter or fiscal year are required to be delivered pursuant to </w:t>
      </w:r>
      <w:r>
        <w:rPr>
          <w:rFonts w:ascii="Times New Roman" w:cs="Times New Roman" w:eastAsia="Times New Roman" w:hAnsi="Times New Roman"/>
          <w:sz w:val="21"/>
          <w:szCs w:val="21"/>
          <w:u w:val="single" w:color="auto"/>
          <w:color w:val="000000"/>
        </w:rPr>
        <w:t>Section 6.01(a)</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Section 6.01(b)</w:t>
      </w:r>
      <w:r>
        <w:rPr>
          <w:rFonts w:ascii="Times New Roman" w:cs="Times New Roman" w:eastAsia="Times New Roman" w:hAnsi="Times New Roman"/>
          <w:sz w:val="21"/>
          <w:szCs w:val="21"/>
          <w:color w:val="000000"/>
        </w:rPr>
        <w:t xml:space="preserve"> and (y) the date on which the Borrower notifies the Administrative Agent that the Cure Right shall not be exercised with respect to such breach, and then shall occur only if the Cure Amount has not been received on or prior to such date and (ii) a </w:t>
      </w:r>
      <w:r>
        <w:rPr>
          <w:rFonts w:ascii="Times New Roman" w:cs="Times New Roman" w:eastAsia="Times New Roman" w:hAnsi="Times New Roman"/>
          <w:sz w:val="21"/>
          <w:szCs w:val="21"/>
          <w:u w:val="single" w:color="auto"/>
          <w:color w:val="0000FF"/>
        </w:rPr>
        <w:t>Default of an Event of Default in respect of Section 7.09 (a “</w:t>
      </w:r>
      <w:r>
        <w:rPr>
          <w:rFonts w:ascii="Times New Roman" w:cs="Times New Roman" w:eastAsia="Times New Roman" w:hAnsi="Times New Roman"/>
          <w:sz w:val="21"/>
          <w:szCs w:val="21"/>
          <w:u w:val="single" w:color="auto"/>
          <w:color w:val="000000"/>
        </w:rPr>
        <w:t>Financial Covenant Event of Default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000000"/>
        </w:rPr>
        <w:t xml:space="preserve"> (or in each case, under any revolving facility that constitutes a Refinancing Indebtedness thereof) shall not constitute an Event of Default with respect to any Term Loans; </w:t>
      </w:r>
      <w:r>
        <w:rPr>
          <w:rFonts w:ascii="Times New Roman" w:cs="Times New Roman" w:eastAsia="Times New Roman" w:hAnsi="Times New Roman"/>
          <w:sz w:val="21"/>
          <w:szCs w:val="21"/>
          <w:i w:val="1"/>
          <w:iCs w:val="1"/>
          <w:color w:val="000000"/>
        </w:rPr>
        <w:t>provided further</w:t>
      </w:r>
      <w:r>
        <w:rPr>
          <w:rFonts w:ascii="Times New Roman" w:cs="Times New Roman" w:eastAsia="Times New Roman" w:hAnsi="Times New Roman"/>
          <w:sz w:val="21"/>
          <w:szCs w:val="21"/>
          <w:color w:val="000000"/>
        </w:rPr>
        <w:t xml:space="preserve"> that, and any Incremental Revolving Credit Commitments if such Incremental Revolving Lenders shall have agreed not to have the benefit of the Financial Covenant) unless and until the Required Revolving Credit Lenders have declared all amounts outstanding under the Revolving Credit Facility to be immediately due and payable and all outstanding Revolving Credit Commitments to be immediately terminated, in each case in accordance with this Agreement and such declaration has not been rescinded on or before such date (the “</w:t>
      </w:r>
      <w:r>
        <w:rPr>
          <w:rFonts w:ascii="Times New Roman" w:cs="Times New Roman" w:eastAsia="Times New Roman" w:hAnsi="Times New Roman"/>
          <w:sz w:val="21"/>
          <w:szCs w:val="21"/>
          <w:u w:val="single" w:color="auto"/>
          <w:color w:val="000000"/>
        </w:rPr>
        <w:t>Term Loan Standstill Period</w:t>
      </w:r>
      <w:r>
        <w:rPr>
          <w:rFonts w:ascii="Times New Roman" w:cs="Times New Roman" w:eastAsia="Times New Roman" w:hAnsi="Times New Roman"/>
          <w:sz w:val="21"/>
          <w:szCs w:val="21"/>
          <w:color w:val="000000"/>
        </w:rPr>
        <w:t>”); or</w:t>
      </w:r>
    </w:p>
    <w:p>
      <w:pPr>
        <w:spacing w:after="0" w:line="181" w:lineRule="exact"/>
        <w:rPr>
          <w:rFonts w:ascii="Times New Roman" w:cs="Times New Roman" w:eastAsia="Times New Roman" w:hAnsi="Times New Roman"/>
          <w:sz w:val="21"/>
          <w:szCs w:val="21"/>
          <w:color w:val="auto"/>
        </w:rPr>
      </w:pPr>
    </w:p>
    <w:p>
      <w:pPr>
        <w:jc w:val="both"/>
        <w:ind w:firstLine="1304"/>
        <w:spacing w:after="0" w:line="233" w:lineRule="auto"/>
        <w:tabs>
          <w:tab w:leader="none" w:pos="159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xml:space="preserve">. Any Loan Party fails to perform or observe any other covenant or agreement (not specified in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contained in any Loan Document on its part to be performed or observed and such failure continues for thirty (30) days after receipt by the Borrower of written notice thereof by the Administrative Agent or the Required Lenders;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Administrative Agent shall not be entitled to notify the Borrower of a Default under this Section 8.01(c)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actions taken and reported by the Borrower to the Administrative Agent and the Lenders pursuant to a notice provided by the Borrower to the Administrative Agent more than two years prior to such notice of Default and no Default or Event of Default can occur as a result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two year limitation shall not apply if (i) the Administrative Agent has commenced any remedial action in respect of any such Event of Default or (ii) any Loan Party had actual knowledge of such Default or Event of Default and failed to notify to Administrative Agent as required hereby;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42"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or</w:t>
      </w:r>
    </w:p>
    <w:p>
      <w:pPr>
        <w:spacing w:after="0" w:line="178"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3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(B) fails to observe or perform any other agreement or condition relating to any such Indebtedness, or any other event occurs (other than (i) with respect to Indebtedness consisting of Swap Contracts, termination events or equivalent events pursuant to the terms of such Swap Contracts and (ii) any event requiring prepayment pursuant to customary asset sale events, insurance and condemnation proceeds events, change of control offers events and excess cash flow 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-6005830</wp:posOffset>
            </wp:positionV>
            <wp:extent cx="471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ectPr>
          <w:pgSz w:w="11900" w:h="16838" w:orient="portrait"/>
          <w:cols w:equalWidth="0" w:num="1">
            <w:col w:w="11240"/>
          </w:cols>
          <w:pgMar w:left="320" w:top="1084" w:right="339" w:bottom="1440" w:gutter="0" w:footer="0" w:header="0"/>
        </w:sectPr>
      </w:pPr>
    </w:p>
    <w:bookmarkStart w:id="277" w:name="page278"/>
    <w:bookmarkEnd w:id="27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 redeemed (automatically or otherwise), or an offer to repurchase, prepay, defease or redeem all such Indebtedness to be made, prior to its stated maturity;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(e)(B)</w:t>
      </w:r>
      <w:r>
        <w:rPr>
          <w:rFonts w:ascii="Times New Roman" w:cs="Times New Roman" w:eastAsia="Times New Roman" w:hAnsi="Times New Roman"/>
          <w:sz w:val="22"/>
          <w:szCs w:val="22"/>
          <w:color w:val="auto"/>
        </w:rPr>
        <w:t xml:space="preserve"> shall not apply to secured Indebtedness that becomes due (or requires an offer to purchase) as a result of the voluntary sale or transfer of the property or assets securing such Indebtedness, if such sale or transfer is permitted hereunder and under the documents providing for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(x) such failure is unremedied and is not waived by the required holders of such Indebtedness and (y) for the avoidance of doubt, any event or condition set forth under this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shall not, until the expiration of any applicable grace period or the delivery of notice by the applicable holder or holders of such Indebtedness, constitute a Default or an Event of Default for purposes of this Agreement; or</w:t>
      </w:r>
    </w:p>
    <w:p>
      <w:pPr>
        <w:spacing w:after="0" w:line="182" w:lineRule="exact"/>
        <w:rPr>
          <w:sz w:val="20"/>
          <w:szCs w:val="20"/>
          <w:color w:val="auto"/>
        </w:rPr>
      </w:pPr>
    </w:p>
    <w:p>
      <w:pPr>
        <w:jc w:val="both"/>
        <w:ind w:firstLine="1304"/>
        <w:spacing w:after="0" w:line="232" w:lineRule="auto"/>
        <w:tabs>
          <w:tab w:leader="none" w:pos="157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Insolvency Proceedings, Etc</w:t>
      </w:r>
      <w:r>
        <w:rPr>
          <w:rFonts w:ascii="Times New Roman" w:cs="Times New Roman" w:eastAsia="Times New Roman" w:hAnsi="Times New Roman"/>
          <w:sz w:val="22"/>
          <w:szCs w:val="22"/>
          <w:color w:val="auto"/>
        </w:rPr>
        <w:t xml:space="preserve">. Except with respect to any dissolution or liquidation of a Restricted Subsidiary expressly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in connection with the consummation of a Permitted IPO Reorganization or Permitted Tax Restructuring, any Loan Party or any of the Restricted Subsidiaries institutes or consents to the institution of any proceeding under any Debtor Relief Law, or makes an assignment for the benefit of creditors; or applies for or consents to the appointment of any receiver, interim receiver, receiver and manager, trustee, custodian, conservator, liquidator, rehabilitator, administrator, administrative receiver or similar officer for it or for all or any material part of its property; or any receiver, interim receiver,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2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Pay Debts; Attachment</w:t>
      </w:r>
      <w:r>
        <w:rPr>
          <w:rFonts w:ascii="Times New Roman" w:cs="Times New Roman" w:eastAsia="Times New Roman" w:hAnsi="Times New Roman"/>
          <w:sz w:val="22"/>
          <w:szCs w:val="22"/>
          <w:color w:val="auto"/>
        </w:rPr>
        <w:t>. (i) Any Loan Party or any Restricted Subsidiary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days after such judgment becomes final;</w:t>
      </w:r>
    </w:p>
    <w:p>
      <w:pPr>
        <w:spacing w:after="0" w:line="16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567"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Loan Documents</w:t>
      </w:r>
      <w:r>
        <w:rPr>
          <w:rFonts w:ascii="Times New Roman" w:cs="Times New Roman" w:eastAsia="Times New Roman" w:hAnsi="Times New Roman"/>
          <w:sz w:val="22"/>
          <w:szCs w:val="22"/>
          <w:color w:val="auto"/>
        </w:rPr>
        <w:t xml:space="preserve">. Any material provision of any Loan Document, at any time after its execution and delivery and for any reason other than as expressly permitted hereunder or thereunder (including as a result of a transaction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or as a result of acts by the Administrative Agent in the sole control of the Administrative Agent or, omissions by the Administrative Agent in the sole control of the Administrative Agent or the payment in full of all the Obligations and termination of all Commitments, ceases to be in full force and effect or ceases to create a valid and perfected lien on a material portion the Collateral covered thereby other than Collateral having a fair market value not exceeding $10.0 million;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and termination of the Aggregate Commitments), or purports in writing to revoke or rescind any Collateral Document;</w:t>
      </w:r>
    </w:p>
    <w:p>
      <w:pPr>
        <w:spacing w:after="0" w:line="179"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There occurs any Change of Control 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ectPr>
          <w:pgSz w:w="11900" w:h="16838" w:orient="portrait"/>
          <w:cols w:equalWidth="0" w:num="1">
            <w:col w:w="11240"/>
          </w:cols>
          <w:pgMar w:left="320" w:top="1084" w:right="339" w:bottom="1440" w:gutter="0" w:footer="0" w:header="0"/>
        </w:sectPr>
      </w:pPr>
    </w:p>
    <w:bookmarkStart w:id="278" w:name="page279"/>
    <w:bookmarkEnd w:id="278"/>
    <w:p>
      <w:pPr>
        <w:ind w:firstLine="1304"/>
        <w:spacing w:after="0" w:line="258" w:lineRule="auto"/>
        <w:tabs>
          <w:tab w:leader="none" w:pos="1615"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An ERISA Event shall have occurred that, when taken together with all other ERISA Events that have occurred, could reasonably be expected to have a Material Adverse Effect.</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any “Default” under this Section 8.01 will not constitute an “Event of Default” until the Loan Parties do not cure such “Default” within the time period (if any) specified in the applicable clauses of this Section 8.01 after receipt of any required notice provided for therein to the extent such clauses of Section 8.01 provide for such cure periods;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Administrative Agent shall not be entitled to notify the Borrower of a Default under this Section 8.01 for actions taken and reported by the Borrower to the Administrative Agent and the Lenders pursuant to a notice provided by the Borrower to the Administrative Agent more than two years prior to such notice of Default and no Default or Event of Default can occur as a result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two year limitation shall not apply if (i) the Administrative Agent has commenced any remedial action in respect of any such Event of Default or (ii) any Loan Party had actual knowledge of such Default or Event of Default and failed to notify to Administrative Agent as required hereby.</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If any Default or Event of Default occurs due to (i) the failure by any Loan Party or Restricted Subsidiary to take any action by a specified time, such Default or Event of Default shall be deemed to have been cured at the time, if any, that the applicable Loan Party or any Restricted Subsidiary takes such action (regardless of whether taken before or after the specified time) or (ii) the taking of any action by any Loan Party or any Restricted Subsidiary that is not then permitted by the terms of this Agreement or any other Loan Document, such Default or Event of Default shall be deemed to be cured on the earlier to occur of</w:t>
      </w:r>
    </w:p>
    <w:p>
      <w:pPr>
        <w:spacing w:after="0" w:line="1" w:lineRule="exact"/>
        <w:rPr>
          <w:sz w:val="20"/>
          <w:szCs w:val="20"/>
          <w:color w:val="auto"/>
        </w:rPr>
      </w:pPr>
    </w:p>
    <w:p>
      <w:pPr>
        <w:jc w:val="both"/>
        <w:ind w:firstLine="8"/>
        <w:spacing w:after="0" w:line="229" w:lineRule="auto"/>
        <w:tabs>
          <w:tab w:leader="none" w:pos="348"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such action would be permitted at such time to be taken under this Agreement and the other Loan Documents and (y) the date on which such action is unwound or otherwise modified to the extent necessary for such modified action to be permitted at such time by this Agreement and the other Loan Documents, but only so long as, in the case of each of the foregoing clauses (i) and (ii), such Event of Default has been cured pursuant to clause (i) or (ii), as applicable, prior to the time at which the Administrative Agent and/or the Required Lenders (as applicable) have declared that an Event of Default has occurred and the Loans have been accelerated hereunder. If any Default or Event of Default has occurred hereunder (any such Default or Event of Default, an “Initial Default”) and is subsequently cured (a “Cured Default”), any other Default or Event of Default that resulted from (i) the making or deemed making of any representation or warranty by any Loan Party or any Restricted Subsidiary or (ii) the taking of (or the failure to take) any action by any Loan Party or any Restricted Subsidiary that was prohibited (or required) hereunder solely as a result of the continuation of such Cured Default (and was not otherwise prohibited (or required) by this Agreement), in each case which subsequent Default or Event of Default would not have arisen had the Cured Default not been continuing at the time of such representation, warranty or action or inaction, shall be deemed to automatically be cured upon, and simultaneously with, the cure of the Cured Default, so long as at the time of such representation, warranty, action or inaction, no Responsible Officer of the Borrower had actual knowledge of any such Initial Default. Furthermore, any court of competent jurisdiction may (x) extend or stay any grace period prior to when any actual or alleged Default becomes an actual or alleged Event of Default or (y) stay the exercise of remedies by any Administrative Agent upon the occurrence of an actual or alleged Event of Default, in each case of clauses (x) and (y), in accordance with the requirements of applicable law.</w:t>
      </w:r>
    </w:p>
    <w:p>
      <w:pPr>
        <w:spacing w:after="0" w:line="19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Remedies Upon Event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50" w:lineRule="auto"/>
        <w:tabs>
          <w:tab w:leader="none" w:pos="1200"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Event of Default occurs and is continuing, the Administrative Agent may, and shall, at the request of the Required Lenders, take any or all of the following actions (or, if a Financial Covenant Event of Default occurs and is continuing and prior to the expiration of the Term Loan Standstill Period, if the only Events of Default then having occurred and continuing are pursuant to a Financial Covenant Event of Default, at the request of the Required Revolving Credit Lenders under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ectPr>
          <w:pgSz w:w="11900" w:h="16838" w:orient="portrait"/>
          <w:cols w:equalWidth="0" w:num="1">
            <w:col w:w="11240"/>
          </w:cols>
          <w:pgMar w:left="320" w:top="1084" w:right="339" w:bottom="1440" w:gutter="0" w:footer="0" w:header="0"/>
        </w:sectPr>
      </w:pPr>
    </w:p>
    <w:bookmarkStart w:id="279" w:name="page280"/>
    <w:bookmarkEnd w:id="279"/>
    <w:p>
      <w:pPr>
        <w:spacing w:after="0" w:line="258" w:lineRule="auto"/>
        <w:rPr>
          <w:sz w:val="20"/>
          <w:szCs w:val="20"/>
          <w:color w:val="auto"/>
        </w:rPr>
      </w:pPr>
      <w:r>
        <w:rPr>
          <w:rFonts w:ascii="Times New Roman" w:cs="Times New Roman" w:eastAsia="Times New Roman" w:hAnsi="Times New Roman"/>
          <w:sz w:val="22"/>
          <w:szCs w:val="22"/>
          <w:color w:val="auto"/>
        </w:rPr>
        <w:t>Revolving Credit Facility only, and in such case only with respect to the Revolving Credit Commitments, Revolving Credit Loans, L/C Obligations, any Letters of Credit and L/C Credit Extensions):</w:t>
      </w:r>
    </w:p>
    <w:p>
      <w:pPr>
        <w:spacing w:after="0" w:line="158" w:lineRule="exact"/>
        <w:rPr>
          <w:sz w:val="20"/>
          <w:szCs w:val="20"/>
          <w:color w:val="auto"/>
        </w:rPr>
      </w:pPr>
    </w:p>
    <w:p>
      <w:pPr>
        <w:ind w:left="1960" w:hanging="8"/>
        <w:spacing w:after="0" w:line="282" w:lineRule="auto"/>
        <w:tabs>
          <w:tab w:leader="none" w:pos="2416"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commitment of each Lender to make Loans and any obligation of the L/C Issuer to make L/C Credit Extensions to be terminated, whereupon such commitments and obligation shall be terminated;</w:t>
      </w:r>
    </w:p>
    <w:p>
      <w:pPr>
        <w:spacing w:after="0" w:line="134" w:lineRule="exact"/>
        <w:rPr>
          <w:rFonts w:ascii="Times New Roman" w:cs="Times New Roman" w:eastAsia="Times New Roman" w:hAnsi="Times New Roman"/>
          <w:sz w:val="21"/>
          <w:szCs w:val="21"/>
          <w:color w:val="auto"/>
        </w:rPr>
      </w:pPr>
    </w:p>
    <w:p>
      <w:pPr>
        <w:jc w:val="both"/>
        <w:ind w:left="1960" w:hanging="8"/>
        <w:spacing w:after="0" w:line="236" w:lineRule="auto"/>
        <w:tabs>
          <w:tab w:leader="none" w:pos="244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9" w:lineRule="exact"/>
        <w:rPr>
          <w:rFonts w:ascii="Times New Roman" w:cs="Times New Roman" w:eastAsia="Times New Roman" w:hAnsi="Times New Roman"/>
          <w:sz w:val="22"/>
          <w:szCs w:val="22"/>
          <w:color w:val="auto"/>
        </w:rPr>
      </w:pPr>
    </w:p>
    <w:p>
      <w:pPr>
        <w:ind w:left="1960" w:hanging="8"/>
        <w:spacing w:after="0" w:line="258" w:lineRule="auto"/>
        <w:tabs>
          <w:tab w:leader="none" w:pos="2565"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 Cash Collateralizes the L/C Obligations (in an amount equal to the then Outstanding Amount thereof); and</w:t>
      </w:r>
    </w:p>
    <w:p>
      <w:pPr>
        <w:spacing w:after="0" w:line="158" w:lineRule="exact"/>
        <w:rPr>
          <w:rFonts w:ascii="Times New Roman" w:cs="Times New Roman" w:eastAsia="Times New Roman" w:hAnsi="Times New Roman"/>
          <w:sz w:val="22"/>
          <w:szCs w:val="22"/>
          <w:color w:val="auto"/>
        </w:rPr>
      </w:pPr>
    </w:p>
    <w:p>
      <w:pPr>
        <w:ind w:left="1960" w:hanging="8"/>
        <w:spacing w:after="0" w:line="258" w:lineRule="auto"/>
        <w:tabs>
          <w:tab w:leader="none" w:pos="2555" w:val="left"/>
        </w:tabs>
        <w:numPr>
          <w:ilvl w:val="0"/>
          <w:numId w:val="359"/>
        </w:numPr>
        <w:rPr>
          <w:rFonts w:ascii="Times New Roman" w:cs="Times New Roman" w:eastAsia="Times New Roman" w:hAnsi="Times New Roman"/>
          <w:sz w:val="22"/>
          <w:szCs w:val="22"/>
          <w:color w:val="191919"/>
        </w:rPr>
      </w:pPr>
      <w:r>
        <w:rPr>
          <w:rFonts w:ascii="Times New Roman" w:cs="Times New Roman" w:eastAsia="Times New Roman" w:hAnsi="Times New Roman"/>
          <w:sz w:val="22"/>
          <w:szCs w:val="22"/>
          <w:color w:val="191919"/>
        </w:rPr>
        <w:t xml:space="preserve">exercise </w:t>
      </w:r>
      <w:r>
        <w:rPr>
          <w:rFonts w:ascii="Times New Roman" w:cs="Times New Roman" w:eastAsia="Times New Roman" w:hAnsi="Times New Roman"/>
          <w:sz w:val="22"/>
          <w:szCs w:val="22"/>
          <w:color w:val="000000"/>
        </w:rPr>
        <w:t>on behalf of itself and the Lenders all rights and remedies available to it and the Lenders</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under the Loan Documents or applicable Law;</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upon the occurrence of an Event of Default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the obligation of each Lender to make Loans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67" w:lineRule="exact"/>
        <w:rPr>
          <w:sz w:val="20"/>
          <w:szCs w:val="20"/>
          <w:color w:val="auto"/>
        </w:rPr>
      </w:pPr>
    </w:p>
    <w:p>
      <w:pPr>
        <w:jc w:val="both"/>
        <w:ind w:left="6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Exclusion of Immaterial Subsidiaries</w:t>
      </w:r>
      <w:r>
        <w:rPr>
          <w:rFonts w:ascii="Times New Roman" w:cs="Times New Roman" w:eastAsia="Times New Roman" w:hAnsi="Times New Roman"/>
          <w:sz w:val="22"/>
          <w:szCs w:val="22"/>
          <w:color w:val="auto"/>
        </w:rPr>
        <w:t xml:space="preserve">. Solely for the purpose of determining whether a Default has occurred under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any reference in any such clause to any Restricted Subsidiary or Loan Party shall be deemed not to include any Subsidiary that is an Immaterial Subsidiary or at such time could, upon designation by the Borrower, become an Immaterial Subsidiary affected by any event or circumstances referred to in any such clause unless the Consolidated EBITDA of such Subsidiary together with the Consolidated EBITDA of all other Subsidiaries affected by such event or circumstance referred to in such clause, shall exceed 5.0% of the Consolidated EBITDA of Holdings and its Restricted Subsidiaries.</w:t>
      </w:r>
    </w:p>
    <w:p>
      <w:pPr>
        <w:spacing w:after="0" w:line="183"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22"/>
          <w:szCs w:val="22"/>
          <w:color w:val="auto"/>
        </w:rPr>
        <w:t xml:space="preserve">. If the circumstances described in </w:t>
      </w:r>
      <w:r>
        <w:rPr>
          <w:rFonts w:ascii="Times New Roman" w:cs="Times New Roman" w:eastAsia="Times New Roman" w:hAnsi="Times New Roman"/>
          <w:sz w:val="22"/>
          <w:szCs w:val="22"/>
          <w:u w:val="single" w:color="auto"/>
          <w:color w:val="auto"/>
        </w:rPr>
        <w:t>Section 2.12(g</w:t>
      </w:r>
      <w:r>
        <w:rPr>
          <w:rFonts w:ascii="Times New Roman" w:cs="Times New Roman" w:eastAsia="Times New Roman" w:hAnsi="Times New Roman"/>
          <w:sz w:val="22"/>
          <w:szCs w:val="22"/>
          <w:color w:val="auto"/>
        </w:rPr>
        <w:t xml:space="preserve">) have occurred, or after the exercise of remedies provided for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including in any bankruptcy or insolvency proceeding, any amounts received on account of the Secured Obligations (and proceeds of Collateral) shall be applied by the Administrative Agent, subject to any Customary Intercreditor Agreement then in effect, in each case, in the following order:</w:t>
      </w:r>
    </w:p>
    <w:p>
      <w:pPr>
        <w:spacing w:after="0" w:line="18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Secured Obligations constituting fees, indemnities, expenses and other amounts (other than principal and interest, but including Attorney Costs payable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each Agent in its capacity as such;</w:t>
      </w:r>
    </w:p>
    <w:p>
      <w:pPr>
        <w:spacing w:after="0" w:line="173" w:lineRule="exact"/>
        <w:rPr>
          <w:sz w:val="20"/>
          <w:szCs w:val="20"/>
          <w:color w:val="auto"/>
        </w:rPr>
      </w:pPr>
    </w:p>
    <w:p>
      <w:pPr>
        <w:jc w:val="both"/>
        <w:ind w:right="20" w:firstLine="324"/>
        <w:spacing w:after="0" w:line="244"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payment of that portion of the Secured Obligations constituting fees, indemnities and other amounts (other than principal, interest, and obligations under Secured Hedge Agreements and Secured Cash Management Obligations) payable to the Lenders (including Attorney Costs payable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ectPr>
          <w:pgSz w:w="11900" w:h="16838" w:orient="portrait"/>
          <w:cols w:equalWidth="0" w:num="1">
            <w:col w:w="11240"/>
          </w:cols>
          <w:pgMar w:left="320" w:top="1084" w:right="339" w:bottom="1440" w:gutter="0" w:footer="0" w:header="0"/>
        </w:sectPr>
      </w:pPr>
    </w:p>
    <w:bookmarkStart w:id="280" w:name="page281"/>
    <w:bookmarkEnd w:id="280"/>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amounts described in this </w:t>
      </w:r>
      <w:r>
        <w:rPr>
          <w:rFonts w:ascii="Times New Roman" w:cs="Times New Roman" w:eastAsia="Times New Roman" w:hAnsi="Times New Roman"/>
          <w:sz w:val="22"/>
          <w:szCs w:val="22"/>
          <w:u w:val="single" w:color="auto"/>
          <w:color w:val="auto"/>
        </w:rPr>
        <w:t>clause Second</w:t>
      </w:r>
      <w:r>
        <w:rPr>
          <w:rFonts w:ascii="Times New Roman" w:cs="Times New Roman" w:eastAsia="Times New Roman" w:hAnsi="Times New Roman"/>
          <w:sz w:val="22"/>
          <w:szCs w:val="22"/>
          <w:color w:val="auto"/>
        </w:rPr>
        <w:t xml:space="preserve"> payable to them;</w:t>
      </w:r>
    </w:p>
    <w:p>
      <w:pPr>
        <w:spacing w:after="0" w:line="158"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Secured Obligations constituting accrued and unpaid interest (including, but not limited to, post-petition interest), ratably among the Lenders in proportion to the respective amounts described in this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3"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Secured Obligations constituting unpaid principal, Unreimbursed Amounts or face amounts of the Revolving Credit Loans, L/C Borrowings and Swap Termination Value under Secured Hedge Agreements and Secured Cash Management Obligations and for the account of the L/C Issuers, to Cash Collateralize that portion of L/C Obligations comprised of the aggregate undrawn amount of Letters of Credit, ratably among the Secured Parties in proportion to the respective amounts described in this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held by them;</w:t>
      </w:r>
    </w:p>
    <w:p>
      <w:pPr>
        <w:spacing w:after="0" w:line="17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payment of all other Secured Obligations that are due and payable to the Administrative Agent and the other Secured Parties on such date, ratably based upon the respective aggregate amounts of all such Secured Obligations owing to the Administrative Agent and the other Secured Parties on such date; and</w:t>
      </w:r>
    </w:p>
    <w:p>
      <w:pPr>
        <w:spacing w:after="0" w:line="173"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Secured Obligations have been paid in full, to the Borrower or as otherwise required by Law.</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amounts used to Cash Collateralize the aggregate undrawn amount of Letters of Credit pursuant to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and, if no Secured Obligations remain outstanding, to the Borrower.</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the foregoing, (a) amounts received from the Borrower or any Guarantor that is not a “Eligible Contract Participant” (as defined in the Commodity Exchange Act) shall not be applied to the obligations that are Excluded Swap Obligations (it being understood, that in the event that any amount is applied to Secured Obligations other than Excluded Swap Obligations as a result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to the extent permitted by applicable law, the Administrative Agent shall make such adjustments as it determines are appropriate to distributions pursuant to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above from amounts received from “Eligible Contract Participants” to ensure, as nearly as possible, that the proportional aggregate recoveries with respect to obligations described in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above by the holders of any Excluded Swap Obligations are the same as the proportional aggregate recoveries with respect to other obligations pursuant to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above) and (b) Secured Cash Management Obligations and Obligations under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Each Cash Management Bank and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 for itself and its Affiliates as if a “Lender” party hereto.</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Permitted Holders’ Right to Cure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4" w:lineRule="auto"/>
        <w:tabs>
          <w:tab w:leader="none" w:pos="1146"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Notwithstanding anything to the contrary contained in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 in the event that Holdings fails to comply with the requirement of the Financial Covenant as of the last day of the any Test Period, any of the Permitted Holders shall have the right, during the period beginning at the start 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ectPr>
          <w:pgSz w:w="11900" w:h="16838" w:orient="portrait"/>
          <w:cols w:equalWidth="0" w:num="1">
            <w:col w:w="11240"/>
          </w:cols>
          <w:pgMar w:left="320" w:top="1084" w:right="339" w:bottom="1440" w:gutter="0" w:footer="0" w:header="0"/>
        </w:sectPr>
      </w:pPr>
    </w:p>
    <w:bookmarkStart w:id="281" w:name="page282"/>
    <w:bookmarkEnd w:id="281"/>
    <w:p>
      <w:pPr>
        <w:jc w:val="both"/>
        <w:spacing w:after="0" w:line="232" w:lineRule="auto"/>
        <w:rPr>
          <w:sz w:val="20"/>
          <w:szCs w:val="20"/>
          <w:color w:val="auto"/>
        </w:rPr>
      </w:pPr>
      <w:r>
        <w:rPr>
          <w:rFonts w:ascii="Times New Roman" w:cs="Times New Roman" w:eastAsia="Times New Roman" w:hAnsi="Times New Roman"/>
          <w:sz w:val="22"/>
          <w:szCs w:val="22"/>
          <w:color w:val="auto"/>
        </w:rPr>
        <w:t>any fiscal quarter in which Holdings determines that a breach of the Financial Covenant may occur, until the expiration of the fifteenth Business Day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xml:space="preserve">”) after the date on which financial statements with respect to the applicable Test Period in which the Financial Covenant is being measured are required to be delivered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to make a direct or indirect equity investment in Holdings in cash in the form of common Capital Stock (or other Qualified Capital Stock reasonably acceptable to the Administrative Agent), which proceeds shall be contributed to the Borrower (the “</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and upon the receipt by the Borrower of Net Cash Proceeds pursuant to the exercise of the Cure Right (the “</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xml:space="preserve">”), the Financial Covenant shall be recalculated, giving effect to a pro forma increase to Consolidated EBITDA for such Test Period in an amount equal to such Cure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such pro forma adjustment to Consolidated EBITDA shall be given solely for the purpose of determining the existence of a Default or an Event of Default under the Financial Covenant with respect to any Test Period that includes the fiscal quarter for which such Cure Right was exercised and not for any other purpose under any Loan Document (including for purposes of determining pricing, mandatory prepayments and the availability or amount permitted pursuant to any covenant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for the quarter with respect to which such Cure Right was exercised and (y) there shall be no reduction in Indebtedness in connection with any Cure Amounts for determining compliance with Section 7.09 and no Cure Amounts will reduce (or count towards) the Consolidated First Lien Secured Leverage Ratio, Consolidated Total Senior Secured Leverage Ratio or the Consolidated Total Leverage Ratio for purposes of any calculation thereof for the fiscal quarter with respect to which such Cure Right was exercised.</w:t>
      </w:r>
    </w:p>
    <w:p>
      <w:pPr>
        <w:spacing w:after="0" w:line="178" w:lineRule="exact"/>
        <w:rPr>
          <w:sz w:val="20"/>
          <w:szCs w:val="20"/>
          <w:color w:val="auto"/>
        </w:rPr>
      </w:pPr>
    </w:p>
    <w:p>
      <w:pPr>
        <w:jc w:val="both"/>
        <w:ind w:firstLine="656"/>
        <w:spacing w:after="0" w:line="233" w:lineRule="auto"/>
        <w:tabs>
          <w:tab w:leader="none" w:pos="1116"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the exercise of the Cure Right and the recalculations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the Borrower shall then be in compliance with the requirements of the Financial Covenant during such Test Period (including for purposes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Holdings shall be deemed to have satisfied the requirements of the Financial Covenant as of the relevant date of determination with the same effect as though there had been no failure to comply therewith at such date, and the applicable Default or Event of Default under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that had occurred shall be deemed 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the Cure Right may be exercised on no more than five (5) occasions, (ii) in each four consecutive fiscal quarter period, there shall be at least two fiscal quarters in respect of which no Cure Right is exercised, and (iii) with respect to any exercise of the Cure Right, the Cure Amount shall not be given effect in an amount greater than the amount required to cause Holdings to be in compliance with the Financial Covenant.</w:t>
      </w:r>
    </w:p>
    <w:p>
      <w:pPr>
        <w:spacing w:after="0" w:line="179" w:lineRule="exact"/>
        <w:rPr>
          <w:sz w:val="20"/>
          <w:szCs w:val="20"/>
          <w:color w:val="auto"/>
        </w:rPr>
      </w:pPr>
    </w:p>
    <w:p>
      <w:pPr>
        <w:jc w:val="both"/>
        <w:ind w:firstLine="81"/>
        <w:spacing w:after="0" w:line="248" w:lineRule="auto"/>
        <w:rPr>
          <w:sz w:val="20"/>
          <w:szCs w:val="20"/>
          <w:color w:val="auto"/>
        </w:rPr>
      </w:pPr>
      <w:r>
        <w:rPr>
          <w:rFonts w:ascii="Times New Roman" w:cs="Times New Roman" w:eastAsia="Times New Roman" w:hAnsi="Times New Roman"/>
          <w:sz w:val="21"/>
          <w:szCs w:val="21"/>
          <w:color w:val="auto"/>
        </w:rPr>
        <w:t xml:space="preserve">Notwithstanding anything herein to the contrary, prior to the expiration of the Cure Period (x) the Lenders shall not be permitted to exercise any rights then available as a result of an Event of Default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on the basis of a breach of the Financial Covenant so as to enable Holdings to consummate its Cure Rights as permitted under this </w:t>
      </w:r>
      <w:r>
        <w:rPr>
          <w:rFonts w:ascii="Times New Roman" w:cs="Times New Roman" w:eastAsia="Times New Roman" w:hAnsi="Times New Roman"/>
          <w:sz w:val="21"/>
          <w:szCs w:val="21"/>
          <w:u w:val="single" w:color="auto"/>
          <w:color w:val="auto"/>
        </w:rPr>
        <w:t>Section 8.05(c)</w:t>
      </w:r>
      <w:r>
        <w:rPr>
          <w:rFonts w:ascii="Times New Roman" w:cs="Times New Roman" w:eastAsia="Times New Roman" w:hAnsi="Times New Roman"/>
          <w:sz w:val="21"/>
          <w:szCs w:val="21"/>
          <w:color w:val="auto"/>
        </w:rPr>
        <w:t xml:space="preserve"> and (y) the Lenders shall not be required to make any Credit Extension, unless and until Holdings has received the Cure Amount required to cause Holdings to be in compliance with the Financial Covenant or all existing Events of Default are waived or cured</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right="3880" w:firstLine="2592"/>
        <w:spacing w:after="0" w:line="435" w:lineRule="auto"/>
        <w:rPr>
          <w:sz w:val="20"/>
          <w:szCs w:val="20"/>
          <w:color w:val="auto"/>
        </w:rPr>
      </w:pPr>
      <w:r>
        <w:rPr>
          <w:rFonts w:ascii="Times New Roman" w:cs="Times New Roman" w:eastAsia="Times New Roman" w:hAnsi="Times New Roman"/>
          <w:sz w:val="22"/>
          <w:szCs w:val="22"/>
          <w:u w:val="single" w:color="auto"/>
          <w:color w:val="auto"/>
        </w:rPr>
        <w:t>Administrative Agent and Other Agents Section 9.01 Appointment and Authorization of Agents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300" w:firstLine="652"/>
        <w:spacing w:after="0" w:line="239" w:lineRule="auto"/>
        <w:tabs>
          <w:tab w:leader="none" w:pos="242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ectPr>
          <w:pgSz w:w="11900" w:h="16838" w:orient="portrait"/>
          <w:cols w:equalWidth="0" w:num="1">
            <w:col w:w="11240"/>
          </w:cols>
          <w:pgMar w:left="320" w:top="1084" w:right="339" w:bottom="1440" w:gutter="0" w:footer="0" w:header="0"/>
        </w:sectPr>
      </w:pPr>
    </w:p>
    <w:bookmarkStart w:id="282" w:name="page283"/>
    <w:bookmarkEnd w:id="282"/>
    <w:p>
      <w:pPr>
        <w:jc w:val="both"/>
        <w:ind w:left="640"/>
        <w:spacing w:after="0" w:line="232" w:lineRule="auto"/>
        <w:rPr>
          <w:sz w:val="20"/>
          <w:szCs w:val="20"/>
          <w:color w:val="auto"/>
        </w:rPr>
      </w:pPr>
      <w:r>
        <w:rPr>
          <w:rFonts w:ascii="Times New Roman" w:cs="Times New Roman" w:eastAsia="Times New Roman" w:hAnsi="Times New Roman"/>
          <w:sz w:val="22"/>
          <w:szCs w:val="22"/>
          <w:color w:val="auto"/>
        </w:rPr>
        <w:t>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Without limiting the generality of the foregoing, the Lenders hereby expressly authorize the Collateral Agent to execute any and all documents (including releases)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w:t>
      </w:r>
    </w:p>
    <w:p>
      <w:pPr>
        <w:spacing w:after="0" w:line="181" w:lineRule="exact"/>
        <w:rPr>
          <w:sz w:val="20"/>
          <w:szCs w:val="20"/>
          <w:color w:val="auto"/>
        </w:rPr>
      </w:pPr>
    </w:p>
    <w:p>
      <w:pPr>
        <w:jc w:val="both"/>
        <w:ind w:left="640" w:firstLine="652"/>
        <w:spacing w:after="0" w:line="243" w:lineRule="auto"/>
        <w:tabs>
          <w:tab w:leader="none" w:pos="1805" w:val="left"/>
        </w:tabs>
        <w:numPr>
          <w:ilvl w:val="1"/>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L/C Issuer shall act on behalf of the Lenders with respect to any Letters of Credit issued by it and the documents associated therewith, and each such L/C Issuer shall have all of the benefits and immunities (i) provided to the Agents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in the definition of “Agent-Related Person” included such L/C Issuer with respect to such acts or omissions, and</w:t>
      </w:r>
    </w:p>
    <w:p>
      <w:pPr>
        <w:spacing w:after="0" w:line="1" w:lineRule="exact"/>
        <w:rPr>
          <w:rFonts w:ascii="Times New Roman" w:cs="Times New Roman" w:eastAsia="Times New Roman" w:hAnsi="Times New Roman"/>
          <w:sz w:val="21"/>
          <w:szCs w:val="21"/>
          <w:color w:val="auto"/>
        </w:rPr>
      </w:pPr>
    </w:p>
    <w:p>
      <w:pPr>
        <w:ind w:left="960" w:hanging="316"/>
        <w:spacing w:after="0"/>
        <w:tabs>
          <w:tab w:leader="none" w:pos="96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additionally provided herein with respect to such L/C Issuer.</w:t>
      </w:r>
    </w:p>
    <w:p>
      <w:pPr>
        <w:spacing w:after="0" w:line="182" w:lineRule="exact"/>
        <w:rPr>
          <w:rFonts w:ascii="Times New Roman" w:cs="Times New Roman" w:eastAsia="Times New Roman" w:hAnsi="Times New Roman"/>
          <w:sz w:val="22"/>
          <w:szCs w:val="22"/>
          <w:color w:val="auto"/>
        </w:rPr>
      </w:pPr>
    </w:p>
    <w:p>
      <w:pPr>
        <w:jc w:val="both"/>
        <w:ind w:left="640" w:firstLine="652"/>
        <w:spacing w:after="0" w:line="232" w:lineRule="auto"/>
        <w:tabs>
          <w:tab w:leader="none" w:pos="1740"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also act as the “collateral agent” under the Loan Documents, and each of the Lenders (in its capacities as a Lender, L/C Issuer (if applicable) and a potential Hedge Bank or Cash Management Bank)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Section 9.02 Delegation of Duties.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(including without limitation J.P. Morgan Europe Limited), agents, employees or attorneys-in-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-493395</wp:posOffset>
            </wp:positionV>
            <wp:extent cx="22053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205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-187-</w:t>
      </w:r>
    </w:p>
    <w:p>
      <w:pPr>
        <w:sectPr>
          <w:pgSz w:w="11900" w:h="16838" w:orient="portrait"/>
          <w:cols w:equalWidth="0" w:num="1">
            <w:col w:w="10580"/>
          </w:cols>
          <w:pgMar w:left="980" w:top="1084" w:right="339" w:bottom="1440" w:gutter="0" w:footer="0" w:header="0"/>
        </w:sectPr>
      </w:pPr>
    </w:p>
    <w:bookmarkStart w:id="283" w:name="page284"/>
    <w:bookmarkEnd w:id="283"/>
    <w:p>
      <w:pPr>
        <w:jc w:val="both"/>
        <w:spacing w:after="0" w:line="239" w:lineRule="auto"/>
        <w:rPr>
          <w:sz w:val="20"/>
          <w:szCs w:val="20"/>
          <w:color w:val="auto"/>
        </w:rPr>
      </w:pPr>
      <w:r>
        <w:rPr>
          <w:rFonts w:ascii="Times New Roman" w:cs="Times New Roman" w:eastAsia="Times New Roman" w:hAnsi="Times New Roman"/>
          <w:sz w:val="22"/>
          <w:szCs w:val="22"/>
          <w:color w:val="auto"/>
        </w:rPr>
        <w:t>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w:t>
      </w:r>
    </w:p>
    <w:p>
      <w:pPr>
        <w:spacing w:after="0" w:line="18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u w:val="single" w:color="auto"/>
          <w:color w:val="auto"/>
        </w:rPr>
        <w:t>Section 9.03 Liability of Agents</w:t>
      </w:r>
      <w:r>
        <w:rPr>
          <w:rFonts w:ascii="Times New Roman" w:cs="Times New Roman" w:eastAsia="Times New Roman" w:hAnsi="Times New Roman"/>
          <w:sz w:val="22"/>
          <w:szCs w:val="22"/>
          <w:color w:val="auto"/>
        </w:rPr>
        <w:t xml:space="preserve">. No Agent-Related Person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(except for its own gross negligence or willful misconduct, as determined by the final judgment of a court of competent jurisdiction, in connection with its duties expressly set forth herein),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perfection or priority of any Lien or security interest created or purported to be created under the Collateral Documents, or the satisfaction of any condition set forth in Article IV or elsewhere herein, other than to confirm receipt of items expressly required to be delivered to the Administrative Agent,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Agent shall not be required to take any action that, in its judgment or the judgment of its counsel, may expose such Agent to liability or that is contrary to any Loan Document or applicable Law. No Agent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w:t>
      </w:r>
    </w:p>
    <w:p>
      <w:pPr>
        <w:spacing w:after="0" w:line="190"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9.04</w:t>
      </w:r>
      <w:r>
        <w:rPr>
          <w:sz w:val="20"/>
          <w:szCs w:val="20"/>
          <w:color w:val="auto"/>
        </w:rPr>
        <w:tab/>
      </w:r>
      <w:r>
        <w:rPr>
          <w:rFonts w:ascii="Times New Roman" w:cs="Times New Roman" w:eastAsia="Times New Roman" w:hAnsi="Times New Roman"/>
          <w:sz w:val="21"/>
          <w:szCs w:val="21"/>
          <w:u w:val="single" w:color="auto"/>
          <w:color w:val="auto"/>
        </w:rPr>
        <w:t>Reliance by Agents and Lead Arrangers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40" w:firstLine="652"/>
        <w:spacing w:after="0" w:line="232" w:lineRule="auto"/>
        <w:tabs>
          <w:tab w:leader="none" w:pos="1785"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and Lead Arranger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or Lead Arranger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-188-</w:t>
      </w:r>
    </w:p>
    <w:p>
      <w:pPr>
        <w:sectPr>
          <w:pgSz w:w="11900" w:h="16838" w:orient="portrait"/>
          <w:cols w:equalWidth="0" w:num="1">
            <w:col w:w="10580"/>
          </w:cols>
          <w:pgMar w:left="980" w:top="1084" w:right="339" w:bottom="1440" w:gutter="0" w:footer="0" w:header="0"/>
        </w:sectPr>
      </w:pPr>
    </w:p>
    <w:bookmarkStart w:id="284" w:name="page285"/>
    <w:bookmarkEnd w:id="284"/>
    <w:p>
      <w:pPr>
        <w:jc w:val="both"/>
        <w:ind w:left="640"/>
        <w:spacing w:after="0" w:line="238" w:lineRule="auto"/>
        <w:rPr>
          <w:sz w:val="20"/>
          <w:szCs w:val="20"/>
          <w:color w:val="auto"/>
        </w:rPr>
      </w:pPr>
      <w:r>
        <w:rPr>
          <w:rFonts w:ascii="Times New Roman" w:cs="Times New Roman" w:eastAsia="Times New Roman" w:hAnsi="Times New Roman"/>
          <w:sz w:val="22"/>
          <w:szCs w:val="22"/>
          <w:color w:val="auto"/>
        </w:rPr>
        <w:t>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77" w:lineRule="exact"/>
        <w:rPr>
          <w:sz w:val="20"/>
          <w:szCs w:val="20"/>
          <w:color w:val="auto"/>
        </w:rPr>
      </w:pPr>
    </w:p>
    <w:p>
      <w:pPr>
        <w:jc w:val="both"/>
        <w:ind w:left="640" w:firstLine="652"/>
        <w:spacing w:after="0" w:line="235" w:lineRule="auto"/>
        <w:tabs>
          <w:tab w:leader="none" w:pos="1814"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the conditions specified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Subject to the other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Administrative Agent shall take such action with respect to any Event of Default as may be directed by the Required Lenders (or, if a Financial Covenant Event of Default occurs and is continuing and prior to the expiration of the Term Loan Standstill Period, if the only Events of Default then having occurred and continuing are pursuant to a Financial Covenant Event of Default, the Required Revolving Credit Lenders under the Revolving Credit Facility only, and in such case only with respect to the Revolving Credit Commitments, Revolving Credit Loans, L/C Obligations, Letters of Credit and L/C Credit Extensions) in accordance with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u w:val="single" w:color="auto"/>
          <w:color w:val="auto"/>
        </w:rPr>
        <w:t>Credit Decision; Disclosure of Information by Agents</w:t>
      </w:r>
      <w:r>
        <w:rPr>
          <w:rFonts w:ascii="Times New Roman" w:cs="Times New Roman" w:eastAsia="Times New Roman" w:hAnsi="Times New Roman"/>
          <w:sz w:val="21"/>
          <w:szCs w:val="21"/>
          <w:color w:val="auto"/>
        </w:rPr>
        <w:t>. Each Lender acknowledges that no Agent-Related Person or Lead Arranger has made any representation or warranty to it, and that no act by any Agent or Lead Arranger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or Lead Arrangers have disclosed material information in their possession. Each Lender represents to each Agent and Lead Arranger that it has, independently and without reliance upon any Agent-Related Person or Lead Arranger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-189-</w:t>
      </w:r>
    </w:p>
    <w:p>
      <w:pPr>
        <w:sectPr>
          <w:pgSz w:w="11900" w:h="16838" w:orient="portrait"/>
          <w:cols w:equalWidth="0" w:num="1">
            <w:col w:w="10580"/>
          </w:cols>
          <w:pgMar w:left="980" w:top="1084" w:right="339" w:bottom="1440" w:gutter="0" w:footer="0" w:header="0"/>
        </w:sectPr>
      </w:pPr>
    </w:p>
    <w:bookmarkStart w:id="285" w:name="page286"/>
    <w:bookmarkEnd w:id="285"/>
    <w:p>
      <w:pPr>
        <w:jc w:val="both"/>
        <w:spacing w:after="0" w:line="238" w:lineRule="auto"/>
        <w:rPr>
          <w:sz w:val="20"/>
          <w:szCs w:val="20"/>
          <w:color w:val="auto"/>
        </w:rPr>
      </w:pPr>
      <w:r>
        <w:rPr>
          <w:rFonts w:ascii="Times New Roman" w:cs="Times New Roman" w:eastAsia="Times New Roman" w:hAnsi="Times New Roman"/>
          <w:sz w:val="22"/>
          <w:szCs w:val="22"/>
          <w:color w:val="auto"/>
        </w:rPr>
        <w:t>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7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Indemnification of Agents</w:t>
      </w:r>
      <w:r>
        <w:rPr>
          <w:rFonts w:ascii="Times New Roman" w:cs="Times New Roman" w:eastAsia="Times New Roman" w:hAnsi="Times New Roman"/>
          <w:sz w:val="22"/>
          <w:szCs w:val="22"/>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be liable for the payment to any Agent-Related Person of any portion of such Indemnified Liabilities resulting from such Agent-Related Person’s own gross negligence or willful misconduct, as determined by the final judgment of a court of competent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In the case of any investigation, litigation or proceeding giving rise to any Indemnified Liabilities, this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reimbursement by the Lenders shall not affect the Borrower’s continuing reimbursement obligations with respect thereto, if any. The undertaking in this </w:t>
      </w:r>
      <w:r>
        <w:rPr>
          <w:rFonts w:ascii="Times New Roman" w:cs="Times New Roman" w:eastAsia="Times New Roman" w:hAnsi="Times New Roman"/>
          <w:sz w:val="22"/>
          <w:szCs w:val="22"/>
          <w:u w:val="single" w:color="auto"/>
          <w:color w:val="auto"/>
        </w:rPr>
        <w:t>Section 9.07</w:t>
      </w:r>
      <w:r>
        <w:rPr>
          <w:rFonts w:ascii="Times New Roman" w:cs="Times New Roman" w:eastAsia="Times New Roman" w:hAnsi="Times New Roman"/>
          <w:sz w:val="22"/>
          <w:szCs w:val="22"/>
          <w:color w:val="auto"/>
        </w:rPr>
        <w:t xml:space="preserve"> shall survive termination of the Aggregate Commitments, the payment of all other Obligations and the resignation of the Administrative Agent.</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Agents in their Individual Capacities</w:t>
      </w:r>
      <w:r>
        <w:rPr>
          <w:rFonts w:ascii="Times New Roman" w:cs="Times New Roman" w:eastAsia="Times New Roman" w:hAnsi="Times New Roman"/>
          <w:sz w:val="22"/>
          <w:szCs w:val="22"/>
          <w:color w:val="auto"/>
        </w:rPr>
        <w:t>. Goldman Sachs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Goldman Sachs were not the Administrative Agent hereunder and without notice to or consent of the Lenders. The Lenders acknowledge that, pursuant to such activities, Goldman Sachs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Goldman Sachs shall have the same rights and powers under this Agreement as any other Lender and may exercise such rights and powers as though it were not the Administrative Agent, and the terms “Lender” and “Lenders” include Goldman Sachs in its individual capacity.</w:t>
      </w:r>
    </w:p>
    <w:p>
      <w:pPr>
        <w:spacing w:after="0" w:line="18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The Administrative Agent may resign as the Administrative Agent and Collateral Agent upon ten (10) days’ notice to the Borrower and the Lenders. If the Administrative Agent resigns under this Agreement, the Required Lenders shall appoint from among the Lenders a successor agent for the Lenders, which appointment of a successor agent shall require the consent of the Borrower at all times other than during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-190-</w:t>
      </w:r>
    </w:p>
    <w:p>
      <w:pPr>
        <w:sectPr>
          <w:pgSz w:w="11900" w:h="16838" w:orient="portrait"/>
          <w:cols w:equalWidth="0" w:num="1">
            <w:col w:w="10580"/>
          </w:cols>
          <w:pgMar w:left="980" w:top="1084" w:right="339" w:bottom="1440" w:gutter="0" w:footer="0" w:header="0"/>
        </w:sectPr>
      </w:pPr>
    </w:p>
    <w:bookmarkStart w:id="286" w:name="page287"/>
    <w:bookmarkEnd w:id="286"/>
    <w:p>
      <w:pPr>
        <w:jc w:val="both"/>
        <w:ind w:left="660"/>
        <w:spacing w:after="0" w:line="241" w:lineRule="auto"/>
        <w:rPr>
          <w:sz w:val="20"/>
          <w:szCs w:val="20"/>
          <w:color w:val="auto"/>
        </w:rPr>
      </w:pPr>
      <w:r>
        <w:rPr>
          <w:rFonts w:ascii="Times New Roman" w:cs="Times New Roman" w:eastAsia="Times New Roman" w:hAnsi="Times New Roman"/>
          <w:sz w:val="21"/>
          <w:szCs w:val="21"/>
          <w:color w:val="auto"/>
        </w:rPr>
        <w:t xml:space="preserve">existence of an Event of Default under </w:t>
      </w:r>
      <w:r>
        <w:rPr>
          <w:rFonts w:ascii="Times New Roman" w:cs="Times New Roman" w:eastAsia="Times New Roman" w:hAnsi="Times New Roman"/>
          <w:sz w:val="21"/>
          <w:szCs w:val="21"/>
          <w:u w:val="single" w:color="auto"/>
          <w:color w:val="auto"/>
        </w:rPr>
        <w:t>Section 8.01(f)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(which consent of the Borrower shall not be unreasonably withheld or delayed). If no successor agent is appointed prior to the effective date of the resignation of the Administrative Agent, the resigning Administrative Agent may appoint, after consulting with the Borrower and the Lenders, a successor agent from among the Lenders. Upon the acceptance of its appointment as successor agent hereunder, the Person acting as such successor agent shall succeed to all the rights, powers and duties of the retiring Administrative Agent and Collateral Agent and the term “Administrative Agent” shall mean such successor administrative agent and/or supplemental administrative agent, as the case may be (and the term “Collateral Agent” shall mean such successor collateral agent and/or supplemental agent, as described in </w:t>
      </w:r>
      <w:r>
        <w:rPr>
          <w:rFonts w:ascii="Times New Roman" w:cs="Times New Roman" w:eastAsia="Times New Roman" w:hAnsi="Times New Roman"/>
          <w:sz w:val="21"/>
          <w:szCs w:val="21"/>
          <w:u w:val="single" w:color="auto"/>
          <w:color w:val="auto"/>
        </w:rPr>
        <w:t>Section 9.01(c)</w:t>
      </w:r>
      <w:r>
        <w:rPr>
          <w:rFonts w:ascii="Times New Roman" w:cs="Times New Roman" w:eastAsia="Times New Roman" w:hAnsi="Times New Roman"/>
          <w:sz w:val="21"/>
          <w:szCs w:val="21"/>
          <w:color w:val="auto"/>
        </w:rPr>
        <w:t xml:space="preserve">), and the retiring Administrative Agent’s appointment, powers and duties as the Administrative Agent and Collateral Agent shall be terminated. After the retiring Administrative Agent’s resignation hereunder as the Administrative Agent and Collateral Agent,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shall inure to its benefit as to any actions taken or omitted to be taken by it while it was the Administrative Agent and Collateral Agent under this Agreement. If no successor agent has accepted appointment as the Administrative Agent and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and Collateral Agent hereunder until such time, if any, as the Required Lenders appoint a successor agent as provided for above (except that in the case of any collateral security held by the Collateral Agent on behalf of the Lenders or the L/C Issuer under any of the Loan Documents, the retiring Collateral Agent shall continue to hold such collateral security until such time as a successor Collateral Agent is appointed). Upon the acceptance of any appointment as the Administrative Agent and Collateral Agent hereunder by a successor and upon the execution and filing or recording of such financing statements, or amendments thereto, and such amendments or supplements to any Mortgages, and such other security agreements, instruments or notices, as may be necessary or desirable, or as the Required Lenders may reasonably request, in order to</w:t>
      </w:r>
    </w:p>
    <w:p>
      <w:pPr>
        <w:spacing w:after="0" w:line="8" w:lineRule="exact"/>
        <w:rPr>
          <w:sz w:val="20"/>
          <w:szCs w:val="20"/>
          <w:color w:val="auto"/>
        </w:rPr>
      </w:pPr>
    </w:p>
    <w:p>
      <w:pPr>
        <w:jc w:val="both"/>
        <w:ind w:left="660" w:hanging="4"/>
        <w:spacing w:after="0" w:line="233" w:lineRule="auto"/>
        <w:tabs>
          <w:tab w:leader="none" w:pos="966"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Collateral Agent, and the retiring Administrative Agent and Collateral Agent shall, to the extent not previously discharged, be discharged from its duties and obligations under the Loan Documents.</w:t>
      </w:r>
    </w:p>
    <w:p>
      <w:pPr>
        <w:spacing w:after="0" w:line="166"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1" w:lineRule="exact"/>
        <w:rPr>
          <w:sz w:val="20"/>
          <w:szCs w:val="20"/>
          <w:color w:val="auto"/>
        </w:rPr>
      </w:pPr>
    </w:p>
    <w:p>
      <w:pPr>
        <w:jc w:val="both"/>
        <w:ind w:firstLine="1304"/>
        <w:spacing w:after="0" w:line="234" w:lineRule="auto"/>
        <w:tabs>
          <w:tab w:leader="none" w:pos="159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-191-</w:t>
      </w:r>
    </w:p>
    <w:p>
      <w:pPr>
        <w:sectPr>
          <w:pgSz w:w="11900" w:h="16838" w:orient="portrait"/>
          <w:cols w:equalWidth="0" w:num="1">
            <w:col w:w="11240"/>
          </w:cols>
          <w:pgMar w:left="320" w:top="1084" w:right="339" w:bottom="1440" w:gutter="0" w:footer="0" w:header="0"/>
        </w:sectPr>
      </w:pPr>
    </w:p>
    <w:bookmarkStart w:id="287" w:name="page288"/>
    <w:bookmarkEnd w:id="287"/>
    <w:p>
      <w:pPr>
        <w:ind w:left="1300"/>
        <w:spacing w:after="0"/>
        <w:rPr>
          <w:sz w:val="20"/>
          <w:szCs w:val="20"/>
          <w:color w:val="auto"/>
        </w:rPr>
      </w:pPr>
      <w:r>
        <w:rPr>
          <w:rFonts w:ascii="Times New Roman" w:cs="Times New Roman" w:eastAsia="Times New Roman" w:hAnsi="Times New Roman"/>
          <w:sz w:val="21"/>
          <w:szCs w:val="21"/>
          <w:color w:val="auto"/>
        </w:rPr>
        <w:t>(b) to collect and receive any monies or other property payable or deliverable on any such claims and to distribute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same; and</w:t>
      </w:r>
    </w:p>
    <w:p>
      <w:pPr>
        <w:spacing w:after="0" w:line="182" w:lineRule="exact"/>
        <w:rPr>
          <w:sz w:val="20"/>
          <w:szCs w:val="20"/>
          <w:color w:val="auto"/>
        </w:rPr>
      </w:pPr>
    </w:p>
    <w:p>
      <w:pPr>
        <w:jc w:val="both"/>
        <w:ind w:firstLine="1304"/>
        <w:spacing w:after="0" w:line="235" w:lineRule="auto"/>
        <w:tabs>
          <w:tab w:leader="none" w:pos="1603"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or to authorize the Administrative Agent to vote in respect of the claim of any Lender in any such proceeding.</w:t>
      </w:r>
    </w:p>
    <w:p>
      <w:pPr>
        <w:spacing w:after="0" w:line="18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9.11</w:t>
      </w:r>
      <w:r>
        <w:rPr>
          <w:sz w:val="20"/>
          <w:szCs w:val="20"/>
          <w:color w:val="auto"/>
        </w:rPr>
        <w:tab/>
      </w:r>
      <w:r>
        <w:rPr>
          <w:rFonts w:ascii="Times New Roman" w:cs="Times New Roman" w:eastAsia="Times New Roman" w:hAnsi="Times New Roman"/>
          <w:sz w:val="21"/>
          <w:szCs w:val="21"/>
          <w:u w:val="single" w:color="auto"/>
          <w:color w:val="auto"/>
        </w:rPr>
        <w:t>Collateral and Guaranty Matters</w:t>
      </w:r>
      <w:r>
        <w:rPr>
          <w:rFonts w:ascii="Times New Roman" w:cs="Times New Roman" w:eastAsia="Times New Roman" w:hAnsi="Times New Roman"/>
          <w:sz w:val="21"/>
          <w:szCs w:val="21"/>
          <w:color w:val="auto"/>
        </w:rPr>
        <w:t>. The Lenders irrevocably agree:</w:t>
      </w:r>
    </w:p>
    <w:p>
      <w:pPr>
        <w:spacing w:after="0" w:line="206" w:lineRule="exact"/>
        <w:rPr>
          <w:sz w:val="20"/>
          <w:szCs w:val="20"/>
          <w:color w:val="auto"/>
        </w:rPr>
      </w:pPr>
    </w:p>
    <w:p>
      <w:pPr>
        <w:jc w:val="both"/>
        <w:ind w:firstLine="1304"/>
        <w:spacing w:after="0" w:line="232" w:lineRule="auto"/>
        <w:tabs>
          <w:tab w:leader="none" w:pos="159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Lien on any property granted to or held by the Administrative Agent or the Collateral Agent under any Loan Document shall be automatically released (i) upon termination of the Aggregate Commitments and payment in full of all Secured Obligations (other than (x) obligations under Secured Hedge Agreements not yet due and payable, (y) Secured Cash Management Obligations not yet due and payable and (z) contingent indemnification obligations not yet accrued and payable), the expiration or termination of all Letters of Credit (other than Letters of Credit that have been Cash Collateralized or back-stopped or as to which other arrangements reasonably satisfactory to the Administrative Agent and the applicable L/C Issuer have been made), (ii) at the time the property subject to such Lien is transferred as part of or in connection with any transfer permitted hereunder (including any Asset Disposition permitted hereunder) or under any other Loan Document to any Person other than any other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of a transfer of assets from a Loan Party to another Loan Party organized in a different jurisdiction, the Collateral Agent shall, upon request of the Borrower or any other Loan Party, release such Lien if such transferee Loan Party takes all actions reasonably necessary to grant a Lien in such transferred assets to the Collateral Agent (to the extent required by the Collateral and Guarantee Requirement)), (iii) subject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below or (v) if the property subject to such Lien becomes Excluded Property;</w:t>
      </w:r>
    </w:p>
    <w:p>
      <w:pPr>
        <w:spacing w:after="0" w:line="16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29"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or subordinate any Lien on any property granted to or held by the Administrative Agent or the Collateral Agent under any Loan Document to the holder of any Lien on such property that is a Permitted Lien under clauses (i) or (l) (in the case of clause (l), upon the reasonable request of the Borrower, to the extent required by the terms of the agreements governing such Permitted Lien) of the definition thereof.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59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Subsidiary Guarantor ceases to be a Restricted Subsidiary, or becomes an Excluded Subsidiary, in each case as a result of a transaction permitted hereunder or designation permitted hereunder (as certified in writing delivered to the Administrative Agent by a Responsible Officer of the Borrower) (provided that the release of any Subsidiary Guarantor from its obligations under the Loan Documents solely as a result of such Subsidiary Guarantor becoming an Excluded Subsidiary of the type described in clause (j) or (l) of the definition thereof shall only be permitted if such Subsidiary Guarantor becomes such an Excluded Subsidiary pursuant to a transaction with a third party that is not otherwise an Affiliate of the Borrower and such transaction was not for the primary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-192-</w:t>
      </w:r>
    </w:p>
    <w:p>
      <w:pPr>
        <w:sectPr>
          <w:pgSz w:w="11900" w:h="16838" w:orient="portrait"/>
          <w:cols w:equalWidth="0" w:num="1">
            <w:col w:w="11240"/>
          </w:cols>
          <w:pgMar w:left="320" w:top="1084" w:right="339" w:bottom="1440" w:gutter="0" w:footer="0" w:header="0"/>
        </w:sectPr>
      </w:pPr>
    </w:p>
    <w:bookmarkStart w:id="288" w:name="page289"/>
    <w:bookmarkEnd w:id="288"/>
    <w:p>
      <w:pPr>
        <w:jc w:val="both"/>
        <w:spacing w:after="0" w:line="258" w:lineRule="auto"/>
        <w:rPr>
          <w:sz w:val="20"/>
          <w:szCs w:val="20"/>
          <w:color w:val="auto"/>
        </w:rPr>
      </w:pPr>
      <w:r>
        <w:rPr>
          <w:rFonts w:ascii="Times New Roman" w:cs="Times New Roman" w:eastAsia="Times New Roman" w:hAnsi="Times New Roman"/>
          <w:sz w:val="22"/>
          <w:szCs w:val="22"/>
          <w:color w:val="auto"/>
        </w:rPr>
        <w:t>purpose of release the Guarantee of such Subsidiary Guarantor, and, in the case of an Excluded Subsidiary of the type described in clause (j) of the definition thereof, only if such Subsidiary Guarantor ceases to be a Restricted Subsidiary).</w:t>
      </w:r>
    </w:p>
    <w:p>
      <w:pPr>
        <w:spacing w:after="0" w:line="15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Notwithstanding anything contained herein to the contrary, upon request by the Administrative Agent at any time, the Required Lenders shall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provided that the absence of such confirmation shall not affect in any way the validity of the automatic releases of security interest or Guaranty contemplated by this Agreement or the Administrative Agent’s obligations to comply with the provisions of the immediately following sentence. In each case as specified in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the Administrative Agent will promptly (and each Lender irrevocably authorizes the Administrative Agent to), at the Borrower’s expense, execute and deliver to the applicable Loan Party such documents as such Loan Party may reasonably request (i) to evidence the release or subordination of such item of Collateral from the assignment and security interest granted under the Collateral Documents (including the filing of termination statements or the return of pledged collateral), or to evidence the release of such Guarantor from its obligations under the Guaranty, in each case in accordance with the terms of the Loan Documents and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any such request, the Borrower shall have in each case delivered to the Administrative Agent written request therefor and, to the extent requested by the Administrative Agent, a certificate of the Borrower to the effect that the release of such Guarantor or Collateral, as applicable, is in compliance with the Loan Documents. Each of the Lenders irrevocably authorizes the Administrative Agent to rely on any such certificate without independent investigation and release its interests in any Collateral or release any Guarantor from its obligations under the Loan Documents pursuant to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(including, in each case of the foregoing, by filing applicable termination statements and/or returning pledged Collateral); it being acknowledged and agreed by each Secured Party that the Administrative Agent, in its capacity as such, shall have no liability with respect to relying on such certificate and taking actions to evidence such release.</w:t>
      </w:r>
    </w:p>
    <w:p>
      <w:pPr>
        <w:spacing w:after="0" w:line="180" w:lineRule="exact"/>
        <w:rPr>
          <w:sz w:val="20"/>
          <w:szCs w:val="20"/>
          <w:color w:val="auto"/>
        </w:rPr>
      </w:pPr>
    </w:p>
    <w:p>
      <w:pPr>
        <w:jc w:val="both"/>
        <w:ind w:left="66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Other Agents; Arrangers and Managers</w:t>
      </w:r>
      <w:r>
        <w:rPr>
          <w:rFonts w:ascii="Times New Roman" w:cs="Times New Roman" w:eastAsia="Times New Roman" w:hAnsi="Times New Roman"/>
          <w:sz w:val="22"/>
          <w:szCs w:val="22"/>
          <w:color w:val="auto"/>
        </w:rPr>
        <w:t>. None of the Lenders, the Agents, the Lead Arrangers or other Persons identified on the facing page or signature pages of this Agreement as a “co-arranger” shall have any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Agents, Lead Arrangers, Lenders or other Persons so identified in deciding to enter into this Agreement or in taking or not taking action hereunder. Each Lead Arranger shall be an intended third party beneficiary of the provisions of this Agreement applicable thereto.</w:t>
      </w:r>
    </w:p>
    <w:p>
      <w:pPr>
        <w:spacing w:after="0" w:line="182"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2"/>
          <w:szCs w:val="22"/>
          <w:color w:val="auto"/>
        </w:rPr>
        <w:t>Section 9.13</w:t>
      </w:r>
      <w:r>
        <w:rPr>
          <w:sz w:val="20"/>
          <w:szCs w:val="20"/>
          <w:color w:val="auto"/>
        </w:rPr>
        <w:tab/>
      </w:r>
      <w:r>
        <w:rPr>
          <w:rFonts w:ascii="Times New Roman" w:cs="Times New Roman" w:eastAsia="Times New Roman" w:hAnsi="Times New Roman"/>
          <w:sz w:val="21"/>
          <w:szCs w:val="21"/>
          <w:u w:val="single" w:color="auto"/>
          <w:color w:val="auto"/>
        </w:rPr>
        <w:t>Appointment of Supplemental Administrative Agents.</w:t>
      </w:r>
    </w:p>
    <w:p>
      <w:pPr>
        <w:spacing w:after="0" w:line="206" w:lineRule="exact"/>
        <w:rPr>
          <w:sz w:val="20"/>
          <w:szCs w:val="20"/>
          <w:color w:val="auto"/>
        </w:rPr>
      </w:pPr>
    </w:p>
    <w:p>
      <w:pPr>
        <w:jc w:val="both"/>
        <w:ind w:left="1300" w:firstLine="4"/>
        <w:spacing w:after="0" w:line="233" w:lineRule="auto"/>
        <w:tabs>
          <w:tab w:leader="none" w:pos="1762"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ectPr>
          <w:pgSz w:w="11900" w:h="16838" w:orient="portrait"/>
          <w:cols w:equalWidth="0" w:num="1">
            <w:col w:w="11240"/>
          </w:cols>
          <w:pgMar w:left="320" w:top="1084" w:right="339" w:bottom="1440" w:gutter="0" w:footer="0" w:header="0"/>
        </w:sectPr>
      </w:pPr>
    </w:p>
    <w:bookmarkStart w:id="289" w:name="page290"/>
    <w:bookmarkEnd w:id="289"/>
    <w:p>
      <w:pPr>
        <w:jc w:val="both"/>
        <w:ind w:left="640" w:right="20"/>
        <w:spacing w:after="0" w:line="244" w:lineRule="auto"/>
        <w:rPr>
          <w:sz w:val="20"/>
          <w:szCs w:val="20"/>
          <w:color w:val="auto"/>
        </w:rPr>
      </w:pPr>
      <w:r>
        <w:rPr>
          <w:rFonts w:ascii="Times New Roman" w:cs="Times New Roman" w:eastAsia="Times New Roman" w:hAnsi="Times New Roman"/>
          <w:sz w:val="22"/>
          <w:szCs w:val="22"/>
          <w:color w:val="auto"/>
        </w:rPr>
        <w:t>administrative sub-agent or administrative co-agent (any such additional individual or institution being referred to herein individually as a “</w:t>
      </w:r>
      <w:r>
        <w:rPr>
          <w:rFonts w:ascii="Times New Roman" w:cs="Times New Roman" w:eastAsia="Times New Roman" w:hAnsi="Times New Roman"/>
          <w:sz w:val="22"/>
          <w:szCs w:val="22"/>
          <w:u w:val="single" w:color="auto"/>
          <w:color w:val="auto"/>
        </w:rPr>
        <w:t>Supplemental Administrative Agent</w:t>
      </w:r>
      <w:r>
        <w:rPr>
          <w:rFonts w:ascii="Times New Roman" w:cs="Times New Roman" w:eastAsia="Times New Roman" w:hAnsi="Times New Roman"/>
          <w:sz w:val="22"/>
          <w:szCs w:val="22"/>
          <w:color w:val="auto"/>
        </w:rPr>
        <w:t>” and, collectively, as “</w:t>
      </w:r>
      <w:r>
        <w:rPr>
          <w:rFonts w:ascii="Times New Roman" w:cs="Times New Roman" w:eastAsia="Times New Roman" w:hAnsi="Times New Roman"/>
          <w:sz w:val="22"/>
          <w:szCs w:val="22"/>
          <w:u w:val="single" w:color="auto"/>
          <w:color w:val="auto"/>
        </w:rPr>
        <w:t>Supplemental 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40" w:firstLine="4"/>
        <w:spacing w:after="0" w:line="243" w:lineRule="auto"/>
        <w:tabs>
          <w:tab w:leader="none" w:pos="1111"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of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4" w:lineRule="exact"/>
        <w:rPr>
          <w:rFonts w:ascii="Times New Roman" w:cs="Times New Roman" w:eastAsia="Times New Roman" w:hAnsi="Times New Roman"/>
          <w:sz w:val="21"/>
          <w:szCs w:val="21"/>
          <w:color w:val="auto"/>
        </w:rPr>
      </w:pPr>
    </w:p>
    <w:p>
      <w:pPr>
        <w:jc w:val="both"/>
        <w:ind w:left="640" w:firstLine="4"/>
        <w:spacing w:after="0" w:line="233" w:lineRule="auto"/>
        <w:tabs>
          <w:tab w:leader="none" w:pos="121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Withholding Tax</w:t>
      </w:r>
      <w:r>
        <w:rPr>
          <w:rFonts w:ascii="Times New Roman" w:cs="Times New Roman" w:eastAsia="Times New Roman" w:hAnsi="Times New Roman"/>
          <w:sz w:val="22"/>
          <w:szCs w:val="22"/>
          <w:color w:val="auto"/>
        </w:rPr>
        <w:t xml:space="preserve">. To the extent required by any applicable Law, the Administrative Agent may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amounts at any time owing to such Lender under this Agreement or any other Loan Document against any amount due the Administrative Agent under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survive the resignation and/or replacement of the Administrative Agent, any assignment of rights by, or the replacement of, a Lender, the termination of this Agreement and the repayment, satisfaction or discharge of all other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-194-</w:t>
      </w:r>
    </w:p>
    <w:p>
      <w:pPr>
        <w:sectPr>
          <w:pgSz w:w="11900" w:h="16838" w:orient="portrait"/>
          <w:cols w:equalWidth="0" w:num="1">
            <w:col w:w="10580"/>
          </w:cols>
          <w:pgMar w:left="980" w:top="1084" w:right="339" w:bottom="1440" w:gutter="0" w:footer="0" w:header="0"/>
        </w:sectPr>
      </w:pPr>
    </w:p>
    <w:bookmarkStart w:id="290" w:name="page291"/>
    <w:bookmarkEnd w:id="290"/>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 xml:space="preserve">obligations. For the avoidance of doubt, (1) the term “Lender” shall, for purposes of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include any L/C Issuer and (2)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not limit or expand the obligations of the Borrower or any Guarantor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w:t>
      </w:r>
      <w:r>
        <w:rPr>
          <w:rFonts w:ascii="Times New Roman" w:cs="Times New Roman" w:eastAsia="Times New Roman" w:hAnsi="Times New Roman"/>
          <w:sz w:val="22"/>
          <w:szCs w:val="22"/>
          <w:color w:val="auto"/>
        </w:rPr>
        <w:t xml:space="preserve"> or any other provision of this Agreement.</w:t>
      </w:r>
    </w:p>
    <w:p>
      <w:pPr>
        <w:spacing w:after="0" w:line="173"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9.15 </w:t>
      </w:r>
      <w:r>
        <w:rPr>
          <w:rFonts w:ascii="Times New Roman" w:cs="Times New Roman" w:eastAsia="Times New Roman" w:hAnsi="Times New Roman"/>
          <w:sz w:val="21"/>
          <w:szCs w:val="21"/>
          <w:u w:val="single" w:color="auto"/>
          <w:color w:val="auto"/>
        </w:rPr>
        <w:t>Secured Cash Management Obligations; Secured Hedge Agreements</w:t>
      </w:r>
      <w:r>
        <w:rPr>
          <w:rFonts w:ascii="Times New Roman" w:cs="Times New Roman" w:eastAsia="Times New Roman" w:hAnsi="Times New Roman"/>
          <w:sz w:val="21"/>
          <w:szCs w:val="21"/>
          <w:color w:val="auto"/>
        </w:rPr>
        <w:t xml:space="preserve">. Except as otherwise expressly set forth herein or in any Collateral Document, no Cash Management Bank or Hedge Bank that obtains the benefits of </w:t>
      </w:r>
      <w:r>
        <w:rPr>
          <w:rFonts w:ascii="Times New Roman" w:cs="Times New Roman" w:eastAsia="Times New Roman" w:hAnsi="Times New Roman"/>
          <w:sz w:val="21"/>
          <w:szCs w:val="21"/>
          <w:u w:val="single" w:color="auto"/>
          <w:color w:val="auto"/>
        </w:rPr>
        <w:t>Section 8.04</w:t>
      </w:r>
      <w:r>
        <w:rPr>
          <w:rFonts w:ascii="Times New Roman" w:cs="Times New Roman" w:eastAsia="Times New Roman" w:hAnsi="Times New Roman"/>
          <w:sz w:val="21"/>
          <w:szCs w:val="21"/>
          <w:color w:val="auto"/>
        </w:rPr>
        <w:t xml:space="preserve">, any Guaranty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to the contrary, the Administrative Agent shall not be required to verify the payment of, or that other satisfactory arrangements have been made with respect to, Secured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 as the case may be.</w:t>
      </w:r>
    </w:p>
    <w:p>
      <w:pPr>
        <w:spacing w:after="0" w:line="175" w:lineRule="exact"/>
        <w:rPr>
          <w:sz w:val="20"/>
          <w:szCs w:val="20"/>
          <w:color w:val="auto"/>
        </w:rPr>
      </w:pPr>
    </w:p>
    <w:p>
      <w:pPr>
        <w:jc w:val="both"/>
        <w:ind w:left="6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19"/>
          <w:szCs w:val="19"/>
          <w:color w:val="auto"/>
        </w:rPr>
        <w:t>. (a) Each Lender (x) represents and warrants, as of the date such Person became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5" w:lineRule="exact"/>
        <w:rPr>
          <w:sz w:val="20"/>
          <w:szCs w:val="20"/>
          <w:color w:val="auto"/>
        </w:rPr>
      </w:pPr>
    </w:p>
    <w:p>
      <w:pPr>
        <w:jc w:val="both"/>
        <w:ind w:firstLine="1304"/>
        <w:spacing w:after="0" w:line="244" w:lineRule="auto"/>
        <w:tabs>
          <w:tab w:leader="none" w:pos="1559"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with respect to such Lender’s entrance into, participation in, administration of and performance of the Loans, the Letters of Credit, the Commitments or this Agreement,</w:t>
      </w:r>
    </w:p>
    <w:p>
      <w:pPr>
        <w:spacing w:after="0" w:line="173" w:lineRule="exact"/>
        <w:rPr>
          <w:rFonts w:ascii="Times New Roman" w:cs="Times New Roman" w:eastAsia="Times New Roman" w:hAnsi="Times New Roman"/>
          <w:sz w:val="20"/>
          <w:szCs w:val="20"/>
          <w:color w:val="auto"/>
        </w:rPr>
      </w:pPr>
    </w:p>
    <w:p>
      <w:pPr>
        <w:jc w:val="both"/>
        <w:ind w:firstLine="1304"/>
        <w:spacing w:after="0" w:line="234" w:lineRule="auto"/>
        <w:tabs>
          <w:tab w:leader="none" w:pos="1601"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w:t>
      </w:r>
    </w:p>
    <w:p>
      <w:pPr>
        <w:spacing w:after="0" w:line="176"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01"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Times New Roman" w:cs="Times New Roman" w:eastAsia="Times New Roman" w:hAnsi="Times New Roman"/>
          <w:sz w:val="22"/>
          <w:szCs w:val="22"/>
          <w:color w:val="auto"/>
        </w:rPr>
      </w:pPr>
    </w:p>
    <w:p>
      <w:pPr>
        <w:ind w:firstLine="1304"/>
        <w:spacing w:after="0" w:line="258" w:lineRule="auto"/>
        <w:tabs>
          <w:tab w:leader="none" w:pos="168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ectPr>
          <w:pgSz w:w="11900" w:h="16838" w:orient="portrait"/>
          <w:cols w:equalWidth="0" w:num="1">
            <w:col w:w="11240"/>
          </w:cols>
          <w:pgMar w:left="320" w:top="1084" w:right="339" w:bottom="1440" w:gutter="0" w:footer="0" w:header="0"/>
        </w:sectPr>
      </w:pPr>
    </w:p>
    <w:bookmarkStart w:id="291" w:name="page292"/>
    <w:bookmarkEnd w:id="291"/>
    <w:p>
      <w:pPr>
        <w:jc w:val="both"/>
        <w:ind w:firstLine="656"/>
        <w:spacing w:after="0" w:line="249" w:lineRule="auto"/>
        <w:tabs>
          <w:tab w:leader="none" w:pos="928" w:val="left"/>
        </w:tabs>
        <w:numPr>
          <w:ilvl w:val="0"/>
          <w:numId w:val="3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Collateral or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6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each such waiver or consent shall be effective only in the specific instance and for the specific purpose for which given;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amendment, waiver or consent shall:</w:t>
      </w:r>
    </w:p>
    <w:p>
      <w:pPr>
        <w:spacing w:after="0" w:line="179" w:lineRule="exact"/>
        <w:rPr>
          <w:sz w:val="20"/>
          <w:szCs w:val="20"/>
          <w:color w:val="auto"/>
        </w:rPr>
      </w:pPr>
    </w:p>
    <w:p>
      <w:pPr>
        <w:jc w:val="both"/>
        <w:ind w:firstLine="1304"/>
        <w:spacing w:after="0" w:line="239" w:lineRule="auto"/>
        <w:tabs>
          <w:tab w:leader="none" w:pos="1603"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 of any Lender without the written consent of each Lender directly and adversely affected thereby (it being understood that a waiver of any condition precedent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or the waiver of any Default or Event of Default, mandatory prepayment or mandatory reduction of the Commitments shall not constitute an extension or increase of any Commitment of any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02"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postpone any date scheduled for, or reduce the amount of, any payment of principal or interest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fees or other amounts without the written consent of each Lender directly and adversely affected thereby (it being understood that no amendment, modification or waiver of, or consent to departure from, any condition precedent, covenant, Event of Default, waiver of (or amendment to the terms of) any mandatory prepayment of the Term Loans, waiver of default interest, waiver of the MFN Adjustment or mandatory reduction of the Commitments shall not constitute a postponement of any date scheduled for the payment of principal or interest);</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3"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any Loan or L/C Borrowing, or (subject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the second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any fees or other amounts payable hereunder or under any other Loan Document without the written consent of each Lender directly and adversely affected thereby, it being understood that any change to the definition of Consolidated First Lien Secured Leverage Ratio or in the component definitions thereof shall not constitute a reduction in the rate of interest or fees;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only the consent of the Required Lenders shall be necessary to amend the definition of “Default Rate”, to waive any obligation of the Borrower to pay interest at the Default Rate or to waive the MFN Adjustment;</w:t>
      </w:r>
    </w:p>
    <w:p>
      <w:pPr>
        <w:spacing w:after="0" w:line="18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2"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the definitions of “Required Lenders,” or “Required Revolving Credit Lenders” or </w:t>
      </w:r>
      <w:r>
        <w:rPr>
          <w:rFonts w:ascii="Times New Roman" w:cs="Times New Roman" w:eastAsia="Times New Roman" w:hAnsi="Times New Roman"/>
          <w:sz w:val="22"/>
          <w:szCs w:val="22"/>
          <w:u w:val="single" w:color="auto"/>
          <w:color w:val="auto"/>
        </w:rPr>
        <w:t>Sections 2.05(b)(iv), 2.13</w:t>
      </w:r>
      <w:r>
        <w:rPr>
          <w:rFonts w:ascii="Times New Roman" w:cs="Times New Roman" w:eastAsia="Times New Roman" w:hAnsi="Times New Roman"/>
          <w:sz w:val="22"/>
          <w:szCs w:val="22"/>
          <w:color w:val="auto"/>
        </w:rPr>
        <w:t xml:space="preserve"> or 8.04 that would alter the pro rata sharing payments without the written consent of each Lender directly and adversely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-177165</wp:posOffset>
            </wp:positionV>
            <wp:extent cx="274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ectPr>
          <w:pgSz w:w="11900" w:h="16838" w:orient="portrait"/>
          <w:cols w:equalWidth="0" w:num="1">
            <w:col w:w="11240"/>
          </w:cols>
          <w:pgMar w:left="320" w:top="1089" w:right="339" w:bottom="1440" w:gutter="0" w:footer="0" w:header="0"/>
        </w:sectPr>
      </w:pPr>
    </w:p>
    <w:bookmarkStart w:id="292" w:name="page293"/>
    <w:bookmarkEnd w:id="292"/>
    <w:p>
      <w:pPr>
        <w:jc w:val="both"/>
        <w:ind w:firstLine="1304"/>
        <w:spacing w:after="0" w:line="244" w:lineRule="auto"/>
        <w:tabs>
          <w:tab w:leader="none" w:pos="1603"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all or substantially all of the Collateral in any transaction or series of related transactions, without the written consent of each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transaction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shall not be subject to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to the extent such transaction does not result in the release of all or substantially all of the Collateral;</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566"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all or substantially all of the Guarantees in any transaction or series of related transactions, without the written consent of each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transaction permitted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shall not be subject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to the extent such transaction does not result in the release of all or substantially all of the Guarantees;</w:t>
      </w:r>
    </w:p>
    <w:p>
      <w:pPr>
        <w:spacing w:after="0" w:line="15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2"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the Liens on the Collateral for the benefit of any of the Lenders (in its capacity as a Secured Party hereunder) in respect of any of its Obligations to any other Lien in respect of any Indebtedness without the prior written consent of each Lender adversely affected thereby; or</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615"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effectuate any payment subordination with respect to the Obligations owing to any Lender without the prior written consent of each Lender adversely effected thereby;</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 no amendment, waiver or consent shall, unless in writing and signed by each L/C Issuer in addition to the Lenders required above, affect the rights or duties of a L/C Issuer under this Agreement or any Letter of Credit Application relating to any Letter of Credit issued or to be issued by it; (ii) [reserved];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10.07(h)</w:t>
      </w:r>
      <w:r>
        <w:rPr>
          <w:rFonts w:ascii="Times New Roman" w:cs="Times New Roman" w:eastAsia="Times New Roman" w:hAnsi="Times New Roman"/>
          <w:sz w:val="21"/>
          <w:szCs w:val="21"/>
          <w:color w:val="auto"/>
        </w:rPr>
        <w:t xml:space="preserve"> may not be amended, waived or otherwise modified without the consent of each Granting Lender all or any part of whose Loans are being funded by an SPC at the time of such amendment, waiver or other modification; (v)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(vi) the consent of the Required Revolving Credit Lenders (and no other Lenders) shall be necessary to amend or waive the terms and provisions of </w:t>
      </w:r>
      <w:r>
        <w:rPr>
          <w:rFonts w:ascii="Times New Roman" w:cs="Times New Roman" w:eastAsia="Times New Roman" w:hAnsi="Times New Roman"/>
          <w:sz w:val="21"/>
          <w:szCs w:val="21"/>
          <w:u w:val="single" w:color="auto"/>
          <w:color w:val="auto"/>
        </w:rPr>
        <w:t>Sections 7.09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8.01(b)(ii)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8.05</w:t>
      </w:r>
      <w:r>
        <w:rPr>
          <w:rFonts w:ascii="Times New Roman" w:cs="Times New Roman" w:eastAsia="Times New Roman" w:hAnsi="Times New Roman"/>
          <w:sz w:val="21"/>
          <w:szCs w:val="21"/>
          <w:color w:val="auto"/>
        </w:rPr>
        <w:t xml:space="preserve"> (and related definitions as used in such Sections, but not as used in other Sections of this Agreement); and (vii) the consent of the Required Revolving Credit Lenders and the Required Lenders shall be necessary to permit the Borrower to incur additional Indebtedness that is pari passu with or senior to the Revolving Credit Facility in right of payment and with respect to security. 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Credit Loans, the Incremental Term Loans, if any, and the accrued interest and fees in respect thereof and (b) to include appropriately the Lenders holding such credit facilities in any determination of the Required Lenders and, if applicable, the Required Revolving Credit Lenders; provided that for the avoidance of doubt, the consent of the Required Revolving Credit Lenders shall be required with respect to any amendment that permits the Loan Parties to incur Indebtedness that ranks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or senior to the Revolving Credit Facility in right of security and payment.</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ectPr>
          <w:pgSz w:w="11900" w:h="16838" w:orient="portrait"/>
          <w:cols w:equalWidth="0" w:num="1">
            <w:col w:w="11240"/>
          </w:cols>
          <w:pgMar w:left="320" w:top="1084" w:right="339" w:bottom="1440" w:gutter="0" w:footer="0" w:header="0"/>
        </w:sectPr>
      </w:pPr>
    </w:p>
    <w:bookmarkStart w:id="293" w:name="page294"/>
    <w:bookmarkEnd w:id="293"/>
    <w:p>
      <w:pPr>
        <w:jc w:val="both"/>
        <w:spacing w:after="0" w:line="241" w:lineRule="auto"/>
        <w:rPr>
          <w:sz w:val="20"/>
          <w:szCs w:val="20"/>
          <w:color w:val="auto"/>
        </w:rPr>
      </w:pPr>
      <w:r>
        <w:rPr>
          <w:rFonts w:ascii="Times New Roman" w:cs="Times New Roman" w:eastAsia="Times New Roman" w:hAnsi="Times New Roman"/>
          <w:sz w:val="22"/>
          <w:szCs w:val="22"/>
          <w:color w:val="auto"/>
        </w:rPr>
        <w:t>supplement or waiver is delivered in order (i) to comply with local Law or advice of local counsel, (ii) to cure ambiguities, inconsistencies, omissions, mistakes or defects (including to correct or cure incorrect cross references or similar inaccuracies),</w:t>
      </w:r>
    </w:p>
    <w:p>
      <w:pPr>
        <w:spacing w:after="0" w:line="2" w:lineRule="exact"/>
        <w:rPr>
          <w:sz w:val="20"/>
          <w:szCs w:val="20"/>
          <w:color w:val="auto"/>
        </w:rPr>
      </w:pPr>
    </w:p>
    <w:p>
      <w:pPr>
        <w:jc w:val="both"/>
        <w:ind w:firstLine="8"/>
        <w:spacing w:after="0" w:line="230" w:lineRule="auto"/>
        <w:tabs>
          <w:tab w:leader="none" w:pos="418"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effect administrative changes of a technical or immaterial nature or (iv) to cause such guarantee, collateral security document or other document to be consistent with this Agreement and the other Loan Documents. Furthermore, with the consent of the Administrative Agent at the request of the Borrower (without the need to obtain any consent of any Lender), any Loan Document may be amended to cure ambiguities, inconsistencies, omissions, mistakes or defects (including to correct or cure incorrect cross references or similar inaccuracies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to the contrary, (a) technical and conforming modifications to the Loan Documents may be made with the consent of the Borrower and the Administrative Agent to the extent necessary (i) to integrate any Incremental Facilities, Refinancing Revolving Credit Commitments, Refinancing Term Loans, Extended Term Loans or Extended Revolving Credit Commitments, (ii) to integrate or make administrative modifications with respect to borrowings and issuances of Letters of Credit and (iii) to integrate and terms or conditions from any Incremental Facility Amendment that are more restrictive than this Agreement in accordance with </w:t>
      </w:r>
      <w:r>
        <w:rPr>
          <w:rFonts w:ascii="Times New Roman" w:cs="Times New Roman" w:eastAsia="Times New Roman" w:hAnsi="Times New Roman"/>
          <w:sz w:val="21"/>
          <w:szCs w:val="21"/>
          <w:u w:val="single" w:color="auto"/>
          <w:color w:val="auto"/>
        </w:rPr>
        <w:t>Section 2.14(d)</w:t>
      </w:r>
      <w:r>
        <w:rPr>
          <w:rFonts w:ascii="Times New Roman" w:cs="Times New Roman" w:eastAsia="Times New Roman" w:hAnsi="Times New Roman"/>
          <w:sz w:val="21"/>
          <w:szCs w:val="21"/>
          <w:color w:val="auto"/>
        </w:rPr>
        <w:t xml:space="preserve"> and (b) without the consent of any Lender or L/C Issuer, the Loan Parties, the Administrative Agent or the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contemplated by this Agreement, in each case with the holders of Indebtedness permitted by this Agreement to be secured by the Collateral. Without limitation of the foregoing, the Borrower may, without the consent of any Lenders, upon delivery to the Administrative Agent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Times New Roman" w:cs="Times New Roman" w:eastAsia="Times New Roman" w:hAnsi="Times New Roman"/>
          <w:sz w:val="21"/>
          <w:szCs w:val="21"/>
          <w:u w:val="single" w:color="auto"/>
          <w:color w:val="auto"/>
        </w:rPr>
        <w:t>Section 2.05(a)(iv)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2.14(b)(ii)</w:t>
      </w:r>
      <w:r>
        <w:rPr>
          <w:rFonts w:ascii="Times New Roman" w:cs="Times New Roman" w:eastAsia="Times New Roman" w:hAnsi="Times New Roman"/>
          <w:sz w:val="21"/>
          <w:szCs w:val="21"/>
          <w:color w:val="auto"/>
        </w:rPr>
        <w:t xml:space="preserve"> hereof) and/or (iii) with the consent of the Administrative Agent (provided that any amendment shall not become effective unless the Lenders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modify any other provision hereunder or under any other Loan Document in a manner, as determined by the Administrative Agent in its sole discretion, more favorable to the then-existing Lenders or Class or Classes of Lenders, in each case in connection with the issuance or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will have at least five Business Days (or such shorter period to which the Administrative Agent may consent in its reasonable discretion) after written notice from the Borrower to provide such consent and may, in its sole discretion, provide written notice to the Lenders regarding any such proposed amendment.</w:t>
      </w:r>
    </w:p>
    <w:p>
      <w:pPr>
        <w:spacing w:after="0" w:line="1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herein, in connection with any determination as to whether the Required Lenders have (A) consented (or not consented) to any amendment or waiver of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ectPr>
          <w:pgSz w:w="11900" w:h="16838" w:orient="portrait"/>
          <w:cols w:equalWidth="0" w:num="1">
            <w:col w:w="11240"/>
          </w:cols>
          <w:pgMar w:left="320" w:top="1084" w:right="339" w:bottom="1440" w:gutter="0" w:footer="0" w:header="0"/>
        </w:sectPr>
      </w:pPr>
    </w:p>
    <w:bookmarkStart w:id="294" w:name="page295"/>
    <w:bookmarkEnd w:id="294"/>
    <w:p>
      <w:pPr>
        <w:jc w:val="both"/>
        <w:spacing w:after="0" w:line="241" w:lineRule="auto"/>
        <w:rPr>
          <w:sz w:val="20"/>
          <w:szCs w:val="20"/>
          <w:color w:val="auto"/>
        </w:rPr>
      </w:pPr>
      <w:r>
        <w:rPr>
          <w:rFonts w:ascii="Times New Roman" w:cs="Times New Roman" w:eastAsia="Times New Roman" w:hAnsi="Times New Roman"/>
          <w:sz w:val="21"/>
          <w:szCs w:val="21"/>
          <w:color w:val="auto"/>
        </w:rPr>
        <w:t>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Credit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cs="Times New Roman" w:eastAsia="Times New Roman" w:hAnsi="Times New Roman"/>
          <w:sz w:val="21"/>
          <w:szCs w:val="21"/>
          <w:u w:val="single" w:color="auto"/>
          <w:color w:val="auto"/>
        </w:rPr>
        <w:t>Net Short Lender</w:t>
      </w:r>
      <w:r>
        <w:rPr>
          <w:rFonts w:ascii="Times New Roman" w:cs="Times New Roman" w:eastAsia="Times New Roman" w:hAnsi="Times New Roman"/>
          <w:sz w:val="21"/>
          <w:szCs w:val="21"/>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any of the Borrower or other Loan Parties, collectively, shall represent less than 5.0%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21"/>
          <w:szCs w:val="21"/>
          <w:u w:val="single" w:color="auto"/>
          <w:color w:val="auto"/>
        </w:rPr>
        <w:t>ISDA CDS Definitions</w:t>
      </w:r>
      <w:r>
        <w:rPr>
          <w:rFonts w:ascii="Times New Roman" w:cs="Times New Roman" w:eastAsia="Times New Roman" w:hAnsi="Times New Roman"/>
          <w:sz w:val="21"/>
          <w:szCs w:val="21"/>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5.0% of the components of such index. In connection with any such determination, each Lender (other than (x) any Lender that is a Regulated Bank and (y) any Revolving Credit Lender as of the Closing Date) shall promptly notify the Administrative Agent in writing that it is a Net Short Lender, or shall otherwise be deemed to have represented and warranted to the Borrower and the Administrative Agent that it is not a Net Short Lender (it being understood and agreed that the Administrative Agent shall be entitled to rely on each such representation and deemed representation and shall have no duty to (x) inquire as to or investigate the accuracy of any such representation or deemed representation or (y) otherwise ascertain or monitor whether any Lender, Eligible Assignee or Participant or prospective Lender, Eligible Assignee or Participant is a Net Short Lender or make any calculations, investigations or determinations with respect to any derivative contracts and/or net short positions). Without limiting the foregoing, the Administrative Agent shall not (A) be responsible or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-199-</w:t>
      </w:r>
    </w:p>
    <w:p>
      <w:pPr>
        <w:sectPr>
          <w:pgSz w:w="11900" w:h="16838" w:orient="portrait"/>
          <w:cols w:equalWidth="0" w:num="1">
            <w:col w:w="11240"/>
          </w:cols>
          <w:pgMar w:left="320" w:top="1084" w:right="339" w:bottom="1440" w:gutter="0" w:footer="0" w:header="0"/>
        </w:sectPr>
      </w:pPr>
    </w:p>
    <w:bookmarkStart w:id="295" w:name="page296"/>
    <w:bookmarkEnd w:id="295"/>
    <w:p>
      <w:pPr>
        <w:jc w:val="both"/>
        <w:spacing w:after="0" w:line="244" w:lineRule="auto"/>
        <w:rPr>
          <w:sz w:val="20"/>
          <w:szCs w:val="20"/>
          <w:color w:val="auto"/>
        </w:rPr>
      </w:pPr>
      <w:r>
        <w:rPr>
          <w:rFonts w:ascii="Times New Roman" w:cs="Times New Roman" w:eastAsia="Times New Roman" w:hAnsi="Times New Roman"/>
          <w:sz w:val="22"/>
          <w:szCs w:val="22"/>
          <w:color w:val="auto"/>
        </w:rPr>
        <w:t>any liability for, or have any duty to ascertain, inquire into, monitor or enforce, compliance with the provisions hereof relating to the Net Short Lenders or (B) have any liability with respect to or arising out of any assignment or participation of Loans to any Net Short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Notices and Other Communications; Facsimile Copies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firstLine="4"/>
        <w:spacing w:after="0" w:line="235" w:lineRule="auto"/>
        <w:tabs>
          <w:tab w:leader="none" w:pos="1864"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8" w:lineRule="exact"/>
        <w:rPr>
          <w:rFonts w:ascii="Times New Roman" w:cs="Times New Roman" w:eastAsia="Times New Roman" w:hAnsi="Times New Roman"/>
          <w:sz w:val="22"/>
          <w:szCs w:val="22"/>
          <w:color w:val="auto"/>
        </w:rPr>
      </w:pPr>
    </w:p>
    <w:p>
      <w:pPr>
        <w:jc w:val="both"/>
        <w:ind w:left="1960" w:hanging="8"/>
        <w:spacing w:after="0" w:line="239" w:lineRule="auto"/>
        <w:tabs>
          <w:tab w:leader="none" w:pos="2557"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the Borrower, the Administrative Agent, an L/C Issuer,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to such other address, facsimile number, electronic mail address or telephone number as shall be designated by such party in a notice to the other parties; and</w:t>
      </w:r>
    </w:p>
    <w:p>
      <w:pPr>
        <w:spacing w:after="0" w:line="180" w:lineRule="exact"/>
        <w:rPr>
          <w:rFonts w:ascii="Times New Roman" w:cs="Times New Roman" w:eastAsia="Times New Roman" w:hAnsi="Times New Roman"/>
          <w:sz w:val="22"/>
          <w:szCs w:val="22"/>
          <w:color w:val="auto"/>
        </w:rPr>
      </w:pPr>
    </w:p>
    <w:p>
      <w:pPr>
        <w:jc w:val="both"/>
        <w:ind w:left="1960" w:hanging="8"/>
        <w:spacing w:after="0" w:line="239" w:lineRule="auto"/>
        <w:tabs>
          <w:tab w:leader="none" w:pos="2457"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 the Administrative Agent and the L/C Issuers.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Times New Roman" w:cs="Times New Roman" w:eastAsia="Times New Roman" w:hAnsi="Times New Roman"/>
          <w:sz w:val="21"/>
          <w:szCs w:val="21"/>
          <w:u w:val="single" w:color="auto"/>
          <w:color w:val="auto"/>
        </w:rPr>
        <w:t>Section 10.02(b)</w:t>
      </w:r>
      <w:r>
        <w:rPr>
          <w:rFonts w:ascii="Times New Roman" w:cs="Times New Roman" w:eastAsia="Times New Roman" w:hAnsi="Times New Roman"/>
          <w:sz w:val="21"/>
          <w:szCs w:val="21"/>
          <w:color w:val="auto"/>
        </w:rPr>
        <w:t xml:space="preserve">), when delivered;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notices and other communications to the Administrative Agent, the L/C Issuer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shall not be effective until actually received by such Person during the person’s normal business hours. In no event shall a voice mail message be effective as a notice, communication or confirmation hereunder.</w:t>
      </w:r>
    </w:p>
    <w:p>
      <w:pPr>
        <w:spacing w:after="0" w:line="170" w:lineRule="exact"/>
        <w:rPr>
          <w:sz w:val="20"/>
          <w:szCs w:val="20"/>
          <w:color w:val="auto"/>
        </w:rPr>
      </w:pPr>
    </w:p>
    <w:p>
      <w:pPr>
        <w:jc w:val="both"/>
        <w:ind w:left="1300" w:firstLine="4"/>
        <w:spacing w:after="0" w:line="245" w:lineRule="auto"/>
        <w:tabs>
          <w:tab w:leader="none" w:pos="1768"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Communications</w:t>
      </w:r>
      <w:r>
        <w:rPr>
          <w:rFonts w:ascii="Times New Roman" w:cs="Times New Roman" w:eastAsia="Times New Roman" w:hAnsi="Times New Roman"/>
          <w:sz w:val="21"/>
          <w:szCs w:val="21"/>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notices to any Lender or any L/C Issuer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if such Lender or such L/C Issuer,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approval of such procedures may be limited to particular notices or communications.</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-200-</w:t>
      </w:r>
    </w:p>
    <w:p>
      <w:pPr>
        <w:sectPr>
          <w:pgSz w:w="11900" w:h="16838" w:orient="portrait"/>
          <w:cols w:equalWidth="0" w:num="1">
            <w:col w:w="11240"/>
          </w:cols>
          <w:pgMar w:left="320" w:top="1084" w:right="339" w:bottom="1440" w:gutter="0" w:footer="0" w:header="0"/>
        </w:sectPr>
      </w:pPr>
    </w:p>
    <w:bookmarkStart w:id="296" w:name="page297"/>
    <w:bookmarkEnd w:id="296"/>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other written acknowledgement),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81" w:lineRule="exact"/>
        <w:rPr>
          <w:sz w:val="20"/>
          <w:szCs w:val="20"/>
          <w:color w:val="auto"/>
        </w:rPr>
      </w:pPr>
    </w:p>
    <w:p>
      <w:pPr>
        <w:jc w:val="both"/>
        <w:ind w:left="1300" w:firstLine="4"/>
        <w:spacing w:after="0" w:line="231" w:lineRule="auto"/>
        <w:tabs>
          <w:tab w:leader="none" w:pos="1972"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Platform</w:t>
      </w:r>
      <w:r>
        <w:rPr>
          <w:rFonts w:ascii="Times New Roman" w:cs="Times New Roman" w:eastAsia="Times New Roman" w:hAnsi="Times New Roman"/>
          <w:sz w:val="22"/>
          <w:szCs w:val="2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have any liability to the Loan Parties,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any Agent Party have any liability to any Loan Party, any Lender, any L/C Issuer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Person for indirect, special, incidental, consequential or punitive damages (as opposed to direct or actual damages).</w:t>
      </w:r>
    </w:p>
    <w:p>
      <w:pPr>
        <w:spacing w:after="0" w:line="180" w:lineRule="exact"/>
        <w:rPr>
          <w:rFonts w:ascii="Times New Roman" w:cs="Times New Roman" w:eastAsia="Times New Roman" w:hAnsi="Times New Roman"/>
          <w:sz w:val="22"/>
          <w:szCs w:val="22"/>
          <w:color w:val="auto"/>
        </w:rPr>
      </w:pPr>
    </w:p>
    <w:p>
      <w:pPr>
        <w:jc w:val="both"/>
        <w:ind w:left="1300" w:firstLine="4"/>
        <w:spacing w:after="0" w:line="232" w:lineRule="auto"/>
        <w:tabs>
          <w:tab w:leader="none" w:pos="1849"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Holdings, the Borrower, the Administrative Agent, any L/C Issuer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the Administrative Agent and the L/C Issuers.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their securities for purposes of United States Federal or state securities laws.</w:t>
      </w:r>
    </w:p>
    <w:p>
      <w:pPr>
        <w:spacing w:after="0" w:line="180" w:lineRule="exact"/>
        <w:rPr>
          <w:rFonts w:ascii="Times New Roman" w:cs="Times New Roman" w:eastAsia="Times New Roman" w:hAnsi="Times New Roman"/>
          <w:sz w:val="22"/>
          <w:szCs w:val="22"/>
          <w:color w:val="auto"/>
        </w:rPr>
      </w:pPr>
    </w:p>
    <w:p>
      <w:pPr>
        <w:jc w:val="both"/>
        <w:ind w:left="1300" w:firstLine="4"/>
        <w:spacing w:after="0" w:line="238" w:lineRule="auto"/>
        <w:tabs>
          <w:tab w:leader="none" w:pos="1783"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Agents and Lenders</w:t>
      </w:r>
      <w:r>
        <w:rPr>
          <w:rFonts w:ascii="Times New Roman" w:cs="Times New Roman" w:eastAsia="Times New Roman" w:hAnsi="Times New Roman"/>
          <w:sz w:val="22"/>
          <w:szCs w:val="22"/>
          <w:color w:val="auto"/>
        </w:rPr>
        <w:t>. The Administrative Agent and the Lenders shall be entitled to rely and act upon any notices (including telephonic Committed Loan Notices) purportedly given by or on behalf of the Borrower even if (i) such notices were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w:t>
      </w:r>
    </w:p>
    <w:p>
      <w:pPr>
        <w:sectPr>
          <w:pgSz w:w="11900" w:h="16838" w:orient="portrait"/>
          <w:cols w:equalWidth="0" w:num="1">
            <w:col w:w="11240"/>
          </w:cols>
          <w:pgMar w:left="320" w:top="1080" w:right="339" w:bottom="1440" w:gutter="0" w:footer="0" w:header="0"/>
        </w:sectPr>
      </w:pPr>
    </w:p>
    <w:bookmarkStart w:id="297" w:name="page298"/>
    <w:bookmarkEnd w:id="297"/>
    <w:p>
      <w:pPr>
        <w:jc w:val="both"/>
        <w:ind w:left="640"/>
        <w:spacing w:after="0" w:line="238" w:lineRule="auto"/>
        <w:rPr>
          <w:sz w:val="20"/>
          <w:szCs w:val="20"/>
          <w:color w:val="auto"/>
        </w:rPr>
      </w:pPr>
      <w:r>
        <w:rPr>
          <w:rFonts w:ascii="Times New Roman" w:cs="Times New Roman" w:eastAsia="Times New Roman" w:hAnsi="Times New Roman"/>
          <w:sz w:val="22"/>
          <w:szCs w:val="22"/>
          <w:color w:val="auto"/>
        </w:rPr>
        <w:t>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w:t>
      </w:r>
    </w:p>
    <w:p>
      <w:pPr>
        <w:spacing w:after="0" w:line="177" w:lineRule="exact"/>
        <w:rPr>
          <w:sz w:val="20"/>
          <w:szCs w:val="20"/>
          <w:color w:val="auto"/>
        </w:rPr>
      </w:pPr>
    </w:p>
    <w:p>
      <w:pPr>
        <w:jc w:val="both"/>
        <w:ind w:left="640" w:firstLine="4"/>
        <w:spacing w:after="0" w:line="236" w:lineRule="auto"/>
        <w:tabs>
          <w:tab w:leader="none" w:pos="1072"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other Loan Parties</w:t>
      </w:r>
      <w:r>
        <w:rPr>
          <w:rFonts w:ascii="Times New Roman" w:cs="Times New Roman" w:eastAsia="Times New Roman" w:hAnsi="Times New Roman"/>
          <w:sz w:val="22"/>
          <w:szCs w:val="22"/>
          <w:color w:val="auto"/>
        </w:rPr>
        <w:t xml:space="preserve">. The Borrower agrees that notices to be given to any other Loan Party under this Agreement or any other Loan Document may be given to the Borrower in accordance with the provisions of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with the same effect as if given to such other Loan Party in accordance with the terms hereunder or thereunder.</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No Waiver; Cumulative Remedies</w:t>
      </w:r>
      <w:r>
        <w:rPr>
          <w:rFonts w:ascii="Times New Roman" w:cs="Times New Roman" w:eastAsia="Times New Roman" w:hAnsi="Times New Roman"/>
          <w:sz w:val="22"/>
          <w:szCs w:val="22"/>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Section </w:t>
      </w:r>
      <w:r>
        <w:rPr>
          <w:rFonts w:ascii="Times New Roman" w:cs="Times New Roman" w:eastAsia="Times New Roman" w:hAnsi="Times New Roman"/>
          <w:sz w:val="22"/>
          <w:szCs w:val="22"/>
          <w:u w:val="single" w:color="auto"/>
          <w:color w:val="auto"/>
        </w:rPr>
        <w:t>10.04 Attorney Costs and Expenses</w:t>
      </w:r>
      <w:r>
        <w:rPr>
          <w:rFonts w:ascii="Times New Roman" w:cs="Times New Roman" w:eastAsia="Times New Roman" w:hAnsi="Times New Roman"/>
          <w:sz w:val="22"/>
          <w:szCs w:val="22"/>
          <w:color w:val="auto"/>
        </w:rPr>
        <w:t xml:space="preserve">. The Borrower agrees (a) if the Closing Date occurs, to pay or reimburse the Administrative Agent and the Lead Arranger for all reasonable and documented or invoiced out-of-pocket costs and expenses associated with the syndication of the Initial Term Loans and Revolving Credit Loans and the preparation, execution and delivery, administration, amendment, modification, waiver and/or enforcement of this Agreement and the other Loan Documents, and any amendment, waiver, consent or other modification of the provisions hereof and thereof (whether or not the transactions contemplated thereby are consummated), including all Attorney Costs of Davis Polk &amp; Wardwell LLP (and any other counsel retained with the Borrower’s consent (such consent not to be unreasonably withheld or delayed)) and one local and foreign counsel in each relevant jurisdiction, and (b) to pay or reimburse the Administrative Agent, the Lead Arranger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 the case of legal fees, limited to all Attorney Costs of one counsel for all such Persons (and, in the case of an actual or perceived conflict of interest, where such Person affected by such conflict informs the Borrowers of such conflict and thereafter retains its own counsel, of another firm of counsel for such affected Person)). The foregoing costs and expenses shall include all reasonable search, filing, recording and title insurance charges and fees related thereto, and other reasonable and documented out-of-pocket expenses incurred by any Agent. The agreements in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be paid within ten (10) Business Days of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17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Whether or not the transactions contemplated hereby are consummated, the Borrower shall indemnify and hold harmless each</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-202-</w:t>
      </w:r>
    </w:p>
    <w:p>
      <w:pPr>
        <w:sectPr>
          <w:pgSz w:w="11900" w:h="16838" w:orient="portrait"/>
          <w:cols w:equalWidth="0" w:num="1">
            <w:col w:w="10580"/>
          </w:cols>
          <w:pgMar w:left="980" w:top="1084" w:right="339" w:bottom="1440" w:gutter="0" w:footer="0" w:header="0"/>
        </w:sectPr>
      </w:pPr>
    </w:p>
    <w:bookmarkStart w:id="298" w:name="page299"/>
    <w:bookmarkEnd w:id="298"/>
    <w:p>
      <w:pPr>
        <w:jc w:val="both"/>
        <w:spacing w:after="0" w:line="230" w:lineRule="auto"/>
        <w:rPr>
          <w:sz w:val="20"/>
          <w:szCs w:val="20"/>
          <w:color w:val="auto"/>
        </w:rPr>
      </w:pPr>
      <w:r>
        <w:rPr>
          <w:rFonts w:ascii="Times New Roman" w:cs="Times New Roman" w:eastAsia="Times New Roman" w:hAnsi="Times New Roman"/>
          <w:sz w:val="22"/>
          <w:szCs w:val="22"/>
          <w:color w:val="auto"/>
        </w:rPr>
        <w:t>Agent-Related Person, each Lender, the Lead Arranger, and their respective Affiliates, directors, officers, employees, counsel, agents, advisors, and other representatives (collectively, the “</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from and against any and all losses, liabilities, damages, claims, and reasonable and documented or invoiced out-of-pocket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the Borrower, its equity holders, its Affiliates, creditors or any other third person) that relates to the Transactions,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to the extent arising from the former ownership or operation of the Borrower, any Subsidiary or any other Loan Party, formerly owned or operated by the Borrower, any Subsidiary or any other Loan Party, or any Environmental Liability related in any way to the Borrower, any Subsidiary or any other Loan Party,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in all cases, whether or not caused by or arising, in whole or in part, out of the negligence of the Indemnitee;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liabilities, obligations, losses, damages, penalties, claims, demands, actions, judgments, suits, costs, expenses or disbursements resulted from (w) the gross negligence, bad faith or willful misconduct of such Indemnitee or of any of its controlled Affiliates or controlling Persons or any of the officers, directors, employees, agents, advisors or members of any of the foregoing, in each case who are involved in or aware of the Transactions (as determined by a court of competent jurisdiction in a final and non-appealable decision), (x) a material breach of the Loan Documents by such Indemnitee or one of its Affiliates (as determined by a court of competent jurisdiction in a final and non-appealable decision), or (y) disputes solely between and among such Indemnitees to the extent such disputes do not arise from any act or omission of the Borrower or any of its Affiliates (other than with respect to a claim against an Indemnitee acting in its capacity as an Agent or Lead Arranger or similar role under the Loan Documents, unless such claim arose from the gross negligence, bad faith or willful misconduct of such Indemnitee). No Indemnitee shall be liable for any damages arising from the use by others of any information or other materials obtained through IntraLinks or other similar information transmission systems in connection with this Agreement. No Indemnitee nor any Loan Party shall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nothing contained in this sentence shall limit the Borrower’s indemnification obligations under the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to the extent such special,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-203-</w:t>
      </w:r>
    </w:p>
    <w:p>
      <w:pPr>
        <w:sectPr>
          <w:pgSz w:w="11900" w:h="16838" w:orient="portrait"/>
          <w:cols w:equalWidth="0" w:num="1">
            <w:col w:w="10580"/>
          </w:cols>
          <w:pgMar w:left="980" w:top="1084" w:right="339" w:bottom="1440" w:gutter="0" w:footer="0" w:header="0"/>
        </w:sectPr>
      </w:pPr>
    </w:p>
    <w:bookmarkStart w:id="299" w:name="page300"/>
    <w:bookmarkEnd w:id="299"/>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punitive, indirect or consequential damages are included in any third-party claim in connection with which any Indemnitee is entitled to indemnification hereunder. In the case of an investigation, litigation or other proceeding to which the indemnity in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10.05</w:t>
      </w:r>
      <w:r>
        <w:rPr>
          <w:rFonts w:ascii="Times New Roman" w:cs="Times New Roman" w:eastAsia="Times New Roman" w:hAnsi="Times New Roman"/>
          <w:sz w:val="21"/>
          <w:szCs w:val="21"/>
          <w:color w:val="auto"/>
        </w:rPr>
        <w:t xml:space="preserve"> shall be paid within ten (10) Business Days after demand therefor;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such Indemnitee shall promptly refund such amount to the extent that there is a final judicial or arbitral determination that such Indemnitee was not entitled to indemnification or contribution rights with respect to such payment pursuant to the express terms of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The agreements in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shall survive the resignation of the Administrative Agent, the replacement of any Lender, the termination of the Aggregate Commitments and the repayment, satisfaction or discharge of all the other Obligations. For the avoidance of doubt, this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shall not apply to Taxes other than Taxes that represent liabilities, obligations, losses, damages, etc., with respect to a non-Tax claim.</w:t>
      </w:r>
    </w:p>
    <w:p>
      <w:pPr>
        <w:spacing w:after="0" w:line="18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Payments Set Aside</w:t>
      </w:r>
      <w:r>
        <w:rPr>
          <w:rFonts w:ascii="Times New Roman" w:cs="Times New Roman" w:eastAsia="Times New Roman" w:hAnsi="Times New Roman"/>
          <w:sz w:val="22"/>
          <w:szCs w:val="22"/>
          <w:color w:val="auto"/>
        </w:rPr>
        <w:t>. To the extent that any payment by or on behalf of a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Rate.</w:t>
      </w:r>
    </w:p>
    <w:p>
      <w:pPr>
        <w:spacing w:after="0" w:line="187"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10.07</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left="640" w:firstLine="4"/>
        <w:spacing w:after="0"/>
        <w:tabs>
          <w:tab w:leader="none" w:pos="1199"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that, except as otherwise provided herein (including without limitation as permitted under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0"/>
          <w:szCs w:val="20"/>
          <w:color w:val="auto"/>
        </w:rPr>
        <w:t xml:space="preserve">), neither Holdings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w:t>
      </w:r>
      <w:r>
        <w:rPr>
          <w:rFonts w:ascii="Times New Roman" w:cs="Times New Roman" w:eastAsia="Times New Roman" w:hAnsi="Times New Roman"/>
          <w:sz w:val="21"/>
          <w:szCs w:val="21"/>
          <w:u w:val="single" w:color="auto"/>
          <w:color w:val="auto"/>
        </w:rPr>
        <w:t>Section 10.07(e)</w:t>
      </w:r>
      <w:r>
        <w:rPr>
          <w:rFonts w:ascii="Times New Roman" w:cs="Times New Roman" w:eastAsia="Times New Roman" w:hAnsi="Times New Roman"/>
          <w:sz w:val="20"/>
          <w:szCs w:val="20"/>
          <w:color w:val="auto"/>
        </w:rPr>
        <w:t xml:space="preserve">, (iii) by way of pledge or assignment of a security interest subject to the restrictions of </w:t>
      </w:r>
      <w:r>
        <w:rPr>
          <w:rFonts w:ascii="Times New Roman" w:cs="Times New Roman" w:eastAsia="Times New Roman" w:hAnsi="Times New Roman"/>
          <w:sz w:val="21"/>
          <w:szCs w:val="21"/>
          <w:u w:val="single" w:color="auto"/>
          <w:color w:val="auto"/>
        </w:rPr>
        <w:t>Section 10.07(g)</w:t>
      </w:r>
      <w:r>
        <w:rPr>
          <w:rFonts w:ascii="Times New Roman" w:cs="Times New Roman" w:eastAsia="Times New Roman" w:hAnsi="Times New Roman"/>
          <w:sz w:val="20"/>
          <w:szCs w:val="20"/>
          <w:color w:val="auto"/>
        </w:rPr>
        <w:t xml:space="preserve"> or (iv) to an SPC in accordance with the provisions of </w:t>
      </w:r>
      <w:r>
        <w:rPr>
          <w:rFonts w:ascii="Times New Roman" w:cs="Times New Roman" w:eastAsia="Times New Roman" w:hAnsi="Times New Roman"/>
          <w:sz w:val="21"/>
          <w:szCs w:val="21"/>
          <w:u w:val="single" w:color="auto"/>
          <w:color w:val="auto"/>
        </w:rPr>
        <w:t>Section 10.07(h)</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1"/>
          <w:szCs w:val="21"/>
          <w:u w:val="single" w:color="auto"/>
          <w:color w:val="auto"/>
        </w:rPr>
        <w:t>Section 10.07(e)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Lead Arrangers to the extent provided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Sections 9.04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10.21</w:t>
      </w:r>
      <w:r>
        <w:rPr>
          <w:rFonts w:ascii="Times New Roman" w:cs="Times New Roman" w:eastAsia="Times New Roman" w:hAnsi="Times New Roman"/>
          <w:sz w:val="21"/>
          <w:szCs w:val="21"/>
          <w:color w:val="auto"/>
        </w:rPr>
        <w:t>, and, to the extent expressly contemplated hereby, the Indemnitees) any legal or equitable right, remedy or claim under or by reason of this Agreement.</w:t>
      </w:r>
    </w:p>
    <w:p>
      <w:pPr>
        <w:spacing w:after="0" w:line="177" w:lineRule="exact"/>
        <w:rPr>
          <w:rFonts w:ascii="Times New Roman" w:cs="Times New Roman" w:eastAsia="Times New Roman" w:hAnsi="Times New Roman"/>
          <w:sz w:val="20"/>
          <w:szCs w:val="20"/>
          <w:color w:val="auto"/>
        </w:rPr>
      </w:pPr>
    </w:p>
    <w:p>
      <w:pPr>
        <w:jc w:val="both"/>
        <w:ind w:left="640" w:firstLine="4"/>
        <w:spacing w:after="0" w:line="244" w:lineRule="auto"/>
        <w:tabs>
          <w:tab w:leader="none" w:pos="1216"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Subject to the conditions set forth in </w:t>
      </w:r>
      <w:r>
        <w:rPr>
          <w:rFonts w:ascii="Times New Roman" w:cs="Times New Roman" w:eastAsia="Times New Roman" w:hAnsi="Times New Roman"/>
          <w:sz w:val="22"/>
          <w:szCs w:val="22"/>
          <w:u w:val="single" w:color="auto"/>
          <w:color w:val="auto"/>
        </w:rPr>
        <w:t>paragraph (b)(ii)</w:t>
      </w:r>
      <w:r>
        <w:rPr>
          <w:rFonts w:ascii="Times New Roman" w:cs="Times New Roman" w:eastAsia="Times New Roman" w:hAnsi="Times New Roman"/>
          <w:sz w:val="22"/>
          <w:szCs w:val="22"/>
          <w:color w:val="auto"/>
        </w:rPr>
        <w:t xml:space="preserve"> below, any Lender may assign to one or more assignees (“</w:t>
      </w:r>
      <w:r>
        <w:rPr>
          <w:rFonts w:ascii="Times New Roman" w:cs="Times New Roman" w:eastAsia="Times New Roman" w:hAnsi="Times New Roman"/>
          <w:sz w:val="22"/>
          <w:szCs w:val="22"/>
          <w:u w:val="single" w:color="auto"/>
          <w:color w:val="auto"/>
        </w:rPr>
        <w:t>Assignees</w:t>
      </w:r>
      <w:r>
        <w:rPr>
          <w:rFonts w:ascii="Times New Roman" w:cs="Times New Roman" w:eastAsia="Times New Roman" w:hAnsi="Times New Roman"/>
          <w:sz w:val="22"/>
          <w:szCs w:val="22"/>
          <w:color w:val="auto"/>
        </w:rPr>
        <w:t>”) all or a portion of its rights and obligations under this Agreement (including all or a portion of its Commitment and the Loans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-204-</w:t>
      </w:r>
    </w:p>
    <w:p>
      <w:pPr>
        <w:sectPr>
          <w:pgSz w:w="11900" w:h="16838" w:orient="portrait"/>
          <w:cols w:equalWidth="0" w:num="1">
            <w:col w:w="10580"/>
          </w:cols>
          <w:pgMar w:left="980" w:top="1084" w:right="339" w:bottom="1440" w:gutter="0" w:footer="0" w:header="0"/>
        </w:sectPr>
      </w:pPr>
    </w:p>
    <w:bookmarkStart w:id="300" w:name="page301"/>
    <w:bookmarkEnd w:id="300"/>
    <w:p>
      <w:pPr>
        <w:ind w:left="1300"/>
        <w:spacing w:after="0" w:line="258" w:lineRule="auto"/>
        <w:rPr>
          <w:sz w:val="20"/>
          <w:szCs w:val="20"/>
          <w:color w:val="auto"/>
        </w:rPr>
      </w:pPr>
      <w:r>
        <w:rPr>
          <w:rFonts w:ascii="Times New Roman" w:cs="Times New Roman" w:eastAsia="Times New Roman" w:hAnsi="Times New Roman"/>
          <w:sz w:val="22"/>
          <w:szCs w:val="22"/>
          <w:color w:val="auto"/>
        </w:rPr>
        <w:t xml:space="preserve">(including for purposes of this </w:t>
      </w:r>
      <w:r>
        <w:rPr>
          <w:rFonts w:ascii="Times New Roman" w:cs="Times New Roman" w:eastAsia="Times New Roman" w:hAnsi="Times New Roman"/>
          <w:sz w:val="22"/>
          <w:szCs w:val="22"/>
          <w:u w:val="single" w:color="auto"/>
          <w:color w:val="auto"/>
        </w:rPr>
        <w:t>Section 10.07(b)</w:t>
      </w:r>
      <w:r>
        <w:rPr>
          <w:rFonts w:ascii="Times New Roman" w:cs="Times New Roman" w:eastAsia="Times New Roman" w:hAnsi="Times New Roman"/>
          <w:sz w:val="22"/>
          <w:szCs w:val="22"/>
          <w:color w:val="auto"/>
        </w:rPr>
        <w:t>, participations in L/C Obligations) at the time owing to it) with the prior written consent (such consent not to be unreasonably withheld or delayed) of:</w:t>
      </w:r>
    </w:p>
    <w:p>
      <w:pPr>
        <w:spacing w:after="0" w:line="154" w:lineRule="exact"/>
        <w:rPr>
          <w:sz w:val="20"/>
          <w:szCs w:val="20"/>
          <w:color w:val="auto"/>
        </w:rPr>
      </w:pPr>
    </w:p>
    <w:p>
      <w:pPr>
        <w:jc w:val="both"/>
        <w:ind w:firstLine="1304"/>
        <w:spacing w:after="0" w:line="234" w:lineRule="auto"/>
        <w:tabs>
          <w:tab w:leader="none" w:pos="165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(1) of any Term Loan to any other Lender, any Affiliate of a Lead Arranger or Lender or any Approved Fund, (2) of any Revolving Credit Loans or Revolving Credit Commitment to any other Revolving </w:t>
      </w:r>
      <w:r>
        <w:rPr>
          <w:rFonts w:ascii="Times New Roman" w:cs="Times New Roman" w:eastAsia="Times New Roman" w:hAnsi="Times New Roman"/>
          <w:sz w:val="22"/>
          <w:szCs w:val="22"/>
          <w:u w:val="single" w:color="auto"/>
          <w:color w:val="0000FF"/>
        </w:rPr>
        <w:t>Credit</w:t>
      </w:r>
      <w:r>
        <w:rPr>
          <w:rFonts w:ascii="Times New Roman" w:cs="Times New Roman" w:eastAsia="Times New Roman" w:hAnsi="Times New Roman"/>
          <w:sz w:val="22"/>
          <w:szCs w:val="22"/>
          <w:color w:val="auto"/>
        </w:rPr>
        <w:t xml:space="preserve"> Lender, any Affiliate of a Revolving </w:t>
      </w:r>
      <w:r>
        <w:rPr>
          <w:rFonts w:ascii="Times New Roman" w:cs="Times New Roman" w:eastAsia="Times New Roman" w:hAnsi="Times New Roman"/>
          <w:sz w:val="22"/>
          <w:szCs w:val="22"/>
          <w:u w:val="single" w:color="auto"/>
          <w:color w:val="0000FF"/>
        </w:rPr>
        <w:t>Credit</w:t>
      </w:r>
      <w:r>
        <w:rPr>
          <w:rFonts w:ascii="Times New Roman" w:cs="Times New Roman" w:eastAsia="Times New Roman" w:hAnsi="Times New Roman"/>
          <w:sz w:val="22"/>
          <w:szCs w:val="22"/>
          <w:color w:val="auto"/>
        </w:rPr>
        <w:t xml:space="preserve"> Lender or any Approved Fund of a Revolving </w:t>
      </w:r>
      <w:r>
        <w:rPr>
          <w:rFonts w:ascii="Times New Roman" w:cs="Times New Roman" w:eastAsia="Times New Roman" w:hAnsi="Times New Roman"/>
          <w:sz w:val="22"/>
          <w:szCs w:val="22"/>
          <w:u w:val="single" w:color="auto"/>
          <w:color w:val="0000FF"/>
        </w:rPr>
        <w:t>Credit</w:t>
      </w:r>
      <w:r>
        <w:rPr>
          <w:rFonts w:ascii="Times New Roman" w:cs="Times New Roman" w:eastAsia="Times New Roman" w:hAnsi="Times New Roman"/>
          <w:sz w:val="22"/>
          <w:szCs w:val="22"/>
          <w:color w:val="auto"/>
        </w:rPr>
        <w:t xml:space="preserve"> Lender or, (3) of any Term Loan, Revolving Credit Loans or Revolving Credit Commitment, if an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has occurred and is continuing, to any Assignee;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further, that such consent shall be deemed to have been given if the Borrower has not responded within 10 Business Days after notice by the Administrative Agent;</w:t>
      </w:r>
    </w:p>
    <w:p>
      <w:pPr>
        <w:spacing w:after="0" w:line="176" w:lineRule="exact"/>
        <w:rPr>
          <w:rFonts w:ascii="Times New Roman" w:cs="Times New Roman" w:eastAsia="Times New Roman" w:hAnsi="Times New Roman"/>
          <w:sz w:val="22"/>
          <w:szCs w:val="22"/>
          <w:color w:val="auto"/>
        </w:rPr>
      </w:pPr>
    </w:p>
    <w:p>
      <w:pPr>
        <w:ind w:firstLine="1304"/>
        <w:spacing w:after="0" w:line="262" w:lineRule="auto"/>
        <w:tabs>
          <w:tab w:leader="none" w:pos="1665"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another Lender, an Affiliate of a Lead Arranger or Lender or an Approved Fund;</w:t>
      </w:r>
    </w:p>
    <w:p>
      <w:pPr>
        <w:spacing w:after="0" w:line="149" w:lineRule="exact"/>
        <w:rPr>
          <w:rFonts w:ascii="Times New Roman" w:cs="Times New Roman" w:eastAsia="Times New Roman" w:hAnsi="Times New Roman"/>
          <w:sz w:val="22"/>
          <w:szCs w:val="22"/>
          <w:color w:val="auto"/>
        </w:rPr>
      </w:pPr>
    </w:p>
    <w:p>
      <w:pPr>
        <w:ind w:firstLine="1304"/>
        <w:spacing w:after="0" w:line="262" w:lineRule="auto"/>
        <w:tabs>
          <w:tab w:leader="none" w:pos="1638"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L/C Issuer at the time of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such L/C Issuers shall be required for any assignment of a Term Loan; and</w:t>
      </w:r>
    </w:p>
    <w:p>
      <w:pPr>
        <w:spacing w:after="0" w:line="153"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of any of the Revolving Credit Facility, the consent of each L/C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(ii)(ii) </w:t>
      </w:r>
      <w:r>
        <w:rPr>
          <w:rFonts w:ascii="Times New Roman" w:cs="Times New Roman" w:eastAsia="Times New Roman" w:hAnsi="Times New Roman"/>
          <w:sz w:val="21"/>
          <w:szCs w:val="21"/>
          <w:color w:val="auto"/>
        </w:rPr>
        <w:t>Assignments shall be subject to the following additional conditions:</w:t>
      </w:r>
    </w:p>
    <w:p>
      <w:pPr>
        <w:spacing w:after="0" w:line="218" w:lineRule="exact"/>
        <w:rPr>
          <w:sz w:val="20"/>
          <w:szCs w:val="20"/>
          <w:color w:val="auto"/>
        </w:rPr>
      </w:pPr>
    </w:p>
    <w:p>
      <w:pPr>
        <w:jc w:val="both"/>
        <w:ind w:firstLine="1304"/>
        <w:spacing w:after="0" w:line="233" w:lineRule="auto"/>
        <w:tabs>
          <w:tab w:leader="none" w:pos="1677"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 million (in the case of the Revolving Credit Facility) or $1.0 million (in the case of a Term Loan) unless the Borrower and the Administrative Agent otherwise consents,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no such consent of the Borrower shall be required if an Event of Default under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has occurred and is continuing and (2) such amounts shall be aggregated in respect of each Lender and its Affiliates or Approved Funds, if any;</w:t>
      </w:r>
    </w:p>
    <w:p>
      <w:pPr>
        <w:spacing w:after="0" w:line="181"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Assumption;</w:t>
      </w:r>
    </w:p>
    <w:p>
      <w:pPr>
        <w:spacing w:after="0" w:line="182" w:lineRule="exact"/>
        <w:rPr>
          <w:rFonts w:ascii="Times New Roman" w:cs="Times New Roman" w:eastAsia="Times New Roman" w:hAnsi="Times New Roman"/>
          <w:sz w:val="22"/>
          <w:szCs w:val="22"/>
          <w:color w:val="auto"/>
        </w:rPr>
      </w:pPr>
    </w:p>
    <w:p>
      <w:pPr>
        <w:ind w:firstLine="1304"/>
        <w:spacing w:after="0" w:line="258" w:lineRule="auto"/>
        <w:tabs>
          <w:tab w:leader="none" w:pos="1692"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Assignee, if it shall not be a Lender, shall deliver to the Administrative Agent an Administrative Questionnaire and any documentation required by </w:t>
      </w:r>
      <w:r>
        <w:rPr>
          <w:rFonts w:ascii="Times New Roman" w:cs="Times New Roman" w:eastAsia="Times New Roman" w:hAnsi="Times New Roman"/>
          <w:sz w:val="22"/>
          <w:szCs w:val="22"/>
          <w:u w:val="single" w:color="auto"/>
          <w:color w:val="auto"/>
        </w:rPr>
        <w:t>Section 3.01(f)</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5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Assignee shall not be a natural person (or a holding company, investment vehicle or trust for, or owned and operated for the primary benefit of a natural person), a Disqualified Lender or, except to the extent permitted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10.07(k)</w:t>
      </w:r>
      <w:r>
        <w:rPr>
          <w:rFonts w:ascii="Times New Roman" w:cs="Times New Roman" w:eastAsia="Times New Roman" w:hAnsi="Times New Roman"/>
          <w:sz w:val="22"/>
          <w:szCs w:val="22"/>
          <w:color w:val="auto"/>
        </w:rPr>
        <w:t>, Holdings or any of its Subsidiaries;</w:t>
      </w:r>
    </w:p>
    <w:p>
      <w:pPr>
        <w:spacing w:after="0" w:line="173"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not be a Defaulting Lender.</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shall not prohibit any Lender from assigning all or a portion of its rights and obligations among separate Facilities on a non-pro rata basis.</w:t>
      </w:r>
    </w:p>
    <w:p>
      <w:pPr>
        <w:spacing w:after="0" w:line="158" w:lineRule="exact"/>
        <w:rPr>
          <w:sz w:val="20"/>
          <w:szCs w:val="20"/>
          <w:color w:val="auto"/>
        </w:rPr>
      </w:pPr>
    </w:p>
    <w:p>
      <w:pPr>
        <w:ind w:left="1300" w:firstLine="4"/>
        <w:spacing w:after="0" w:line="275" w:lineRule="auto"/>
        <w:tabs>
          <w:tab w:leader="none" w:pos="1744"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Section 10.07(d)</w:t>
      </w:r>
      <w:r>
        <w:rPr>
          <w:rFonts w:ascii="Times New Roman" w:cs="Times New Roman" w:eastAsia="Times New Roman" w:hAnsi="Times New Roman"/>
          <w:sz w:val="20"/>
          <w:szCs w:val="20"/>
          <w:color w:val="auto"/>
        </w:rPr>
        <w:t xml:space="preserve"> and receipt by the Administrative Agent from the parties to each assignment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-205-</w:t>
      </w:r>
    </w:p>
    <w:p>
      <w:pPr>
        <w:sectPr>
          <w:pgSz w:w="11900" w:h="16838" w:orient="portrait"/>
          <w:cols w:equalWidth="0" w:num="1">
            <w:col w:w="11240"/>
          </w:cols>
          <w:pgMar w:left="320" w:top="1084" w:right="339" w:bottom="1440" w:gutter="0" w:footer="0" w:header="0"/>
        </w:sectPr>
      </w:pPr>
    </w:p>
    <w:bookmarkStart w:id="301" w:name="page302"/>
    <w:bookmarkEnd w:id="301"/>
    <w:p>
      <w:pPr>
        <w:jc w:val="both"/>
        <w:ind w:left="180"/>
        <w:spacing w:after="0" w:line="244" w:lineRule="auto"/>
        <w:rPr>
          <w:sz w:val="20"/>
          <w:szCs w:val="20"/>
          <w:color w:val="auto"/>
        </w:rPr>
      </w:pPr>
      <w:r>
        <w:rPr>
          <w:rFonts w:ascii="Times New Roman" w:cs="Times New Roman" w:eastAsia="Times New Roman" w:hAnsi="Times New Roman"/>
          <w:sz w:val="20"/>
          <w:szCs w:val="20"/>
          <w:color w:val="auto"/>
        </w:rPr>
        <w:t>a processing and recordation fee of $3,500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(i) the Administrative Agent may, in its sole discretion, elect to waive such processing and recordation fee in the case of any assignment and (ii) such fee shall not be applicable in the case of an assignment to an Affiliate of the assigning Lender</w:t>
      </w:r>
      <w:r>
        <w:rPr>
          <w:rFonts w:ascii="Times New Roman" w:cs="Times New Roman" w:eastAsia="Times New Roman" w:hAnsi="Times New Roman"/>
          <w:sz w:val="21"/>
          <w:szCs w:val="21"/>
          <w:u w:val="single" w:color="auto"/>
          <w:color w:val="0000FF"/>
        </w:rPr>
        <w:t>, to an Approved Fund of the assigning Lender if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0000FF"/>
        </w:rPr>
        <w:t>assigning Lender is a Revolving Credit Lender,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or to an Affiliate of a Lead Arranger), from and after the effective date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 xml:space="preserve">specified in each Assignment and Assumption, the Eligible Assignee thereunder shall be a party to this Agreement and, to the extent of the interest assigned by such Assignment and Assumption, have the rights and obligations of a Lender under this Agreement (including, for the avoidance of doubt, any rights and obligations pursuant to </w:t>
      </w:r>
      <w:r>
        <w:rPr>
          <w:rFonts w:ascii="Times New Roman" w:cs="Times New Roman" w:eastAsia="Times New Roman" w:hAnsi="Times New Roman"/>
          <w:sz w:val="21"/>
          <w:szCs w:val="21"/>
          <w:u w:val="single" w:color="auto"/>
          <w:color w:val="000000"/>
        </w:rPr>
        <w:t>Section 3.01</w:t>
      </w:r>
      <w:r>
        <w:rPr>
          <w:rFonts w:ascii="Times New Roman" w:cs="Times New Roman" w:eastAsia="Times New Roman" w:hAnsi="Times New Roman"/>
          <w:sz w:val="19"/>
          <w:szCs w:val="19"/>
          <w:color w:val="000000"/>
        </w:rPr>
        <w:t>), and the assigning Lender thereunder shall, to the extent of the interest assigned by such Assignment and Assumption, be released from its obligations under this Agreement (</w:t>
      </w:r>
      <w:r>
        <w:rPr>
          <w:rFonts w:ascii="Times New Roman" w:cs="Times New Roman" w:eastAsia="Times New Roman" w:hAnsi="Times New Roman"/>
          <w:sz w:val="21"/>
          <w:szCs w:val="21"/>
          <w:color w:val="000000"/>
        </w:rPr>
        <w:t>and</w:t>
      </w:r>
      <w:r>
        <w:rPr>
          <w:rFonts w:ascii="Times New Roman" w:cs="Times New Roman" w:eastAsia="Times New Roman" w:hAnsi="Times New Roman"/>
          <w:sz w:val="19"/>
          <w:szCs w:val="19"/>
          <w:color w:val="000000"/>
        </w:rPr>
        <w:t xml:space="preserve">,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000000"/>
        </w:rPr>
        <w:t>Sections 3.01</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u w:val="single" w:color="auto"/>
          <w:color w:val="000000"/>
        </w:rPr>
        <w:t>3.03</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u w:val="single" w:color="auto"/>
          <w:color w:val="000000"/>
        </w:rPr>
        <w:t>3.04</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u w:val="single" w:color="auto"/>
          <w:color w:val="000000"/>
        </w:rPr>
        <w:t>10.04</w:t>
      </w:r>
      <w:r>
        <w:rPr>
          <w:rFonts w:ascii="Times New Roman" w:cs="Times New Roman" w:eastAsia="Times New Roman" w:hAnsi="Times New Roman"/>
          <w:sz w:val="19"/>
          <w:szCs w:val="19"/>
          <w:color w:val="000000"/>
        </w:rPr>
        <w:t xml:space="preserve"> and </w:t>
      </w:r>
      <w:r>
        <w:rPr>
          <w:rFonts w:ascii="Times New Roman" w:cs="Times New Roman" w:eastAsia="Times New Roman" w:hAnsi="Times New Roman"/>
          <w:sz w:val="21"/>
          <w:szCs w:val="21"/>
          <w:u w:val="single" w:color="auto"/>
          <w:color w:val="000000"/>
        </w:rPr>
        <w:t>10.05</w:t>
      </w:r>
      <w:r>
        <w:rPr>
          <w:rFonts w:ascii="Times New Roman" w:cs="Times New Roman" w:eastAsia="Times New Roman" w:hAnsi="Times New Roman"/>
          <w:sz w:val="19"/>
          <w:szCs w:val="19"/>
          <w:color w:val="000000"/>
        </w:rPr>
        <w:t xml:space="preserve"> with respect to facts and circumstances occurring prior to the effective date of such assignment). Upon request, and the surrender by the assigning Lender of its Note (if any), the Borrower (at their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000000"/>
        </w:rPr>
        <w:t>clause (c)</w:t>
      </w:r>
      <w:r>
        <w:rPr>
          <w:rFonts w:ascii="Times New Roman" w:cs="Times New Roman" w:eastAsia="Times New Roman" w:hAnsi="Times New Roman"/>
          <w:sz w:val="19"/>
          <w:szCs w:val="19"/>
          <w:color w:val="000000"/>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000000"/>
        </w:rPr>
        <w:t>Section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21"/>
          <w:szCs w:val="21"/>
          <w:u w:val="single" w:color="auto"/>
          <w:color w:val="000000"/>
        </w:rPr>
        <w:t>10.07(e)</w:t>
      </w:r>
      <w:r>
        <w:rPr>
          <w:rFonts w:ascii="Times New Roman" w:cs="Times New Roman" w:eastAsia="Times New Roman" w:hAnsi="Times New Roman"/>
          <w:sz w:val="19"/>
          <w:szCs w:val="19"/>
          <w:color w:val="000000"/>
        </w:rPr>
        <w:t>. For greater certainty, any assignment by a Lender pursuant to this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Section 10.07</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19"/>
          <w:szCs w:val="19"/>
          <w:color w:val="000000"/>
        </w:rPr>
        <w:t>shall not in any way constitute or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19"/>
          <w:szCs w:val="19"/>
          <w:color w:val="000000"/>
        </w:rPr>
        <w:t>be deemed to constitute a novation, discharge, recession, extinguishment or substitution of the existing Indebtedness and any Indebtedness so assigned shall continue to be the same obligation and not a new obligations.</w:t>
      </w:r>
    </w:p>
    <w:p>
      <w:pPr>
        <w:spacing w:after="0" w:line="200" w:lineRule="exact"/>
        <w:rPr>
          <w:sz w:val="20"/>
          <w:szCs w:val="20"/>
          <w:color w:val="auto"/>
        </w:rPr>
      </w:pPr>
    </w:p>
    <w:p>
      <w:pPr>
        <w:spacing w:after="0" w:line="210" w:lineRule="exact"/>
        <w:rPr>
          <w:sz w:val="20"/>
          <w:szCs w:val="20"/>
          <w:color w:val="auto"/>
        </w:rPr>
      </w:pPr>
    </w:p>
    <w:p>
      <w:pPr>
        <w:jc w:val="both"/>
        <w:ind w:left="180" w:firstLine="4"/>
        <w:spacing w:after="0" w:line="232" w:lineRule="auto"/>
        <w:tabs>
          <w:tab w:leader="none" w:pos="701"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and currencies of the Loans, L/C Obligations (specifying the Unreimbursed Amounts), L/C Borrowings,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demonstrable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any Lead Arranger and any Lender (but in the case of any Lender solely with respect to such Lender’s outstanding Loans or Commitments) at any reasonable time and from time to time upon reasonable prior notice. No assignment shall be effective unless recorded in the Register. The parties hereto agree and intend that the Secured Obligations shall be treated as being in registered form for the purposes of the Code (including Sections 163(f), 871(h)(2), 881(c)(2), and 4701 of the Code).</w:t>
      </w:r>
    </w:p>
    <w:p>
      <w:pPr>
        <w:spacing w:after="0" w:line="182" w:lineRule="exact"/>
        <w:rPr>
          <w:rFonts w:ascii="Times New Roman" w:cs="Times New Roman" w:eastAsia="Times New Roman" w:hAnsi="Times New Roman"/>
          <w:sz w:val="22"/>
          <w:szCs w:val="22"/>
          <w:color w:val="auto"/>
        </w:rPr>
      </w:pPr>
    </w:p>
    <w:p>
      <w:pPr>
        <w:jc w:val="both"/>
        <w:ind w:left="180" w:firstLine="4"/>
        <w:spacing w:after="0" w:line="233" w:lineRule="auto"/>
        <w:tabs>
          <w:tab w:leader="none" w:pos="641"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without the consent of, or notice to, the Borrower or the Administrative Agent, sell participations to any Person (other than a natural person or a Defaulting Lender)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-206-</w:t>
      </w:r>
    </w:p>
    <w:p>
      <w:pPr>
        <w:sectPr>
          <w:pgSz w:w="11900" w:h="16838" w:orient="portrait"/>
          <w:cols w:equalWidth="0" w:num="1">
            <w:col w:w="10120"/>
          </w:cols>
          <w:pgMar w:left="1440" w:top="1080" w:right="339" w:bottom="1440" w:gutter="0" w:footer="0" w:header="0"/>
        </w:sectPr>
      </w:pPr>
    </w:p>
    <w:bookmarkStart w:id="302" w:name="page303"/>
    <w:bookmarkEnd w:id="302"/>
    <w:p>
      <w:pPr>
        <w:jc w:val="both"/>
        <w:ind w:left="180"/>
        <w:spacing w:after="0" w:line="241" w:lineRule="auto"/>
        <w:rPr>
          <w:sz w:val="20"/>
          <w:szCs w:val="20"/>
          <w:color w:val="auto"/>
        </w:rPr>
      </w:pPr>
      <w:r>
        <w:rPr>
          <w:rFonts w:ascii="Times New Roman" w:cs="Times New Roman" w:eastAsia="Times New Roman" w:hAnsi="Times New Roman"/>
          <w:sz w:val="21"/>
          <w:szCs w:val="21"/>
          <w:color w:val="auto"/>
        </w:rPr>
        <w:t xml:space="preserve">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1"/>
          <w:szCs w:val="21"/>
          <w:u w:val="single" w:color="auto"/>
          <w:color w:val="auto"/>
        </w:rPr>
        <w:t>Section 10.01(a)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that directly affects such Participant. Subject to </w:t>
      </w:r>
      <w:r>
        <w:rPr>
          <w:rFonts w:ascii="Times New Roman" w:cs="Times New Roman" w:eastAsia="Times New Roman" w:hAnsi="Times New Roman"/>
          <w:sz w:val="21"/>
          <w:szCs w:val="21"/>
          <w:u w:val="single" w:color="auto"/>
          <w:color w:val="auto"/>
        </w:rPr>
        <w:t>Section 10.07(f)</w:t>
      </w:r>
      <w:r>
        <w:rPr>
          <w:rFonts w:ascii="Times New Roman" w:cs="Times New Roman" w:eastAsia="Times New Roman" w:hAnsi="Times New Roman"/>
          <w:sz w:val="21"/>
          <w:szCs w:val="21"/>
          <w:color w:val="auto"/>
        </w:rPr>
        <w:t xml:space="preserve">, the Borrower agrees that each Participant shall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(through the applicable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Participant shall be subject to the requirements and limitations of such Sections (including </w:t>
      </w:r>
      <w:r>
        <w:rPr>
          <w:rFonts w:ascii="Times New Roman" w:cs="Times New Roman" w:eastAsia="Times New Roman" w:hAnsi="Times New Roman"/>
          <w:sz w:val="21"/>
          <w:szCs w:val="21"/>
          <w:u w:val="single" w:color="auto"/>
          <w:color w:val="auto"/>
        </w:rPr>
        <w:t>Sections 3.01(f)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3.05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(it being understood that the Participant shall deliver the forms described in Section 3.01(f) solely to the participating Lender, it being understood that copies of such forms may be required to be included (and, if so, will be included) as part of a non-U.S. Granting Lender’s IRS Form W-8IMY provided to the Administrative Agent or the Borrower),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Section 10.07(b)</w:t>
      </w:r>
      <w:r>
        <w:rPr>
          <w:rFonts w:ascii="Times New Roman" w:cs="Times New Roman" w:eastAsia="Times New Roman" w:hAnsi="Times New Roman"/>
          <w:sz w:val="21"/>
          <w:szCs w:val="21"/>
          <w:color w:val="auto"/>
        </w:rPr>
        <w:t xml:space="preserve">. To the extent permitted by applicable Law, each Participant also shall be entitled to the benefits of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complies with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 Any Lender that sells participations shall maintain a register on which it enters the name and the address of each Participant and the principal and interest amounts of each Participant’s participation interest in the Commitments and/or Loans (or other rights or obligations) held by it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The entries in the Participant Register shall be conclusive, absent demonstrable error, and the Borrower and such Lender shall treat each person whose name is recorded in the Participant Register as the owner of such participation interest as the owner thereof for all purposes notwithstanding any notice to the contrary. In maintaining the Participant Register, such Lender shall be acting as the non-fiduciary agent of the Borrower solely for purposes of applicable United States federal income tax law and undertakes no duty, responsibility or obligation to the Borrower (without limitation, in no event shall such Lender be a fiduciary of the Borrower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in connection with a Tax audit that such commitment, loan, or other obligation is in registered form under Section 5f.103-1(c) of the United States Treasury Regulations or, if different, under Sections 871(h) or 881(c) of the Code.</w:t>
      </w:r>
    </w:p>
    <w:p>
      <w:pPr>
        <w:spacing w:after="0" w:line="190" w:lineRule="exact"/>
        <w:rPr>
          <w:sz w:val="20"/>
          <w:szCs w:val="20"/>
          <w:color w:val="auto"/>
        </w:rPr>
      </w:pPr>
    </w:p>
    <w:p>
      <w:pPr>
        <w:jc w:val="both"/>
        <w:ind w:left="180" w:firstLine="4"/>
        <w:spacing w:after="0" w:line="238" w:lineRule="auto"/>
        <w:tabs>
          <w:tab w:leader="none" w:pos="657"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shall not be entitled to receive any greater payment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such entitlement to a greater payment results from a Change in Law after the Participant became a Participant.</w:t>
      </w:r>
    </w:p>
    <w:p>
      <w:pPr>
        <w:spacing w:after="0" w:line="176" w:lineRule="exact"/>
        <w:rPr>
          <w:rFonts w:ascii="Times New Roman" w:cs="Times New Roman" w:eastAsia="Times New Roman" w:hAnsi="Times New Roman"/>
          <w:sz w:val="22"/>
          <w:szCs w:val="22"/>
          <w:color w:val="auto"/>
        </w:rPr>
      </w:pPr>
    </w:p>
    <w:p>
      <w:pPr>
        <w:jc w:val="both"/>
        <w:ind w:left="180" w:firstLine="4"/>
        <w:spacing w:after="0" w:line="238" w:lineRule="auto"/>
        <w:tabs>
          <w:tab w:leader="none" w:pos="675"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-207-</w:t>
      </w:r>
    </w:p>
    <w:p>
      <w:pPr>
        <w:sectPr>
          <w:pgSz w:w="11900" w:h="16838" w:orient="portrait"/>
          <w:cols w:equalWidth="0" w:num="1">
            <w:col w:w="10120"/>
          </w:cols>
          <w:pgMar w:left="1440" w:top="1084" w:right="339" w:bottom="1440" w:gutter="0" w:footer="0" w:header="0"/>
        </w:sectPr>
      </w:pPr>
    </w:p>
    <w:bookmarkStart w:id="303" w:name="page304"/>
    <w:bookmarkEnd w:id="303"/>
    <w:p>
      <w:pPr>
        <w:jc w:val="both"/>
        <w:ind w:left="180" w:firstLine="4"/>
        <w:spacing w:after="0" w:line="230" w:lineRule="auto"/>
        <w:tabs>
          <w:tab w:leader="none" w:pos="659"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any Lender (a “</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an SPC shall be entitled to the benefit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subject to the requirements and limitations of such Sections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 xml:space="preserve"> (it being understood that the SPC shall deliver the forms described in Section 3.01(f) solely to the Granting Lender, it being understood that copies of such forms may be required to be included (and, if so, will be included) as part of a non-U.S. Lender’s IRS Form W-8IMY provided to the Administrative Agent or the Borrower)), to the same extent as if such SPC were a Lender, but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except to the extent any entitlement to greater amounts results from a Change in Law after the grant to the SPC occurred, (ii) no SPC shall be liable for any indemnity or similar payment obligation under this Agreement for which a Lender would be liable and such liability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Any Granting Lender shall maintain a register with respect to any grant described in this clause (h) on which it enters the name and the address of each SPC and the principal and interest amounts of each SPC’s interest in the granted Commitments and/or Loans (or other rights or obligations with respect thereto), which shall be maintained in a manner similar to any Participant Register described in Section 10.07(e), mutatis mutandis.</w:t>
      </w:r>
    </w:p>
    <w:p>
      <w:pPr>
        <w:spacing w:after="0" w:line="191" w:lineRule="exact"/>
        <w:rPr>
          <w:rFonts w:ascii="Times New Roman" w:cs="Times New Roman" w:eastAsia="Times New Roman" w:hAnsi="Times New Roman"/>
          <w:sz w:val="22"/>
          <w:szCs w:val="22"/>
          <w:color w:val="auto"/>
        </w:rPr>
      </w:pPr>
    </w:p>
    <w:p>
      <w:pPr>
        <w:jc w:val="both"/>
        <w:ind w:left="180" w:firstLine="4"/>
        <w:spacing w:after="0" w:line="234" w:lineRule="auto"/>
        <w:tabs>
          <w:tab w:leader="none" w:pos="45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such trustee actually becomes a Lender in compliance with the other provisions of this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-208-</w:t>
      </w:r>
    </w:p>
    <w:p>
      <w:pPr>
        <w:sectPr>
          <w:pgSz w:w="11900" w:h="16838" w:orient="portrait"/>
          <w:cols w:equalWidth="0" w:num="1">
            <w:col w:w="10120"/>
          </w:cols>
          <w:pgMar w:left="1440" w:top="1084" w:right="339" w:bottom="1440" w:gutter="0" w:footer="0" w:header="0"/>
        </w:sectPr>
      </w:pPr>
    </w:p>
    <w:bookmarkStart w:id="304" w:name="page305"/>
    <w:bookmarkEnd w:id="304"/>
    <w:p>
      <w:pPr>
        <w:jc w:val="both"/>
        <w:ind w:left="180" w:firstLine="4"/>
        <w:spacing w:after="0" w:line="232" w:lineRule="auto"/>
        <w:tabs>
          <w:tab w:leader="none" w:pos="62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any L/C Issuer may, upon thirty (30) days’ notice to the Borrower and the Lenders, resign as an L/C Issuer, respectively;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 or prior to the expiration of such 30-day period with respect to such resignation, the relevant L/C Issuer shall have identified, in consultation with the Borrower, a successor L/C Issuer willing to accept its appointment as successor L/C Issuer, as applicable. In the event of any such resignation of an L/C Issuer, the Borrower shall be entitled to appoint from among the Lenders willing to accept such appointment a successor L/C Issuer;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failure by the Borrower to appoint any such successor shall affect the resignation of the relevant L/C Issuer, as the case may be.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left="180" w:firstLine="4"/>
        <w:spacing w:after="0" w:line="245" w:lineRule="auto"/>
        <w:tabs>
          <w:tab w:leader="none" w:pos="654"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so long as (i) no proceeds of Revolving Credit Loans are applied to fund the consideration for any such assignment and (ii) </w:t>
      </w:r>
      <w:r>
        <w:rPr>
          <w:rFonts w:ascii="Times New Roman" w:cs="Times New Roman" w:eastAsia="Times New Roman" w:hAnsi="Times New Roman"/>
          <w:sz w:val="21"/>
          <w:szCs w:val="21"/>
          <w:color w:val="auto"/>
        </w:rPr>
        <w:t>no Event of Default has occurred and is then continuing, at any time, assign all or a portion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of its rights and obligations with respect to Term Loans under this Agreement to Holdings or any of its Subsidiaries through (x) Dutch auctions open to all Term Lenders in accordance with procedures of the type described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or (y) notwithstanding Section </w:t>
      </w:r>
      <w:r>
        <w:rPr>
          <w:rFonts w:ascii="Times New Roman" w:cs="Times New Roman" w:eastAsia="Times New Roman" w:hAnsi="Times New Roman"/>
          <w:sz w:val="21"/>
          <w:szCs w:val="21"/>
          <w:u w:val="single" w:color="auto"/>
          <w:color w:val="auto"/>
        </w:rPr>
        <w:t>2.05(d)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or any other provision in this Agreement, open market purchase on a non-pro rata basis;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connection with assignments pursuant to this clause (k):</w:t>
      </w: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jc w:val="both"/>
        <w:ind w:left="840" w:hanging="8"/>
        <w:spacing w:after="0" w:line="239" w:lineRule="auto"/>
        <w:tabs>
          <w:tab w:leader="none" w:pos="1424"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assigning Lender and Holdings or such Subsidiary, as applicable, shall execute and deliver to the Administrative Agent an Assignment and Assumption in form and substance reasonably satisfactory to the Administrative Agent and all parties to the relevant repurchases shall render customary “big boy” disclaimer letters or any such disclaimers shall be incorporated into the terms of the Assignment and Assumption;</w:t>
      </w:r>
    </w:p>
    <w:p>
      <w:pPr>
        <w:spacing w:after="0" w:line="186" w:lineRule="exact"/>
        <w:rPr>
          <w:rFonts w:ascii="Times New Roman" w:cs="Times New Roman" w:eastAsia="Times New Roman" w:hAnsi="Times New Roman"/>
          <w:sz w:val="20"/>
          <w:szCs w:val="20"/>
          <w:color w:val="auto"/>
        </w:rPr>
      </w:pPr>
    </w:p>
    <w:p>
      <w:pPr>
        <w:jc w:val="both"/>
        <w:ind w:left="840" w:hanging="8"/>
        <w:spacing w:after="0" w:line="236" w:lineRule="auto"/>
        <w:tabs>
          <w:tab w:leader="none" w:pos="1544"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Holdings or any of its Subsidiaries (other than the Borrower) is the assignee, upon such assignment, transfer or contribution, Holdings or such Subsidiary shall automatically be deemed to have contributed the principal amount of such Term Loans, plus all accrued and unpaid interest thereon, to the Borrower; and</w:t>
      </w:r>
    </w:p>
    <w:p>
      <w:pPr>
        <w:spacing w:after="0" w:line="179" w:lineRule="exact"/>
        <w:rPr>
          <w:rFonts w:ascii="Times New Roman" w:cs="Times New Roman" w:eastAsia="Times New Roman" w:hAnsi="Times New Roman"/>
          <w:sz w:val="22"/>
          <w:szCs w:val="22"/>
          <w:color w:val="auto"/>
        </w:rPr>
      </w:pPr>
    </w:p>
    <w:p>
      <w:pPr>
        <w:jc w:val="both"/>
        <w:ind w:left="840" w:hanging="8"/>
        <w:spacing w:after="0" w:line="233" w:lineRule="auto"/>
        <w:tabs>
          <w:tab w:leader="none" w:pos="1462"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assignee is the Borrower (including through contribution or transfers set forth in clause (ii) above), (a) the principal amount of such Term Loans, along with all accrued and unpaid interest thereon, so contributed, assigned or transferred to the Borrower shall be deemed automatically cancelled and extinguished on the date of such contribution, assignment or transfer, (b) the aggregate outstanding principal amount of Term Loans of the remaining Term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w:t>
      </w:r>
    </w:p>
    <w:p>
      <w:pPr>
        <w:spacing w:after="0" w:line="179" w:lineRule="exact"/>
        <w:rPr>
          <w:sz w:val="20"/>
          <w:szCs w:val="20"/>
          <w:color w:val="auto"/>
        </w:rPr>
      </w:pPr>
    </w:p>
    <w:p>
      <w:pPr>
        <w:ind w:left="180" w:right="300" w:firstLine="4"/>
        <w:spacing w:after="0" w:line="244" w:lineRule="auto"/>
        <w:tabs>
          <w:tab w:leader="none" w:pos="608"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Notwithstanding anything to the contrary contained herein, any Lender may, at any time, assign all or a portion of its rights and obligations under this Agreement in respect of its Term Loans to any Affiliated Lender;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-209-</w:t>
      </w:r>
    </w:p>
    <w:p>
      <w:pPr>
        <w:sectPr>
          <w:pgSz w:w="11900" w:h="16838" w:orient="portrait"/>
          <w:cols w:equalWidth="0" w:num="1">
            <w:col w:w="10120"/>
          </w:cols>
          <w:pgMar w:left="1440" w:top="1084" w:right="339" w:bottom="1440" w:gutter="0" w:footer="0" w:header="0"/>
        </w:sectPr>
      </w:pPr>
    </w:p>
    <w:bookmarkStart w:id="305" w:name="page306"/>
    <w:bookmarkEnd w:id="305"/>
    <w:p>
      <w:pPr>
        <w:ind w:left="1960" w:hanging="8"/>
        <w:spacing w:after="0" w:line="235" w:lineRule="auto"/>
        <w:tabs>
          <w:tab w:leader="none" w:pos="2345"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Affiliated Lender (other than a Debt Fund Affiliate) shall have any right to (x) attend or participate in (including, in each case, by telephone) any meeting (including “Lender only” meetings) or discussions (or portion thereof) among the Administrative Agent or any Lender to which representatives of the Borrower are not then present or invited thereto, (y)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Term Loans required to be delivered to Lenders pursuant to Section 2) or receive any advice of counsel to the Administrative Agent or (z) make any challenge to the Administrative Agent’s or any other Lender’s attorney-client privilege on the basis of its status as a Lender;</w:t>
      </w:r>
    </w:p>
    <w:p>
      <w:pPr>
        <w:spacing w:after="0" w:line="178" w:lineRule="exact"/>
        <w:rPr>
          <w:rFonts w:ascii="Times New Roman" w:cs="Times New Roman" w:eastAsia="Times New Roman" w:hAnsi="Times New Roman"/>
          <w:sz w:val="20"/>
          <w:szCs w:val="20"/>
          <w:color w:val="auto"/>
        </w:rPr>
      </w:pPr>
    </w:p>
    <w:p>
      <w:pPr>
        <w:ind w:left="1960" w:right="20" w:hanging="8"/>
        <w:spacing w:after="0" w:line="235" w:lineRule="auto"/>
        <w:tabs>
          <w:tab w:leader="none" w:pos="240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with respect to any amendment, modification, waiver, consent or other action (a) that requires the consent of all Lenders, all Lenders directly and adversely affected or specifically such Lender, (b) that alters the applicable Affiliated Lender’s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0"/>
          <w:szCs w:val="20"/>
          <w:color w:val="auto"/>
        </w:rPr>
        <w:t xml:space="preserve"> share of any payments given to all Lenders, or (c) affects the applicable Affiliated Lender (in its capacity as a Lender) in a manner that is disproportionate to the effect on any Lender in the same Class, the Term Loans held by the applicable Affiliated Lender (other than a Debt Fund Affiliate) shall be disregarded in both the numerator and denominator in the calculation of any Lender vote (and, in the case of a plan of reorganization that does not affect the applicable Affiliated Lender in a manner that is adverse to such Affiliated Lender relative to other Lenders, such Affiliated Lender shall be deemed to have voted its interest in the Term Loans in the same proportion as the other Lenders in the same Class) (and shall be deemed to have been voted in the same percentage as all other applicable Lenders voted if necessary to give legal effect to this paragraph) (but, in any event, in connection with any amendment, modification, waiver, consent or other action, shall be entitled to any consent fee, calculated as if all of the applicable Affiliated Lender’s Term Loans had voted in favor of any matter for which a consent fee or similar payment is offered); and</w:t>
      </w:r>
    </w:p>
    <w:p>
      <w:pPr>
        <w:spacing w:after="0" w:line="179" w:lineRule="exact"/>
        <w:rPr>
          <w:rFonts w:ascii="Times New Roman" w:cs="Times New Roman" w:eastAsia="Times New Roman" w:hAnsi="Times New Roman"/>
          <w:sz w:val="20"/>
          <w:szCs w:val="20"/>
          <w:color w:val="auto"/>
        </w:rPr>
      </w:pPr>
    </w:p>
    <w:p>
      <w:pPr>
        <w:ind w:left="1960" w:right="20" w:hanging="8"/>
        <w:spacing w:after="0" w:line="239" w:lineRule="auto"/>
        <w:tabs>
          <w:tab w:leader="none" w:pos="2455"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acquisition by an Affiliated Lender (other than a Debt Fund Affiliate) shall be permitted if, after giving effect to such acquisition, the aggregate principal amount of Term Loans of any Class held by Affiliated Lenders (other than Debt Fund Affiliates) would exceed 25% of the aggregate principal amount of all Term Loans, of such Class outstanding at the time of such purchase;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to the extent any assignment to an Affiliated Lender (other than a Debt Fund Affiliate) would result in the aggregate principal amount of the applicable Term Loans held by Affiliated Lenders (other than Debt Fund Affiliates) exceeding such 25% threshold at the time of such purchase, the purchase of such excess amount will be void </w:t>
      </w:r>
      <w:r>
        <w:rPr>
          <w:rFonts w:ascii="Times New Roman" w:cs="Times New Roman" w:eastAsia="Times New Roman" w:hAnsi="Times New Roman"/>
          <w:sz w:val="21"/>
          <w:szCs w:val="21"/>
          <w:i w:val="1"/>
          <w:iCs w:val="1"/>
          <w:color w:val="auto"/>
        </w:rPr>
        <w:t>ab</w:t>
      </w:r>
      <w:r>
        <w:rPr>
          <w:rFonts w:ascii="Times New Roman" w:cs="Times New Roman" w:eastAsia="Times New Roman" w:hAnsi="Times New Roman"/>
          <w:sz w:val="20"/>
          <w:szCs w:val="20"/>
          <w:color w:val="auto"/>
        </w:rPr>
        <w:t xml:space="preserve"> initio.</w:t>
      </w:r>
    </w:p>
    <w:p>
      <w:pPr>
        <w:spacing w:after="0" w:line="18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Each Affiliated Lender agrees to notify the Administrative Agent promptly (and in any event within 10 Business Days) if it acquires any Person who is also a Lender, and each Lender agrees to notify the Administrative Agent promptly (and in any event within ten (10) Business Days) if it becomes an Affiliated Lender.</w:t>
      </w:r>
    </w:p>
    <w:p>
      <w:pPr>
        <w:spacing w:after="0" w:line="167" w:lineRule="exact"/>
        <w:rPr>
          <w:sz w:val="20"/>
          <w:szCs w:val="20"/>
          <w:color w:val="auto"/>
        </w:rPr>
      </w:pPr>
    </w:p>
    <w:p>
      <w:pPr>
        <w:ind w:left="1300" w:firstLine="4"/>
        <w:spacing w:after="0" w:line="252" w:lineRule="auto"/>
        <w:tabs>
          <w:tab w:leader="none" w:pos="1784"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Section 10.01 or the definition of “Required Lenders,” or “Required Revolving Credit Lenders” to the contrary, for purposes of determining whether the Required Lenders and Required Revolving Credit Lenders (in respect of a Class of Loans) have (i) consented (or not consented) to any amendment, modification, waiver, consent or other action (other than a Debt Fund Affiliate) with respect to any of the terms of any Loan Document or any departure by any Loan Party therefrom, or subject to </w:t>
      </w:r>
      <w:r>
        <w:rPr>
          <w:rFonts w:ascii="Times New Roman" w:cs="Times New Roman" w:eastAsia="Times New Roman" w:hAnsi="Times New Roman"/>
          <w:sz w:val="20"/>
          <w:szCs w:val="20"/>
          <w:u w:val="single" w:color="auto"/>
          <w:color w:val="auto"/>
        </w:rPr>
        <w:t>Section 10.07(l)(ii)</w:t>
      </w:r>
      <w:r>
        <w:rPr>
          <w:rFonts w:ascii="Times New Roman" w:cs="Times New Roman" w:eastAsia="Times New Roman" w:hAnsi="Times New Roman"/>
          <w:sz w:val="19"/>
          <w:szCs w:val="19"/>
          <w:color w:val="auto"/>
        </w:rPr>
        <w:t>, any plan of reorganization pursuant to the U.S. Bankruptcy Code, (ii) otherwise acted on any matter related to any Loan Document, or (iii) directed or required the Administrative Agent or any Lender to undertake any action (or refrain from taking any action) with respect to or under any Loan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-210-</w:t>
      </w:r>
    </w:p>
    <w:p>
      <w:pPr>
        <w:sectPr>
          <w:pgSz w:w="11900" w:h="16838" w:orient="portrait"/>
          <w:cols w:equalWidth="0" w:num="1">
            <w:col w:w="11220"/>
          </w:cols>
          <w:pgMar w:left="320" w:top="1089" w:right="359" w:bottom="1440" w:gutter="0" w:footer="0" w:header="0"/>
        </w:sectPr>
      </w:pPr>
    </w:p>
    <w:bookmarkStart w:id="306" w:name="page307"/>
    <w:bookmarkEnd w:id="306"/>
    <w:p>
      <w:pPr>
        <w:ind w:left="640" w:right="40"/>
        <w:spacing w:after="0" w:line="237" w:lineRule="auto"/>
        <w:rPr>
          <w:sz w:val="20"/>
          <w:szCs w:val="20"/>
          <w:color w:val="auto"/>
        </w:rPr>
      </w:pPr>
      <w:r>
        <w:rPr>
          <w:rFonts w:ascii="Times New Roman" w:cs="Times New Roman" w:eastAsia="Times New Roman" w:hAnsi="Times New Roman"/>
          <w:sz w:val="20"/>
          <w:szCs w:val="20"/>
          <w:color w:val="auto"/>
        </w:rPr>
        <w:t>Document, no Affiliated Lender (other than a Debt Fund Affiliate) shall have any right to consent (or not consent), otherwise act or direct or require the Administrative Agent or any Lender to take (or refrain from taking) any such action (other than any such amendment, waiver, consent, modification or other action that requires the consent of each Lender, each affected Lender, affects such Affiliated Lender as compared to other Lenders in a disproportionately adverse manner or that deprives such Affiliated Lender of its pro rata share of any payments to which it is entitled, as to which items each Affiliated Lender shall have the right to vote, consent, act or direct or require the Administrative Agent to take (or refrain from taking) action) and:</w:t>
      </w:r>
    </w:p>
    <w:p>
      <w:pPr>
        <w:spacing w:after="0" w:line="179" w:lineRule="exact"/>
        <w:rPr>
          <w:sz w:val="20"/>
          <w:szCs w:val="20"/>
          <w:color w:val="auto"/>
        </w:rPr>
      </w:pPr>
    </w:p>
    <w:p>
      <w:pPr>
        <w:ind w:left="1300" w:right="20" w:hanging="8"/>
        <w:spacing w:after="0" w:line="247" w:lineRule="auto"/>
        <w:tabs>
          <w:tab w:leader="none" w:pos="1685"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held by any Affiliated Lenders (other than a Debt Fund Affiliate) shall be deemed to be not outstanding for all purposes of calculating whether the Required Lenders and Required Revolving Credit Lenders (in respect of a Class of Loans) have taken any actions; and</w:t>
      </w:r>
    </w:p>
    <w:p>
      <w:pPr>
        <w:spacing w:after="0" w:line="167" w:lineRule="exact"/>
        <w:rPr>
          <w:rFonts w:ascii="Times New Roman" w:cs="Times New Roman" w:eastAsia="Times New Roman" w:hAnsi="Times New Roman"/>
          <w:sz w:val="20"/>
          <w:szCs w:val="20"/>
          <w:color w:val="auto"/>
        </w:rPr>
      </w:pPr>
    </w:p>
    <w:p>
      <w:pPr>
        <w:jc w:val="both"/>
        <w:ind w:left="1300" w:right="220" w:hanging="8"/>
        <w:spacing w:after="0" w:line="247" w:lineRule="auto"/>
        <w:tabs>
          <w:tab w:leader="none" w:pos="1740"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held by Affiliated Lenders (other than a Debt Fund Affiliate) shall be deemed to be not outstanding for all purposes of calculating whether all Lenders have taken any action unless the action in question affects such Affiliated Lender in a disproportionately adverse manner than its effect on other Lenders.</w:t>
      </w:r>
    </w:p>
    <w:p>
      <w:pPr>
        <w:spacing w:after="0" w:line="167" w:lineRule="exact"/>
        <w:rPr>
          <w:rFonts w:ascii="Times New Roman" w:cs="Times New Roman" w:eastAsia="Times New Roman" w:hAnsi="Times New Roman"/>
          <w:sz w:val="20"/>
          <w:szCs w:val="20"/>
          <w:color w:val="auto"/>
        </w:rPr>
      </w:pPr>
    </w:p>
    <w:p>
      <w:pPr>
        <w:ind w:left="640" w:right="20" w:firstLine="4"/>
        <w:spacing w:after="0" w:line="236" w:lineRule="auto"/>
        <w:tabs>
          <w:tab w:leader="none" w:pos="1069"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the other Loan Documents to the contrary, each Affiliated Lender (other than a Debt Fund Affiliate) hereby agrees that if a proceeding under any Debtor Relief Law shall be commenced by or against the Borrower or any other Loan Party at a time when such Lender is an Affiliated Lender (other than a Debt Fund Affiliate),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to such Affiliated Lender than the proposed treatment of similar Obligations held by Lenders that are not Affiliated Lenders.</w:t>
      </w:r>
    </w:p>
    <w:p>
      <w:pPr>
        <w:spacing w:after="0" w:line="182" w:lineRule="exact"/>
        <w:rPr>
          <w:rFonts w:ascii="Times New Roman" w:cs="Times New Roman" w:eastAsia="Times New Roman" w:hAnsi="Times New Roman"/>
          <w:sz w:val="20"/>
          <w:szCs w:val="20"/>
          <w:color w:val="auto"/>
        </w:rPr>
      </w:pPr>
    </w:p>
    <w:p>
      <w:pPr>
        <w:ind w:left="640" w:right="100" w:firstLine="4"/>
        <w:spacing w:after="0" w:line="238" w:lineRule="auto"/>
        <w:tabs>
          <w:tab w:leader="none" w:pos="1069"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0"/>
          <w:szCs w:val="20"/>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Loans held by Debt Fund Affiliates may not account for more than 49.9% (pro rata among such Debt Fund Affiliates) of the Loans of consenting Lenders included in determining whether the Required Lenders have consented to any action pursuant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Each of the Agents and the Lenders agrees to maintain the confidentiality of the Information and to not use or disclose such information, except that Information may be disclosed (a) to its Affiliates and its and its Affiliates’ directors, officers, employees, trustees,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to any pledgee referred to in </w:t>
      </w:r>
      <w:r>
        <w:rPr>
          <w:rFonts w:ascii="Times New Roman" w:cs="Times New Roman" w:eastAsia="Times New Roman" w:hAnsi="Times New Roman"/>
          <w:sz w:val="21"/>
          <w:szCs w:val="21"/>
          <w:u w:val="single" w:color="auto"/>
          <w:color w:val="auto"/>
        </w:rPr>
        <w:t>Section 10.07(g)</w:t>
      </w:r>
      <w:r>
        <w:rPr>
          <w:rFonts w:ascii="Times New Roman" w:cs="Times New Roman" w:eastAsia="Times New Roman" w:hAnsi="Times New Roman"/>
          <w:sz w:val="21"/>
          <w:szCs w:val="21"/>
          <w:color w:val="auto"/>
        </w:rPr>
        <w:t>; (c) to the extent required by applicable Laws or regulations or by any subpoena or similar legal process (in which case such Agent or Lender agrees (except with respect to any audit or examination conducted by bank accountants or any regulatory authority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-211-</w:t>
      </w:r>
    </w:p>
    <w:p>
      <w:pPr>
        <w:sectPr>
          <w:pgSz w:w="11900" w:h="16838" w:orient="portrait"/>
          <w:cols w:equalWidth="0" w:num="1">
            <w:col w:w="10580"/>
          </w:cols>
          <w:pgMar w:left="980" w:top="1089" w:right="339" w:bottom="1440" w:gutter="0" w:footer="0" w:header="0"/>
        </w:sectPr>
      </w:pPr>
    </w:p>
    <w:bookmarkStart w:id="307" w:name="page308"/>
    <w:bookmarkEnd w:id="307"/>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including any self-regulatory authority exercising examination or regulatory authority), to the extent practicable and not prohibited by applicable law, rule or regulation, to inform the applicable Loan Party promptly thereof prior to disclosure and upon the reasonable request of any Loan Party cooperate with the Loan Party to obtain a protective order or similar confidential treatment); (d) to any other party to this Agreement; (e) subject to an agreement containing provisions substantially the same as those of this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(or as may otherwise be reasonably acceptable to the Borrower), to any pledgee referred to in </w:t>
      </w:r>
      <w:r>
        <w:rPr>
          <w:rFonts w:ascii="Times New Roman" w:cs="Times New Roman" w:eastAsia="Times New Roman" w:hAnsi="Times New Roman"/>
          <w:sz w:val="22"/>
          <w:szCs w:val="22"/>
          <w:u w:val="single" w:color="auto"/>
          <w:color w:val="auto"/>
        </w:rPr>
        <w:t>Section 10.07(i</w:t>
      </w:r>
      <w:r>
        <w:rPr>
          <w:rFonts w:ascii="Times New Roman" w:cs="Times New Roman" w:eastAsia="Times New Roman" w:hAnsi="Times New Roman"/>
          <w:sz w:val="22"/>
          <w:szCs w:val="22"/>
          <w:color w:val="auto"/>
        </w:rPr>
        <w:t xml:space="preserve">), counterparty to a Swap Contract or Qualified Securitization Financing, 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(h) to any Governmental Authority or examiner regulating any Lender; (i) to any rating agency when required by it (it being understood that, prior to any such disclosure, such rating agency shall undertake to preserve the confidentiality of any Information relating to the Loan Parties received by it from such Lender); or (j) in connection with the exercise of any remedies hereunder or under any other Loan Document or any action or proceeding relating to this Agreement or any other Loan Document or the enforcement of rights hereunder or thereunder.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10.08</w:t>
      </w:r>
      <w:r>
        <w:rPr>
          <w:rFonts w:ascii="Times New Roman" w:cs="Times New Roman" w:eastAsia="Times New Roman" w:hAnsi="Times New Roman"/>
          <w:sz w:val="22"/>
          <w:szCs w:val="22"/>
          <w:color w:val="auto"/>
        </w:rPr>
        <w:t xml:space="preserve">, “Information” means all information received from any Loan Party or its Affiliates or its Affiliates’ directors, managers, officers, employees, trustees, investment advisors or agents, relating to Holdings, the Borrower or any of their Subsidiaries or their business, other than any such information that is publicly available to any Agent or any Lender prior to disclosure by any Loan Party other than as a result of a breach of this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including, without limitation, information delivered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xml:space="preserve"> hereof.</w:t>
      </w:r>
    </w:p>
    <w:p>
      <w:pPr>
        <w:spacing w:after="0" w:line="17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xml:space="preserve">. In addition to any rights and remedies of the Lenders provided by Law, upon the occurrence and during the continuance of any Event of Default, each Lender and its Affiliates and each L/C Issuer and its Affiliates is authorized at any time and from time to time, without prior notice to the Borrower or any other Loan Party, any such notice being waived by the Borrower (on its own behalf and on behalf of each Loan Party and its Subsidiaries) to the fullest extent permitted by applicable Law, to set off and apply any and all deposits (general or special, time or demand, provisional or final) at any time held by, and other Indebtedness (in any currency) at any time owing by, such Lender and its Affiliates or such L/C Issuer and its Affiliates, as the case may be, to or for the credit or the account of the respective Loan Parties and their Subsidiaries against any and all Obligations owing to such Lender and its Affiliates or such L/C Issuer and its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 Lender or its Affiliates and no L/C Issuer or its Affiliates shall have a right to set off and apply any deposits held or other Indebtedness owing by such Lender or its Affiliates or such L/C Issuer or its Affiliates, as the case may be, to or for the credit or the account of any Subsidiary of a Loan Party that is a Foreign Subsidiary or a Domestic Foreign Holding Company. Each Lender and L/C Issuer agrees promptly to notify the Borrower and the Administrative Agent after any such set off and application made by such Lender or L/C Issuer, as the case may be;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 The rights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-212-</w:t>
      </w:r>
    </w:p>
    <w:p>
      <w:pPr>
        <w:sectPr>
          <w:pgSz w:w="11900" w:h="16838" w:orient="portrait"/>
          <w:cols w:equalWidth="0" w:num="1">
            <w:col w:w="10580"/>
          </w:cols>
          <w:pgMar w:left="980" w:top="1084" w:right="339" w:bottom="1440" w:gutter="0" w:footer="0" w:header="0"/>
        </w:sectPr>
      </w:pPr>
    </w:p>
    <w:bookmarkStart w:id="308" w:name="page309"/>
    <w:bookmarkEnd w:id="308"/>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of the Administrative Agent, each Lender and each L/C Issuer under this </w:t>
      </w:r>
      <w:r>
        <w:rPr>
          <w:rFonts w:ascii="Times New Roman" w:cs="Times New Roman" w:eastAsia="Times New Roman" w:hAnsi="Times New Roman"/>
          <w:sz w:val="21"/>
          <w:szCs w:val="21"/>
          <w:u w:val="single" w:color="auto"/>
          <w:color w:val="auto"/>
        </w:rPr>
        <w:t>Section 10.09</w:t>
      </w:r>
      <w:r>
        <w:rPr>
          <w:rFonts w:ascii="Times New Roman" w:cs="Times New Roman" w:eastAsia="Times New Roman" w:hAnsi="Times New Roman"/>
          <w:sz w:val="21"/>
          <w:szCs w:val="21"/>
          <w:color w:val="auto"/>
        </w:rPr>
        <w:t xml:space="preserve"> are in addition to other rights and remedies (including other rights of setoff) that the Administrative Agent, such Lender and such L/C Issuer may have.</w:t>
      </w:r>
    </w:p>
    <w:p>
      <w:pPr>
        <w:spacing w:after="0" w:line="13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and each other Loan Document may be executed in one or more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 signed original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request or deliver the same shall not limit the effectiveness of any document or signature delivered by telecopier or other electronic transmission.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xml:space="preserve">. This Agreement, together with the other Loan Documents and the Fee Letter,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The provisions of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10.15</w:t>
      </w:r>
      <w:r>
        <w:rPr>
          <w:rFonts w:ascii="Times New Roman" w:cs="Times New Roman" w:eastAsia="Times New Roman" w:hAnsi="Times New Roman"/>
          <w:sz w:val="22"/>
          <w:szCs w:val="22"/>
          <w:color w:val="auto"/>
        </w:rPr>
        <w:t xml:space="preserve">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GOVERNING LAW, JURISDICTION, SERVICE OF PROCESS.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-213-</w:t>
      </w:r>
    </w:p>
    <w:p>
      <w:pPr>
        <w:sectPr>
          <w:pgSz w:w="11900" w:h="16838" w:orient="portrait"/>
          <w:cols w:equalWidth="0" w:num="1">
            <w:col w:w="10580"/>
          </w:cols>
          <w:pgMar w:left="980" w:top="1084" w:right="339" w:bottom="1440" w:gutter="0" w:footer="0" w:header="0"/>
        </w:sectPr>
      </w:pPr>
    </w:p>
    <w:bookmarkStart w:id="309" w:name="page310"/>
    <w:bookmarkEnd w:id="309"/>
    <w:p>
      <w:pPr>
        <w:jc w:val="both"/>
        <w:ind w:firstLine="656"/>
        <w:spacing w:after="0" w:line="244" w:lineRule="auto"/>
        <w:tabs>
          <w:tab w:leader="none" w:pos="1052"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EACH OTHER LOAN DOCUMENT SHALL BE GOVERNED BY, AND CONSTRUED IN ACCORDANCE WITH, THE LAW OF THE STATE OF NEW YORK (EXCEPT AS OTHERWISE EXPRESSLY PROVIDED THEREIN).</w:t>
      </w:r>
    </w:p>
    <w:p>
      <w:pPr>
        <w:spacing w:after="0" w:line="173" w:lineRule="exact"/>
        <w:rPr>
          <w:rFonts w:ascii="Times New Roman" w:cs="Times New Roman" w:eastAsia="Times New Roman" w:hAnsi="Times New Roman"/>
          <w:sz w:val="22"/>
          <w:szCs w:val="22"/>
          <w:color w:val="auto"/>
        </w:rPr>
      </w:pPr>
    </w:p>
    <w:p>
      <w:pPr>
        <w:jc w:val="both"/>
        <w:ind w:firstLine="656"/>
        <w:spacing w:after="0" w:line="232" w:lineRule="auto"/>
        <w:tabs>
          <w:tab w:leader="none" w:pos="993"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FOLLOWING PARAGRAPH,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NEW YORK CITY OR OF THE UNITED STATES FOR THE SOUTHERN DISTRICT OF SUCH STATE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COURTS CAN AND WILL EXERCISE SUCH JURISDICTION, SUCH EXCLUSIVITY SHALL NOT APPLY), AND BY EXECUTION AND DELIVERY OF THIS AGREEMENT, THE BORROWER, HOLDINGS, EACH AGENT AND EACH LENDER CONSENTS, FOR ITSELF AND IN RESPECT OF ITS PROPERTY, TO THE EXCLUSIVE JURISDICTION OF THOSE COURTS. THE BORROWER, HOLDINGS,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spacing w:after="0" w:line="16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NOTHING IN THIS AGREEMENT OR IN ANY OTHER LOAN DOCUMENT SHALL AFFECT ANY RIGHT THAT THE ADMINISTRATIVE AGENT, THE COLLATERAL AGENT OR ANY LENDER MAY OTHERWISE HAVE TO BRING ANY ACTION OR PROCEEDING RELATING TO THIS 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OR THE PARTIES OR PROPERTY SUBJECT THERETO.</w:t>
      </w:r>
    </w:p>
    <w:p>
      <w:pPr>
        <w:spacing w:after="0" w:line="18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WAIVER OF RIGHT TO TRIAL BY JURY</w:t>
      </w:r>
      <w:r>
        <w:rPr>
          <w:rFonts w:ascii="Times New Roman" w:cs="Times New Roman" w:eastAsia="Times New Roman" w:hAnsi="Times New Roman"/>
          <w:sz w:val="22"/>
          <w:szCs w:val="22"/>
          <w:color w:val="auto"/>
        </w:rPr>
        <w:t xml:space="preserve">.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WITH ANY COURT AS WRITTEN EVIDENCE OF THE CONSENT OF THE SIGNATORIES HERETO TO THE WAIVER OF THEIR RIGHT TO TRIAL BY JURY.</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become effective when it shall have been executed by the Borrower and Holdings and the Administrative Agent shall have been notified by each Lender and L/C Issuer that each such Lender and L/C Issuer has executed it and thereafter shall be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-214-</w:t>
      </w:r>
    </w:p>
    <w:p>
      <w:pPr>
        <w:sectPr>
          <w:pgSz w:w="11900" w:h="16838" w:orient="portrait"/>
          <w:cols w:equalWidth="0" w:num="1">
            <w:col w:w="11240"/>
          </w:cols>
          <w:pgMar w:left="320" w:top="1084" w:right="339" w:bottom="1440" w:gutter="0" w:footer="0" w:header="0"/>
        </w:sectPr>
      </w:pPr>
    </w:p>
    <w:bookmarkStart w:id="310" w:name="page311"/>
    <w:bookmarkEnd w:id="31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binding upon and inure to the benefit of the Borrower, each Agent and each Lender and their respective successors and assigns, except that the Borrower shall not have the right to assign its rights hereunder or any interest herein without the prior written consent of the Lenders except as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82"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Lender Action</w:t>
      </w:r>
      <w:r>
        <w:rPr>
          <w:rFonts w:ascii="Times New Roman" w:cs="Times New Roman" w:eastAsia="Times New Roman" w:hAnsi="Times New Roman"/>
          <w:sz w:val="22"/>
          <w:szCs w:val="22"/>
          <w:color w:val="auto"/>
        </w:rPr>
        <w:t xml:space="preserve">. The Lenders and each other holder of an Obligation under a Loan Document shall act collectively through the Administrative Agent for any right or remedy against any Loan Party under any of the Loan Documents (other than set-off rights) in each case with respect to the Collateral or any other property of any Loan Party. Without limiting the delegation of authority to the Administrative Agent set forth herein, only the Required Lenders (or, if applicable, the Required Revolving Credit Facility Lenders) shall have the authority to direct the Administrative Agent with respect to the exercise of rights and remedies hereunder and under the other Loan Documents (including with respect to alleging the existence or occurrence of, and exercising rights and remedies as a result of, any Default or Event of Default) with respect to (i) the Loans and (ii) any Collateral, and (ii) any other property of any Loan Party. Any such rights and remedies arising under the Loan Documents shall not be exercised other than through the Administrative Agent. Each Lender agrees that it shall not, and hereby waives any right to, take or institute any actions or 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the avoidance of doubt, this sentence may be enforced against any Secured Party by the Required Lenders, any Agent or the Borrower (or any of its Affiliates) and each Secured Party expressly acknowledge that this sentence shall be available as a defense of the Borrower (or any of its Affiliates) in any such action, proceeding or remedial procedure. Each Lender, whether or not a party hereto, will be deemed, by its acceptance of the benefits of the Collateral and of the Guarantees of the Secured Obligations, to have agreed to the foregoing provisions.</w:t>
      </w:r>
    </w:p>
    <w:p>
      <w:pPr>
        <w:spacing w:after="0" w:line="19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Section 10.19 USA PATRIOT Act. Each Lender hereby notifies the Borrower that, pursuant to the requirements of the USA PATRIOT Act and the Beneficial Ownership Regulation,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USA PATRIOT Act and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-640080</wp:posOffset>
            </wp:positionV>
            <wp:extent cx="11607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-215-</w:t>
      </w:r>
    </w:p>
    <w:p>
      <w:pPr>
        <w:sectPr>
          <w:pgSz w:w="11900" w:h="16838" w:orient="portrait"/>
          <w:cols w:equalWidth="0" w:num="1">
            <w:col w:w="11240"/>
          </w:cols>
          <w:pgMar w:left="320" w:top="1084" w:right="339" w:bottom="1440" w:gutter="0" w:footer="0" w:header="0"/>
        </w:sectPr>
      </w:pPr>
    </w:p>
    <w:bookmarkStart w:id="311" w:name="page312"/>
    <w:bookmarkEnd w:id="311"/>
    <w:p>
      <w:pPr>
        <w:ind w:left="660"/>
        <w:spacing w:after="0" w:line="258"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To the fullest extent permitted by applicable Law, all obligations of the Loan Parties hereunder shall be absolute and unconditional irrespective of:</w:t>
      </w:r>
    </w:p>
    <w:p>
      <w:pPr>
        <w:spacing w:after="0" w:line="158" w:lineRule="exact"/>
        <w:rPr>
          <w:sz w:val="20"/>
          <w:szCs w:val="20"/>
          <w:color w:val="auto"/>
        </w:rPr>
      </w:pPr>
    </w:p>
    <w:p>
      <w:pPr>
        <w:ind w:left="1600" w:hanging="296"/>
        <w:spacing w:after="0"/>
        <w:tabs>
          <w:tab w:leader="none" w:pos="1600"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bankruptcy, insolvency, reorganization, arrangement, readjustment, composition, liquidation or the like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Loan Party;</w:t>
      </w:r>
    </w:p>
    <w:p>
      <w:pPr>
        <w:spacing w:after="0" w:line="182" w:lineRule="exact"/>
        <w:rPr>
          <w:rFonts w:ascii="Times New Roman" w:cs="Times New Roman" w:eastAsia="Times New Roman" w:hAnsi="Times New Roman"/>
          <w:sz w:val="21"/>
          <w:szCs w:val="21"/>
          <w:color w:val="auto"/>
        </w:rPr>
      </w:pPr>
    </w:p>
    <w:p>
      <w:pPr>
        <w:ind w:firstLine="1304"/>
        <w:spacing w:after="0" w:line="258" w:lineRule="auto"/>
        <w:tabs>
          <w:tab w:leader="none" w:pos="1615"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Loan Document or any other agreement or instrument relating thereto against any Loan Party;</w:t>
      </w:r>
    </w:p>
    <w:p>
      <w:pPr>
        <w:spacing w:after="0" w:line="144"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17"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time, manner or place of payment of, or in any other term of, all or any of the Secured Obligations, or any other amendment or waiver of or any consent to any departure from any Loan Document or any other agreement or instrument relating thereto;</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602"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release or non-perfection of any other Collateral, or any release or amendment or waiver of or consent to any departure from any guarantee, for all or any of the Secured Obligations;</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59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exercise or non-exercise, or any waiver of any right, remedy, power or privilege under or in respect hereof or any Loan Document; or</w:t>
      </w:r>
    </w:p>
    <w:p>
      <w:pPr>
        <w:spacing w:after="0" w:line="158"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which might otherwise constitute a defense available to, or a discharge of, the Loan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18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u w:val="single" w:color="auto"/>
          <w:color w:val="auto"/>
        </w:rPr>
        <w:t>No Advisory or Fiduciary Responsibility.</w:t>
      </w:r>
      <w:r>
        <w:rPr>
          <w:rFonts w:ascii="Times New Roman" w:cs="Times New Roman" w:eastAsia="Times New Roman" w:hAnsi="Times New Roman"/>
          <w:sz w:val="22"/>
          <w:szCs w:val="22"/>
          <w:color w:val="auto"/>
        </w:rPr>
        <w:t xml:space="preserve"> In connection with all aspects of each transaction contemplated hereby (including in connection with any amendment, waiver or other modification hereof or of any other Loan Document), the Borrower and Holdings acknowledge and agrees, and acknowledges its Affiliates’ understanding, that: (i) (A) the arranging and other services regarding this Agreement provided by the Administrative Agent and the Lead Arrangers are arm’s-length commercial transactions between the Borrower, Holdings and their respective Affiliates, on the one hand, and the Administrative Agent and the Lead Arrangers, on the other hand, (B) each of the Borrower and Holdings have consulted its own legal, accounting, regulatory and tax advisors to the extent it has deemed appropriate, and (C) each of the Borrower and Holdings are capable of evaluating, and understands and accepts, the terms, risks and conditions of the transactions contemplated hereby and by the other Loan Documents; (ii) (A) the Administrative Agent, each Lender and each Lead Arranger is and has been acting solely as a principal and, except as expressly agreed in writing by the relevant parties, has not been, is not, and will not be acting as an advisor, agent or fiduciary for the Borrower, Holdings or any of their respective Affiliates, or any other Person and (B) neither the Administrative Agent, nor any Lender or any Lead Arranger has any obligation to the Borrower, Holdings or any of their respective Affiliates with respect to the transactions contemplated hereby except those obligations expressly set forth herein and in the other Loan Documents; and (iii) the Administrative Agent, each Lender and each Lead Arranger and their respective Affiliates may be engaged in a broad range of transactions that involve interests that differ from those of the Borrower, Holdings and their respective Affiliates, and neither the Administrative Agent nor any Lead Arranger has any obligation to disclose any of such interests to the Borrower, Holdings, or any of their respective Affiliates. To the fullest extent permitted by law, each of the Borrower and Holdings hereby waive and release any claims that it may have against the Administrative Agent, each Lender and the Lead Arrangers with respect to any breach or alleged breach of agency or fiduciary duty in connection with any aspect of any transaction contemplated hereby.</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10.22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xml:space="preserve"> Notwithstanding anything to the contrary in any Loan Document or in any other agreement, arrangement or understanding among any such parties, each party hereto acknowledges that any liability of 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-216-</w:t>
      </w:r>
    </w:p>
    <w:p>
      <w:pPr>
        <w:sectPr>
          <w:pgSz w:w="11900" w:h="16838" w:orient="portrait"/>
          <w:cols w:equalWidth="0" w:num="1">
            <w:col w:w="11240"/>
          </w:cols>
          <w:pgMar w:left="320" w:top="1084" w:right="339" w:bottom="1440" w:gutter="0" w:footer="0" w:header="0"/>
        </w:sectPr>
      </w:pPr>
    </w:p>
    <w:bookmarkStart w:id="312" w:name="page313"/>
    <w:bookmarkEnd w:id="312"/>
    <w:p>
      <w:pPr>
        <w:jc w:val="both"/>
        <w:spacing w:after="0" w:line="244" w:lineRule="auto"/>
        <w:rPr>
          <w:sz w:val="20"/>
          <w:szCs w:val="20"/>
          <w:color w:val="auto"/>
        </w:rPr>
      </w:pPr>
      <w:r>
        <w:rPr>
          <w:rFonts w:ascii="Times New Roman" w:cs="Times New Roman" w:eastAsia="Times New Roman" w:hAnsi="Times New Roman"/>
          <w:sz w:val="22"/>
          <w:szCs w:val="22"/>
          <w:color w:val="auto"/>
        </w:rPr>
        <w:t>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3" w:lineRule="exact"/>
        <w:rPr>
          <w:sz w:val="20"/>
          <w:szCs w:val="20"/>
          <w:color w:val="auto"/>
        </w:rPr>
      </w:pPr>
    </w:p>
    <w:p>
      <w:pPr>
        <w:ind w:left="660" w:right="160" w:hanging="328"/>
        <w:spacing w:after="0" w:line="282" w:lineRule="auto"/>
        <w:tabs>
          <w:tab w:leader="none" w:pos="650" w:val="left"/>
        </w:tabs>
        <w:numPr>
          <w:ilvl w:val="0"/>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19"/>
          <w:szCs w:val="19"/>
          <w:color w:val="auto"/>
        </w:rPr>
      </w:pPr>
    </w:p>
    <w:p>
      <w:pPr>
        <w:ind w:left="660" w:right="140" w:hanging="328"/>
        <w:spacing w:after="0" w:line="234" w:lineRule="auto"/>
        <w:tabs>
          <w:tab w:leader="none" w:pos="648"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77" w:lineRule="exact"/>
        <w:rPr>
          <w:sz w:val="20"/>
          <w:szCs w:val="20"/>
          <w:color w:val="auto"/>
        </w:rPr>
      </w:pPr>
    </w:p>
    <w:p>
      <w:pPr>
        <w:jc w:val="both"/>
        <w:ind w:left="260"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10.23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To the extent that the Loan Documents provide support, through a guarantee or otherwise, for Swap Obligations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10.24 </w:t>
      </w:r>
      <w:r>
        <w:rPr>
          <w:rFonts w:ascii="Times New Roman" w:cs="Times New Roman" w:eastAsia="Times New Roman" w:hAnsi="Times New Roman"/>
          <w:sz w:val="22"/>
          <w:szCs w:val="22"/>
          <w:u w:val="single" w:color="auto"/>
          <w:color w:val="auto"/>
        </w:rPr>
        <w:t>Acknowledgment of Intercreditor Agreements.</w:t>
      </w:r>
      <w:r>
        <w:rPr>
          <w:rFonts w:ascii="Times New Roman" w:cs="Times New Roman" w:eastAsia="Times New Roman" w:hAnsi="Times New Roman"/>
          <w:sz w:val="22"/>
          <w:szCs w:val="22"/>
          <w:color w:val="auto"/>
        </w:rPr>
        <w:t xml:space="preserve"> The Lenders and the other Secured Parties hereby irrevocably authorize and instruct the Administrative Agent and the Collateral Agent to, without any further consent of any Lender or any other Secured Party, enter into (or acknowledge and consent to) or amend, renew, extend, supplement, restate, replace, waive or otherwise modify any Customary Intercreditor Agreement, with the collateral agent or other representatives of the holders of Indebtedness that is to be secured by a Lien on the Collateral that is permitted (including as to priority) under this Agreement and to subject the Liens on the Collateral securing the Secured Obligations to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-217-</w:t>
      </w:r>
    </w:p>
    <w:p>
      <w:pPr>
        <w:sectPr>
          <w:pgSz w:w="11900" w:h="16838" w:orient="portrait"/>
          <w:cols w:equalWidth="0" w:num="1">
            <w:col w:w="11240"/>
          </w:cols>
          <w:pgMar w:left="320" w:top="1084" w:right="339" w:bottom="1440" w:gutter="0" w:footer="0" w:header="0"/>
        </w:sectPr>
      </w:pPr>
    </w:p>
    <w:bookmarkStart w:id="313" w:name="page314"/>
    <w:bookmarkEnd w:id="313"/>
    <w:p>
      <w:pPr>
        <w:jc w:val="both"/>
        <w:spacing w:after="0" w:line="245" w:lineRule="auto"/>
        <w:rPr>
          <w:sz w:val="20"/>
          <w:szCs w:val="20"/>
          <w:color w:val="auto"/>
        </w:rPr>
      </w:pPr>
      <w:r>
        <w:rPr>
          <w:rFonts w:ascii="Times New Roman" w:cs="Times New Roman" w:eastAsia="Times New Roman" w:hAnsi="Times New Roman"/>
          <w:sz w:val="21"/>
          <w:szCs w:val="21"/>
          <w:color w:val="auto"/>
        </w:rPr>
        <w:t>provisions thereof (any of the foregoing, an “</w:t>
      </w:r>
      <w:r>
        <w:rPr>
          <w:rFonts w:ascii="Times New Roman" w:cs="Times New Roman" w:eastAsia="Times New Roman" w:hAnsi="Times New Roman"/>
          <w:sz w:val="21"/>
          <w:szCs w:val="21"/>
          <w:u w:val="single" w:color="auto"/>
          <w:color w:val="auto"/>
        </w:rPr>
        <w:t>Specified Intercreditor Agreement</w:t>
      </w:r>
      <w:r>
        <w:rPr>
          <w:rFonts w:ascii="Times New Roman" w:cs="Times New Roman" w:eastAsia="Times New Roman" w:hAnsi="Times New Roman"/>
          <w:sz w:val="21"/>
          <w:szCs w:val="21"/>
          <w:color w:val="auto"/>
        </w:rPr>
        <w:t>”). The Lenders and the other Secured Parties irrevocably agree that (x) the Collateral Agent may rely exclusively on a certificate of a Responsible Officer of the Borrower as to whether any such other Liens are not prohibited and (y) any Specified Intercreditor Agreement entered into by the Administrative Agent and/or the Collateral Agent shall be binding on the Secured Parties, and each Lender and the other Secured Parties hereby agrees that it will take no actions contrary to the provisions of, if entered into and if applicable, any Specified Intercreditor Agreement. No Lender is nor shall it be deemed to be a fiduciary of any kind for any other Lender or any other Person. The foregoing provisions are intended as an inducement to any provider of any Indebtedness not prohibited by Section 7.03 hereof to extend credit to the Loan Parties and such persons are intended third-party beneficiaries of such provisions.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-218-</w:t>
      </w:r>
    </w:p>
    <w:p>
      <w:pPr>
        <w:sectPr>
          <w:pgSz w:w="11900" w:h="16838" w:orient="portrait"/>
          <w:cols w:equalWidth="0" w:num="1">
            <w:col w:w="11240"/>
          </w:cols>
          <w:pgMar w:left="320" w:top="1084"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caused this Agreement to be duly executed as of the date first above written.</w:t>
      </w:r>
    </w:p>
    <w:p>
      <w:pPr>
        <w:sectPr>
          <w:pgSz w:w="11900" w:h="16838" w:orient="portrait"/>
          <w:cols w:equalWidth="0" w:num="1">
            <w:col w:w="11180"/>
          </w:cols>
          <w:pgMar w:left="320" w:top="1080" w:right="399" w:bottom="1440" w:gutter="0" w:footer="0" w:header="0"/>
        </w:sectPr>
      </w:pPr>
    </w:p>
    <w:p>
      <w:pPr>
        <w:spacing w:after="0" w:line="1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 xml:space="preserve">ARRAY </w:t>
      </w:r>
      <w:r>
        <w:rPr>
          <w:rFonts w:ascii="Times New Roman" w:cs="Times New Roman" w:eastAsia="Times New Roman" w:hAnsi="Times New Roman"/>
          <w:sz w:val="21"/>
          <w:szCs w:val="21"/>
          <w:b w:val="1"/>
          <w:bCs w:val="1"/>
          <w:color w:val="FF0000"/>
          <w:strike w:val="1"/>
        </w:rPr>
        <w:t>TECHNOLOGIES</w:t>
      </w:r>
      <w:r>
        <w:rPr>
          <w:rFonts w:ascii="Times New Roman" w:cs="Times New Roman" w:eastAsia="Times New Roman" w:hAnsi="Times New Roman"/>
          <w:sz w:val="21"/>
          <w:szCs w:val="21"/>
          <w:b w:val="1"/>
          <w:bCs w:val="1"/>
          <w:u w:val="single" w:color="auto"/>
          <w:color w:val="0000FF"/>
        </w:rPr>
        <w:t>TECH</w:t>
      </w:r>
      <w:r>
        <w:rPr>
          <w:rFonts w:ascii="Times New Roman" w:cs="Times New Roman" w:eastAsia="Times New Roman" w:hAnsi="Times New Roman"/>
          <w:sz w:val="21"/>
          <w:szCs w:val="21"/>
          <w:b w:val="1"/>
          <w:bCs w:val="1"/>
          <w:color w:val="auto"/>
        </w:rPr>
        <w:t>, INC.</w:t>
      </w:r>
      <w:r>
        <w:rPr>
          <w:rFonts w:ascii="Times New Roman" w:cs="Times New Roman" w:eastAsia="Times New Roman" w:hAnsi="Times New Roman"/>
          <w:sz w:val="21"/>
          <w:szCs w:val="21"/>
          <w:color w:val="auto"/>
        </w:rPr>
        <w:t>, as Borrower</w:t>
      </w:r>
    </w:p>
    <w:p>
      <w:pPr>
        <w:spacing w:after="0" w:line="1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ATI INVESTMENT SUB, INC.</w:t>
      </w:r>
    </w:p>
    <w:p>
      <w:pPr>
        <w:spacing w:after="0" w:line="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180"/>
          </w:cols>
          <w:pgMar w:left="320" w:top="1080" w:right="399" w:bottom="1440" w:gutter="0" w:footer="0" w:header="0"/>
          <w:type w:val="continuous"/>
        </w:sectPr>
      </w:pPr>
    </w:p>
    <w:bookmarkStart w:id="315" w:name="page316"/>
    <w:bookmarkEnd w:id="315"/>
    <w:p>
      <w:pPr>
        <w:jc w:val="right"/>
        <w:spacing w:after="0"/>
        <w:rPr>
          <w:sz w:val="20"/>
          <w:szCs w:val="20"/>
          <w:color w:val="auto"/>
        </w:rPr>
      </w:pPr>
      <w:r>
        <w:rPr>
          <w:rFonts w:ascii="Times New Roman" w:cs="Times New Roman" w:eastAsia="Times New Roman" w:hAnsi="Times New Roman"/>
          <w:sz w:val="22"/>
          <w:szCs w:val="22"/>
          <w:b w:val="1"/>
          <w:bCs w:val="1"/>
          <w:color w:val="auto"/>
        </w:rPr>
        <w:t>GOLDMAN SACHS BANK USA</w:t>
      </w:r>
      <w:r>
        <w:rPr>
          <w:rFonts w:ascii="Times New Roman" w:cs="Times New Roman" w:eastAsia="Times New Roman" w:hAnsi="Times New Roman"/>
          <w:sz w:val="22"/>
          <w:szCs w:val="22"/>
          <w:color w:val="auto"/>
        </w:rPr>
        <w:t>, as Administrative Agent, Collateral Agent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Issuer</w:t>
      </w:r>
    </w:p>
    <w:p>
      <w:pPr>
        <w:spacing w:after="0" w:line="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 as Lender</w:t>
      </w:r>
    </w:p>
    <w:p>
      <w:pPr>
        <w:spacing w:after="0" w:line="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120"/>
          </w:cols>
          <w:pgMar w:left="320" w:top="1080" w:right="45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66" w:lineRule="exact"/>
        <w:rPr>
          <w:sz w:val="20"/>
          <w:szCs w:val="20"/>
          <w:color w:val="auto"/>
        </w:rPr>
      </w:pPr>
    </w:p>
    <w:p>
      <w:pPr>
        <w:ind w:left="640" w:hanging="308"/>
        <w:spacing w:after="0"/>
        <w:tabs>
          <w:tab w:leader="none" w:pos="640" w:val="left"/>
        </w:tabs>
        <w:numPr>
          <w:ilvl w:val="0"/>
          <w:numId w:val="39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2" w:lineRule="exact"/>
        <w:rPr>
          <w:rFonts w:ascii="Arial" w:cs="Arial" w:eastAsia="Arial" w:hAnsi="Arial"/>
          <w:sz w:val="20"/>
          <w:szCs w:val="20"/>
          <w:color w:val="auto"/>
        </w:rPr>
      </w:pPr>
    </w:p>
    <w:p>
      <w:pPr>
        <w:jc w:val="both"/>
        <w:ind w:left="660" w:hanging="328"/>
        <w:spacing w:after="0" w:line="268"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ectPr>
          <w:pgSz w:w="11900" w:h="16838" w:orient="portrait"/>
          <w:cols w:equalWidth="0" w:num="1">
            <w:col w:w="11240"/>
          </w:cols>
          <w:pgMar w:left="320" w:top="769" w:right="339" w:bottom="1440" w:gutter="0" w:footer="0" w:header="0"/>
        </w:sectPr>
      </w:pPr>
    </w:p>
    <w:bookmarkStart w:id="317" w:name="page318"/>
    <w:bookmarkEnd w:id="317"/>
    <w:p>
      <w:pPr>
        <w:ind w:left="994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252" w:lineRule="exact"/>
        <w:rPr>
          <w:sz w:val="20"/>
          <w:szCs w:val="20"/>
          <w:color w:val="auto"/>
        </w:rPr>
      </w:pPr>
    </w:p>
    <w:p>
      <w:pPr>
        <w:ind w:left="640" w:hanging="308"/>
        <w:spacing w:after="0"/>
        <w:tabs>
          <w:tab w:leader="none" w:pos="6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8" w:lineRule="auto"/>
        <w:tabs>
          <w:tab w:leader="none" w:pos="129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87" w:lineRule="auto"/>
        <w:tabs>
          <w:tab w:leader="none" w:pos="1298"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ectPr>
          <w:pgSz w:w="11900" w:h="16838" w:orient="portrait"/>
          <w:cols w:equalWidth="0" w:num="1">
            <w:col w:w="11240"/>
          </w:cols>
          <w:pgMar w:left="320" w:top="769"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this Quarterly Report of Array Technologies, Inc. (the </w:t>
      </w:r>
      <w:r>
        <w:rPr>
          <w:rFonts w:ascii="Times New Roman" w:cs="Times New Roman" w:eastAsia="Times New Roman" w:hAnsi="Times New Roman"/>
          <w:sz w:val="21"/>
          <w:szCs w:val="21"/>
          <w:color w:val="auto"/>
        </w:rPr>
        <w:t>“</w:t>
      </w:r>
      <w:r>
        <w:rPr>
          <w:rFonts w:ascii="Arial" w:cs="Arial" w:eastAsia="Arial" w:hAnsi="Arial"/>
          <w:sz w:val="18"/>
          <w:szCs w:val="18"/>
          <w:color w:val="auto"/>
        </w:rPr>
        <w:t>Company</w:t>
      </w:r>
      <w:r>
        <w:rPr>
          <w:rFonts w:ascii="Times New Roman" w:cs="Times New Roman" w:eastAsia="Times New Roman" w:hAnsi="Times New Roman"/>
          <w:sz w:val="21"/>
          <w:szCs w:val="21"/>
          <w:color w:val="auto"/>
        </w:rPr>
        <w:t>”</w:t>
      </w:r>
      <w:r>
        <w:rPr>
          <w:rFonts w:ascii="Arial" w:cs="Arial" w:eastAsia="Arial" w:hAnsi="Arial"/>
          <w:sz w:val="18"/>
          <w:szCs w:val="18"/>
          <w:color w:val="auto"/>
        </w:rPr>
        <w:t>) filed on Form 10-Q for the quarter ended March 31,</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2025, as filed with the Securities and Exchange Commission on the date hereof (the </w:t>
      </w:r>
      <w:r>
        <w:rPr>
          <w:rFonts w:ascii="Times New Roman" w:cs="Times New Roman" w:eastAsia="Times New Roman" w:hAnsi="Times New Roman"/>
          <w:sz w:val="21"/>
          <w:szCs w:val="21"/>
          <w:color w:val="auto"/>
        </w:rPr>
        <w:t>“</w:t>
      </w:r>
      <w:r>
        <w:rPr>
          <w:rFonts w:ascii="Arial" w:cs="Arial" w:eastAsia="Arial" w:hAnsi="Arial"/>
          <w:sz w:val="18"/>
          <w:szCs w:val="18"/>
          <w:color w:val="auto"/>
        </w:rPr>
        <w:t>Report</w:t>
      </w:r>
      <w:r>
        <w:rPr>
          <w:rFonts w:ascii="Times New Roman" w:cs="Times New Roman" w:eastAsia="Times New Roman" w:hAnsi="Times New Roman"/>
          <w:sz w:val="21"/>
          <w:szCs w:val="21"/>
          <w:color w:val="auto"/>
        </w:rPr>
        <w:t>”</w:t>
      </w:r>
      <w:r>
        <w:rPr>
          <w:rFonts w:ascii="Arial" w:cs="Arial" w:eastAsia="Arial" w:hAnsi="Arial"/>
          <w:sz w:val="18"/>
          <w:szCs w:val="18"/>
          <w:color w:val="auto"/>
        </w:rPr>
        <w:t>), I, Kevin G. Hostetler, Chief Executive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640" w:hanging="308"/>
        <w:spacing w:after="0"/>
        <w:tabs>
          <w:tab w:leader="none" w:pos="6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G. Hostetler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ectPr>
          <w:pgSz w:w="11900" w:h="16838" w:orient="portrait"/>
          <w:cols w:equalWidth="0" w:num="1">
            <w:col w:w="11240"/>
          </w:cols>
          <w:pgMar w:left="320" w:top="769" w:right="3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this Quarterly Report of Array Technologies, Inc. (the </w:t>
      </w:r>
      <w:r>
        <w:rPr>
          <w:rFonts w:ascii="Times New Roman" w:cs="Times New Roman" w:eastAsia="Times New Roman" w:hAnsi="Times New Roman"/>
          <w:sz w:val="21"/>
          <w:szCs w:val="21"/>
          <w:color w:val="auto"/>
        </w:rPr>
        <w:t>“</w:t>
      </w:r>
      <w:r>
        <w:rPr>
          <w:rFonts w:ascii="Arial" w:cs="Arial" w:eastAsia="Arial" w:hAnsi="Arial"/>
          <w:sz w:val="18"/>
          <w:szCs w:val="18"/>
          <w:color w:val="auto"/>
        </w:rPr>
        <w:t>Company</w:t>
      </w:r>
      <w:r>
        <w:rPr>
          <w:rFonts w:ascii="Times New Roman" w:cs="Times New Roman" w:eastAsia="Times New Roman" w:hAnsi="Times New Roman"/>
          <w:sz w:val="21"/>
          <w:szCs w:val="21"/>
          <w:color w:val="auto"/>
        </w:rPr>
        <w:t>”</w:t>
      </w:r>
      <w:r>
        <w:rPr>
          <w:rFonts w:ascii="Arial" w:cs="Arial" w:eastAsia="Arial" w:hAnsi="Arial"/>
          <w:sz w:val="18"/>
          <w:szCs w:val="18"/>
          <w:color w:val="auto"/>
        </w:rPr>
        <w:t>) filed on Form 10-Q for the quarter ended March 31,</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2025, as filed with the Securities and Exchange Commission on the date hereof (the </w:t>
      </w:r>
      <w:r>
        <w:rPr>
          <w:rFonts w:ascii="Times New Roman" w:cs="Times New Roman" w:eastAsia="Times New Roman" w:hAnsi="Times New Roman"/>
          <w:sz w:val="21"/>
          <w:szCs w:val="21"/>
          <w:color w:val="auto"/>
        </w:rPr>
        <w:t>“</w:t>
      </w:r>
      <w:r>
        <w:rPr>
          <w:rFonts w:ascii="Arial" w:cs="Arial" w:eastAsia="Arial" w:hAnsi="Arial"/>
          <w:sz w:val="18"/>
          <w:szCs w:val="18"/>
          <w:color w:val="auto"/>
        </w:rPr>
        <w:t>Report</w:t>
      </w:r>
      <w:r>
        <w:rPr>
          <w:rFonts w:ascii="Times New Roman" w:cs="Times New Roman" w:eastAsia="Times New Roman" w:hAnsi="Times New Roman"/>
          <w:sz w:val="21"/>
          <w:szCs w:val="21"/>
          <w:color w:val="auto"/>
        </w:rPr>
        <w:t>”</w:t>
      </w:r>
      <w:r>
        <w:rPr>
          <w:rFonts w:ascii="Arial" w:cs="Arial" w:eastAsia="Arial" w:hAnsi="Arial"/>
          <w:sz w:val="18"/>
          <w:szCs w:val="18"/>
          <w:color w:val="auto"/>
        </w:rPr>
        <w:t>), I, H. Keith Jennings, Chief Financial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640" w:hanging="308"/>
        <w:spacing w:after="0"/>
        <w:tabs>
          <w:tab w:leader="none" w:pos="6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056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 Keith Jennings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793735"/>
    <w:multiLevelType w:val="hybridMultilevel"/>
    <w:lvl w:ilvl="0">
      <w:lvlJc w:val="left"/>
      <w:lvlText w:val="☒"/>
      <w:numFmt w:val="bullet"/>
      <w:start w:val="1"/>
    </w:lvl>
  </w:abstractNum>
  <w:abstractNum w:abstractNumId="1">
    <w:nsid w:val="4A10B4E8"/>
    <w:multiLevelType w:val="hybridMultilevel"/>
    <w:lvl w:ilvl="0">
      <w:lvlJc w:val="left"/>
      <w:lvlText w:val="☐"/>
      <w:numFmt w:val="bullet"/>
      <w:start w:val="1"/>
    </w:lvl>
  </w:abstractNum>
  <w:abstractNum w:abstractNumId="2">
    <w:nsid w:val="43D3BCD4"/>
    <w:multiLevelType w:val="hybridMultilevel"/>
    <w:lvl w:ilvl="0">
      <w:lvlJc w:val="left"/>
      <w:lvlText w:val="☒"/>
      <w:numFmt w:val="bullet"/>
      <w:start w:val="1"/>
    </w:lvl>
  </w:abstractNum>
  <w:abstractNum w:abstractNumId="3">
    <w:nsid w:val="4C2A7166"/>
    <w:multiLevelType w:val="hybridMultilevel"/>
    <w:lvl w:ilvl="0">
      <w:lvlJc w:val="left"/>
      <w:lvlText w:val="(%1)"/>
      <w:numFmt w:val="decimal"/>
      <w:start w:val="1"/>
    </w:lvl>
  </w:abstractNum>
  <w:abstractNum w:abstractNumId="4">
    <w:nsid w:val="2E534A82"/>
    <w:multiLevelType w:val="hybridMultilevel"/>
    <w:lvl w:ilvl="0">
      <w:lvlJc w:val="left"/>
      <w:lvlText w:val="%1."/>
      <w:numFmt w:val="decimal"/>
      <w:start w:val="1"/>
    </w:lvl>
  </w:abstractNum>
  <w:abstractNum w:abstractNumId="5">
    <w:nsid w:val="26F2D364"/>
    <w:multiLevelType w:val="hybridMultilevel"/>
    <w:lvl w:ilvl="0">
      <w:lvlJc w:val="left"/>
      <w:lvlText w:val="%1."/>
      <w:numFmt w:val="decimal"/>
      <w:start w:val="2"/>
    </w:lvl>
  </w:abstractNum>
  <w:abstractNum w:abstractNumId="6">
    <w:nsid w:val="71C1AF98"/>
    <w:multiLevelType w:val="hybridMultilevel"/>
    <w:lvl w:ilvl="0">
      <w:lvlJc w:val="left"/>
      <w:lvlText w:val="%1."/>
      <w:numFmt w:val="decimal"/>
      <w:start w:val="4"/>
    </w:lvl>
  </w:abstractNum>
  <w:abstractNum w:abstractNumId="7">
    <w:nsid w:val="3D00B9D9"/>
    <w:multiLevelType w:val="hybridMultilevel"/>
    <w:lvl w:ilvl="0">
      <w:lvlJc w:val="left"/>
      <w:lvlText w:val="%1."/>
      <w:numFmt w:val="decimal"/>
      <w:start w:val="5"/>
    </w:lvl>
  </w:abstractNum>
  <w:abstractNum w:abstractNumId="8">
    <w:nsid w:val="15BCABA8"/>
    <w:multiLevelType w:val="hybridMultilevel"/>
    <w:lvl w:ilvl="0">
      <w:lvlJc w:val="left"/>
      <w:lvlText w:val="(%1)"/>
      <w:numFmt w:val="decimal"/>
      <w:start w:val="1"/>
    </w:lvl>
  </w:abstractNum>
  <w:abstractNum w:abstractNumId="9">
    <w:nsid w:val="4E0B9A87"/>
    <w:multiLevelType w:val="hybridMultilevel"/>
    <w:lvl w:ilvl="0">
      <w:lvlJc w:val="left"/>
      <w:lvlText w:val="%1."/>
      <w:numFmt w:val="decimal"/>
      <w:start w:val="6"/>
    </w:lvl>
  </w:abstractNum>
  <w:abstractNum w:abstractNumId="10">
    <w:nsid w:val="434BAE75"/>
    <w:multiLevelType w:val="hybridMultilevel"/>
    <w:lvl w:ilvl="0">
      <w:lvlJc w:val="left"/>
      <w:lvlText w:val="%1."/>
      <w:numFmt w:val="decimal"/>
      <w:start w:val="7"/>
    </w:lvl>
  </w:abstractNum>
  <w:abstractNum w:abstractNumId="11">
    <w:nsid w:val="4F38F265"/>
    <w:multiLevelType w:val="hybridMultilevel"/>
    <w:lvl w:ilvl="0">
      <w:lvlJc w:val="left"/>
      <w:lvlText w:val="%1."/>
      <w:numFmt w:val="decimal"/>
      <w:start w:val="8"/>
    </w:lvl>
  </w:abstractNum>
  <w:abstractNum w:abstractNumId="12">
    <w:nsid w:val="4C502870"/>
    <w:multiLevelType w:val="hybridMultilevel"/>
    <w:lvl w:ilvl="0">
      <w:lvlJc w:val="left"/>
      <w:lvlText w:val="%1."/>
      <w:numFmt w:val="decimal"/>
      <w:start w:val="9"/>
    </w:lvl>
  </w:abstractNum>
  <w:abstractNum w:abstractNumId="13">
    <w:nsid w:val="1DE8725A"/>
    <w:multiLevelType w:val="hybridMultilevel"/>
    <w:lvl w:ilvl="0">
      <w:lvlJc w:val="left"/>
      <w:lvlText w:val="%1."/>
      <w:numFmt w:val="decimal"/>
      <w:start w:val="10"/>
    </w:lvl>
  </w:abstractNum>
  <w:abstractNum w:abstractNumId="14">
    <w:nsid w:val="6A37288A"/>
    <w:multiLevelType w:val="hybridMultilevel"/>
    <w:lvl w:ilvl="0">
      <w:lvlJc w:val="left"/>
      <w:lvlText w:val="%1."/>
      <w:numFmt w:val="decimal"/>
      <w:start w:val="11"/>
    </w:lvl>
  </w:abstractNum>
  <w:abstractNum w:abstractNumId="15">
    <w:nsid w:val="8F8B73F"/>
    <w:multiLevelType w:val="hybridMultilevel"/>
    <w:lvl w:ilvl="0">
      <w:lvlJc w:val="left"/>
      <w:lvlText w:val="%1."/>
      <w:numFmt w:val="decimal"/>
      <w:start w:val="12"/>
    </w:lvl>
  </w:abstractNum>
  <w:abstractNum w:abstractNumId="16">
    <w:nsid w:val="CA6B462"/>
    <w:multiLevelType w:val="hybridMultilevel"/>
    <w:lvl w:ilvl="0">
      <w:lvlJc w:val="left"/>
      <w:lvlText w:val="%1."/>
      <w:numFmt w:val="decimal"/>
      <w:start w:val="13"/>
    </w:lvl>
  </w:abstractNum>
  <w:abstractNum w:abstractNumId="17">
    <w:nsid w:val="763CB680"/>
    <w:multiLevelType w:val="hybridMultilevel"/>
    <w:lvl w:ilvl="0">
      <w:lvlJc w:val="left"/>
      <w:lvlText w:val="(%1)"/>
      <w:numFmt w:val="decimal"/>
      <w:start w:val="1"/>
    </w:lvl>
  </w:abstractNum>
  <w:abstractNum w:abstractNumId="18">
    <w:nsid w:val="15B71329"/>
    <w:multiLevelType w:val="hybridMultilevel"/>
    <w:lvl w:ilvl="0">
      <w:lvlJc w:val="left"/>
      <w:lvlText w:val="(%1)"/>
      <w:numFmt w:val="decimal"/>
      <w:start w:val="1"/>
    </w:lvl>
  </w:abstractNum>
  <w:abstractNum w:abstractNumId="19">
    <w:nsid w:val="3DA97044"/>
    <w:multiLevelType w:val="hybridMultilevel"/>
    <w:lvl w:ilvl="0">
      <w:lvlJc w:val="left"/>
      <w:lvlText w:val="•"/>
      <w:numFmt w:val="bullet"/>
      <w:start w:val="1"/>
    </w:lvl>
  </w:abstractNum>
  <w:abstractNum w:abstractNumId="20">
    <w:nsid w:val="1CDCE2DE"/>
    <w:multiLevelType w:val="hybridMultilevel"/>
    <w:lvl w:ilvl="0">
      <w:lvlJc w:val="left"/>
      <w:lvlText w:val="•"/>
      <w:numFmt w:val="bullet"/>
      <w:start w:val="1"/>
    </w:lvl>
  </w:abstractNum>
  <w:abstractNum w:abstractNumId="21">
    <w:nsid w:val="69D3947C"/>
    <w:multiLevelType w:val="hybridMultilevel"/>
    <w:lvl w:ilvl="0">
      <w:lvlJc w:val="left"/>
      <w:lvlText w:val="*"/>
      <w:numFmt w:val="bullet"/>
      <w:start w:val="1"/>
    </w:lvl>
    <w:lvl w:ilvl="1">
      <w:lvlJc w:val="left"/>
      <w:lvlText w:val="%2"/>
      <w:numFmt w:val="decimal"/>
      <w:start w:val="104"/>
    </w:lvl>
  </w:abstractNum>
  <w:abstractNum w:abstractNumId="22">
    <w:nsid w:val="2539DFA5"/>
    <w:multiLevelType w:val="hybridMultilevel"/>
    <w:lvl w:ilvl="0">
      <w:lvlJc w:val="left"/>
      <w:lvlText w:val="**"/>
      <w:numFmt w:val="bullet"/>
      <w:start w:val="1"/>
    </w:lvl>
    <w:lvl w:ilvl="1">
      <w:lvlJc w:val="left"/>
      <w:lvlText w:val="%2"/>
      <w:numFmt w:val="decimal"/>
      <w:start w:val="1"/>
    </w:lvl>
  </w:abstractNum>
  <w:abstractNum w:abstractNumId="23">
    <w:nsid w:val="2DB88089"/>
    <w:multiLevelType w:val="hybridMultilevel"/>
    <w:lvl w:ilvl="0">
      <w:lvlJc w:val="left"/>
      <w:lvlText w:val="%1."/>
      <w:numFmt w:val="decimal"/>
      <w:start w:val="1"/>
    </w:lvl>
  </w:abstractNum>
  <w:abstractNum w:abstractNumId="24">
    <w:nsid w:val="706B674E"/>
    <w:multiLevelType w:val="hybridMultilevel"/>
    <w:lvl w:ilvl="0">
      <w:lvlJc w:val="left"/>
      <w:lvlText w:val="%1."/>
      <w:numFmt w:val="decimal"/>
      <w:start w:val="2"/>
    </w:lvl>
  </w:abstractNum>
  <w:abstractNum w:abstractNumId="25">
    <w:nsid w:val="2C106A57"/>
    <w:multiLevelType w:val="hybridMultilevel"/>
    <w:lvl w:ilvl="0">
      <w:lvlJc w:val="left"/>
      <w:lvlText w:val="%1."/>
      <w:numFmt w:val="decimal"/>
      <w:start w:val="3"/>
    </w:lvl>
  </w:abstractNum>
  <w:abstractNum w:abstractNumId="26">
    <w:nsid w:val="684EED59"/>
    <w:multiLevelType w:val="hybridMultilevel"/>
    <w:lvl w:ilvl="0">
      <w:lvlJc w:val="left"/>
      <w:lvlText w:val="I"/>
      <w:numFmt w:val="bullet"/>
      <w:start w:val="1"/>
    </w:lvl>
  </w:abstractNum>
  <w:abstractNum w:abstractNumId="27">
    <w:nsid w:val="545EE5D3"/>
    <w:multiLevelType w:val="hybridMultilevel"/>
    <w:lvl w:ilvl="0">
      <w:lvlJc w:val="left"/>
      <w:lvlText w:val="%1"/>
      <w:numFmt w:val="upperLetter"/>
      <w:start w:val="35"/>
    </w:lvl>
  </w:abstractNum>
  <w:abstractNum w:abstractNumId="28">
    <w:nsid w:val="4A66051"/>
    <w:multiLevelType w:val="hybridMultilevel"/>
    <w:lvl w:ilvl="0">
      <w:lvlJc w:val="left"/>
      <w:lvlText w:val="%1."/>
      <w:numFmt w:val="decimal"/>
      <w:start w:val="4"/>
    </w:lvl>
  </w:abstractNum>
  <w:abstractNum w:abstractNumId="29">
    <w:nsid w:val="20F4BDAD"/>
    <w:multiLevelType w:val="hybridMultilevel"/>
    <w:lvl w:ilvl="0">
      <w:lvlJc w:val="left"/>
      <w:lvlText w:val="i"/>
      <w:numFmt w:val="bullet"/>
      <w:start w:val="1"/>
    </w:lvl>
  </w:abstractNum>
  <w:abstractNum w:abstractNumId="30">
    <w:nsid w:val="639DEFAC"/>
    <w:multiLevelType w:val="hybridMultilevel"/>
    <w:lvl w:ilvl="0">
      <w:lvlJc w:val="left"/>
      <w:lvlText w:val="%1"/>
      <w:numFmt w:val="decimal"/>
      <w:start w:val="1"/>
    </w:lvl>
    <w:lvl w:ilvl="1">
      <w:lvlJc w:val="left"/>
      <w:lvlText w:val="%2"/>
      <w:numFmt w:val="lowerRoman"/>
      <w:start w:val="2"/>
    </w:lvl>
  </w:abstractNum>
  <w:abstractNum w:abstractNumId="31">
    <w:nsid w:val="501F9786"/>
    <w:multiLevelType w:val="hybridMultilevel"/>
    <w:lvl w:ilvl="0">
      <w:lvlJc w:val="left"/>
      <w:lvlText w:val="%1."/>
      <w:numFmt w:val="decimal"/>
      <w:start w:val="5"/>
    </w:lvl>
    <w:lvl w:ilvl="1">
      <w:lvlJc w:val="left"/>
      <w:lvlText w:val="%2"/>
      <w:numFmt w:val="lowerRoman"/>
      <w:start w:val="1"/>
    </w:lvl>
  </w:abstractNum>
  <w:abstractNum w:abstractNumId="32">
    <w:nsid w:val="6B057295"/>
    <w:multiLevelType w:val="hybridMultilevel"/>
    <w:lvl w:ilvl="0">
      <w:lvlJc w:val="left"/>
      <w:lvlText w:val="%1."/>
      <w:numFmt w:val="lowerRoman"/>
      <w:start w:val="1"/>
    </w:lvl>
  </w:abstractNum>
  <w:abstractNum w:abstractNumId="33">
    <w:nsid w:val="2771AC80"/>
    <w:multiLevelType w:val="hybridMultilevel"/>
    <w:lvl w:ilvl="0">
      <w:lvlJc w:val="left"/>
      <w:lvlText w:val="%1."/>
      <w:numFmt w:val="decimal"/>
      <w:start w:val="6"/>
    </w:lvl>
  </w:abstractNum>
  <w:abstractNum w:abstractNumId="34">
    <w:nsid w:val="1C4A08EC"/>
    <w:multiLevelType w:val="hybridMultilevel"/>
    <w:lvl w:ilvl="0">
      <w:lvlJc w:val="left"/>
      <w:lvlText w:val="%1."/>
      <w:numFmt w:val="decimal"/>
      <w:start w:val="7"/>
    </w:lvl>
  </w:abstractNum>
  <w:abstractNum w:abstractNumId="35">
    <w:nsid w:val="1958BD17"/>
    <w:multiLevelType w:val="hybridMultilevel"/>
    <w:lvl w:ilvl="0">
      <w:lvlJc w:val="left"/>
      <w:lvlText w:val="%1."/>
      <w:numFmt w:val="decimal"/>
      <w:start w:val="8"/>
    </w:lvl>
  </w:abstractNum>
  <w:abstractNum w:abstractNumId="36">
    <w:nsid w:val="4E647FE4"/>
    <w:multiLevelType w:val="hybridMultilevel"/>
    <w:lvl w:ilvl="0">
      <w:lvlJc w:val="left"/>
      <w:lvlText w:val="%1."/>
      <w:numFmt w:val="decimal"/>
      <w:start w:val="9"/>
    </w:lvl>
  </w:abstractNum>
  <w:abstractNum w:abstractNumId="37">
    <w:nsid w:val="E0BB885"/>
    <w:multiLevelType w:val="hybridMultilevel"/>
    <w:lvl w:ilvl="0">
      <w:lvlJc w:val="left"/>
      <w:lvlText w:val="%1."/>
      <w:numFmt w:val="decimal"/>
      <w:start w:val="10"/>
    </w:lvl>
  </w:abstractNum>
  <w:abstractNum w:abstractNumId="38">
    <w:nsid w:val="565976F1"/>
    <w:multiLevelType w:val="hybridMultilevel"/>
    <w:lvl w:ilvl="0">
      <w:lvlJc w:val="left"/>
      <w:lvlText w:val="%1."/>
      <w:numFmt w:val="decimal"/>
      <w:start w:val="11"/>
    </w:lvl>
  </w:abstractNum>
  <w:abstractNum w:abstractNumId="39">
    <w:nsid w:val="64212B8C"/>
    <w:multiLevelType w:val="hybridMultilevel"/>
    <w:lvl w:ilvl="0">
      <w:lvlJc w:val="left"/>
      <w:lvlText w:val="%1."/>
      <w:numFmt w:val="decimal"/>
      <w:start w:val="12"/>
    </w:lvl>
  </w:abstractNum>
  <w:abstractNum w:abstractNumId="40">
    <w:nsid w:val="5C17530C"/>
    <w:multiLevelType w:val="hybridMultilevel"/>
    <w:lvl w:ilvl="0">
      <w:lvlJc w:val="left"/>
      <w:lvlText w:val="%1."/>
      <w:numFmt w:val="decimal"/>
      <w:start w:val="13"/>
    </w:lvl>
  </w:abstractNum>
  <w:abstractNum w:abstractNumId="41">
    <w:nsid w:val="19A52566"/>
    <w:multiLevelType w:val="hybridMultilevel"/>
    <w:lvl w:ilvl="0">
      <w:lvlJc w:val="left"/>
      <w:lvlText w:val="%1."/>
      <w:numFmt w:val="decimal"/>
      <w:start w:val="14"/>
    </w:lvl>
  </w:abstractNum>
  <w:abstractNum w:abstractNumId="42">
    <w:nsid w:val="335A1DF1"/>
    <w:multiLevelType w:val="hybridMultilevel"/>
    <w:lvl w:ilvl="0">
      <w:lvlJc w:val="left"/>
      <w:lvlText w:val="%1."/>
      <w:numFmt w:val="decimal"/>
      <w:start w:val="15"/>
    </w:lvl>
  </w:abstractNum>
  <w:abstractNum w:abstractNumId="43">
    <w:nsid w:val="28677B7C"/>
    <w:multiLevelType w:val="hybridMultilevel"/>
    <w:lvl w:ilvl="0">
      <w:lvlJc w:val="left"/>
      <w:lvlText w:val="%1."/>
      <w:numFmt w:val="decimal"/>
      <w:start w:val="16"/>
    </w:lvl>
  </w:abstractNum>
  <w:abstractNum w:abstractNumId="44">
    <w:nsid w:val="378D97C0"/>
    <w:multiLevelType w:val="hybridMultilevel"/>
    <w:lvl w:ilvl="0">
      <w:lvlJc w:val="left"/>
      <w:lvlText w:val="%1."/>
      <w:numFmt w:val="decimal"/>
      <w:start w:val="1"/>
    </w:lvl>
    <w:lvl w:ilvl="1">
      <w:lvlJc w:val="left"/>
      <w:lvlText w:val="%2."/>
      <w:numFmt w:val="lowerLetter"/>
      <w:start w:val="1"/>
    </w:lvl>
  </w:abstractNum>
  <w:abstractNum w:abstractNumId="45">
    <w:nsid w:val="1D91467C"/>
    <w:multiLevelType w:val="hybridMultilevel"/>
    <w:lvl w:ilvl="0">
      <w:lvlJc w:val="left"/>
      <w:lvlText w:val="%1"/>
      <w:numFmt w:val="decimal"/>
      <w:start w:val="1"/>
    </w:lvl>
    <w:lvl w:ilvl="1">
      <w:lvlJc w:val="left"/>
      <w:lvlText w:val="%2."/>
      <w:numFmt w:val="lowerLetter"/>
      <w:start w:val="6"/>
    </w:lvl>
  </w:abstractNum>
  <w:abstractNum w:abstractNumId="46">
    <w:nsid w:val="316032BB"/>
    <w:multiLevelType w:val="hybridMultilevel"/>
    <w:lvl w:ilvl="0">
      <w:lvlJc w:val="left"/>
      <w:lvlText w:val="%1."/>
      <w:numFmt w:val="decimal"/>
      <w:start w:val="2"/>
    </w:lvl>
    <w:lvl w:ilvl="1">
      <w:lvlJc w:val="left"/>
      <w:lvlText w:val="%2"/>
      <w:numFmt w:val="lowerLetter"/>
      <w:start w:val="1"/>
    </w:lvl>
  </w:abstractNum>
  <w:abstractNum w:abstractNumId="47">
    <w:nsid w:val="44344C22"/>
    <w:multiLevelType w:val="hybridMultilevel"/>
    <w:lvl w:ilvl="0">
      <w:lvlJc w:val="left"/>
      <w:lvlText w:val="%1."/>
      <w:numFmt w:val="decimal"/>
      <w:start w:val="6"/>
    </w:lvl>
  </w:abstractNum>
  <w:abstractNum w:abstractNumId="48">
    <w:nsid w:val="13CDFCFC"/>
    <w:multiLevelType w:val="hybridMultilevel"/>
    <w:lvl w:ilvl="0">
      <w:lvlJc w:val="left"/>
      <w:lvlText w:val="%1."/>
      <w:numFmt w:val="decimal"/>
      <w:start w:val="9"/>
    </w:lvl>
  </w:abstractNum>
  <w:abstractNum w:abstractNumId="49">
    <w:nsid w:val="471745E4"/>
    <w:multiLevelType w:val="hybridMultilevel"/>
    <w:lvl w:ilvl="0">
      <w:lvlJc w:val="left"/>
      <w:lvlText w:val="%1."/>
      <w:numFmt w:val="decimal"/>
      <w:start w:val="1"/>
    </w:lvl>
  </w:abstractNum>
  <w:abstractNum w:abstractNumId="50">
    <w:nsid w:val="1DDBC66"/>
    <w:multiLevelType w:val="hybridMultilevel"/>
    <w:lvl w:ilvl="0">
      <w:lvlJc w:val="left"/>
      <w:lvlText w:val="%1."/>
      <w:numFmt w:val="decimal"/>
      <w:start w:val="3"/>
    </w:lvl>
  </w:abstractNum>
  <w:abstractNum w:abstractNumId="51">
    <w:nsid w:val="30AADFDA"/>
    <w:multiLevelType w:val="hybridMultilevel"/>
    <w:lvl w:ilvl="0">
      <w:lvlJc w:val="left"/>
      <w:lvlText w:val="%1."/>
      <w:numFmt w:val="decimal"/>
      <w:start w:val="7"/>
    </w:lvl>
  </w:abstractNum>
  <w:abstractNum w:abstractNumId="52">
    <w:nsid w:val="30EADA61"/>
    <w:multiLevelType w:val="hybridMultilevel"/>
    <w:lvl w:ilvl="0">
      <w:lvlJc w:val="left"/>
      <w:lvlText w:val="%1."/>
      <w:numFmt w:val="decimal"/>
      <w:start w:val="1"/>
    </w:lvl>
  </w:abstractNum>
  <w:abstractNum w:abstractNumId="53">
    <w:nsid w:val="27179C0B"/>
    <w:multiLevelType w:val="hybridMultilevel"/>
    <w:lvl w:ilvl="0">
      <w:lvlJc w:val="left"/>
      <w:lvlText w:val="%1."/>
      <w:numFmt w:val="decimal"/>
      <w:start w:val="1"/>
    </w:lvl>
    <w:lvl w:ilvl="1">
      <w:lvlJc w:val="left"/>
      <w:lvlText w:val="%2."/>
      <w:numFmt w:val="lowerLetter"/>
      <w:start w:val="1"/>
    </w:lvl>
  </w:abstractNum>
  <w:abstractNum w:abstractNumId="54">
    <w:nsid w:val="5E636063"/>
    <w:multiLevelType w:val="hybridMultilevel"/>
    <w:lvl w:ilvl="0">
      <w:lvlJc w:val="left"/>
      <w:lvlText w:val="%1."/>
      <w:numFmt w:val="decimal"/>
      <w:start w:val="2"/>
    </w:lvl>
    <w:lvl w:ilvl="1">
      <w:lvlJc w:val="left"/>
      <w:lvlText w:val="%2."/>
      <w:numFmt w:val="lowerLetter"/>
      <w:start w:val="1"/>
    </w:lvl>
  </w:abstractNum>
  <w:abstractNum w:abstractNumId="55">
    <w:nsid w:val="215641AF"/>
    <w:multiLevelType w:val="hybridMultilevel"/>
    <w:lvl w:ilvl="0">
      <w:lvlJc w:val="left"/>
      <w:lvlText w:val="%1"/>
      <w:numFmt w:val="decimal"/>
      <w:start w:val="1"/>
    </w:lvl>
    <w:lvl w:ilvl="1">
      <w:lvlJc w:val="left"/>
      <w:lvlText w:val="%2."/>
      <w:numFmt w:val="lowerLetter"/>
      <w:start w:val="2"/>
    </w:lvl>
  </w:abstractNum>
  <w:abstractNum w:abstractNumId="56">
    <w:nsid w:val="53280662"/>
    <w:multiLevelType w:val="hybridMultilevel"/>
    <w:lvl w:ilvl="0">
      <w:lvlJc w:val="left"/>
      <w:lvlText w:val="%1."/>
      <w:numFmt w:val="decimal"/>
      <w:start w:val="5"/>
    </w:lvl>
    <w:lvl w:ilvl="1">
      <w:lvlJc w:val="left"/>
      <w:lvlText w:val="%2"/>
      <w:numFmt w:val="lowerLetter"/>
      <w:start w:val="1"/>
    </w:lvl>
  </w:abstractNum>
  <w:abstractNum w:abstractNumId="57">
    <w:nsid w:val="46B24DBC"/>
    <w:multiLevelType w:val="hybridMultilevel"/>
    <w:lvl w:ilvl="0">
      <w:lvlJc w:val="left"/>
      <w:lvlText w:val="%1."/>
      <w:numFmt w:val="decimal"/>
      <w:start w:val="6"/>
    </w:lvl>
  </w:abstractNum>
  <w:abstractNum w:abstractNumId="58">
    <w:nsid w:val="75B52783"/>
    <w:multiLevelType w:val="hybridMultilevel"/>
    <w:lvl w:ilvl="0">
      <w:lvlJc w:val="left"/>
      <w:lvlText w:val="%1."/>
      <w:numFmt w:val="decimal"/>
      <w:start w:val="9"/>
    </w:lvl>
    <w:lvl w:ilvl="1">
      <w:lvlJc w:val="left"/>
      <w:lvlText w:val="%2."/>
      <w:numFmt w:val="lowerLetter"/>
      <w:start w:val="1"/>
    </w:lvl>
  </w:abstractNum>
  <w:abstractNum w:abstractNumId="59">
    <w:nsid w:val="57CE66B4"/>
    <w:multiLevelType w:val="hybridMultilevel"/>
    <w:lvl w:ilvl="0">
      <w:lvlJc w:val="left"/>
      <w:lvlText w:val="%1."/>
      <w:numFmt w:val="lowerLetter"/>
      <w:start w:val="6"/>
    </w:lvl>
  </w:abstractNum>
  <w:abstractNum w:abstractNumId="60">
    <w:nsid w:val="67A70B69"/>
    <w:multiLevelType w:val="hybridMultilevel"/>
    <w:lvl w:ilvl="0">
      <w:lvlJc w:val="left"/>
      <w:lvlText w:val="%1."/>
      <w:numFmt w:val="decimal"/>
      <w:start w:val="1"/>
    </w:lvl>
  </w:abstractNum>
  <w:abstractNum w:abstractNumId="61">
    <w:nsid w:val="5953172F"/>
    <w:multiLevelType w:val="hybridMultilevel"/>
    <w:lvl w:ilvl="0">
      <w:lvlJc w:val="left"/>
      <w:lvlText w:val="(%1)"/>
      <w:numFmt w:val="lowerLetter"/>
      <w:start w:val="1"/>
    </w:lvl>
  </w:abstractNum>
  <w:abstractNum w:abstractNumId="62">
    <w:nsid w:val="27EDFE3A"/>
    <w:multiLevelType w:val="hybridMultilevel"/>
    <w:lvl w:ilvl="0">
      <w:lvlJc w:val="left"/>
      <w:lvlText w:val="(%1)"/>
      <w:numFmt w:val="lowerLetter"/>
      <w:start w:val="2"/>
    </w:lvl>
  </w:abstractNum>
  <w:abstractNum w:abstractNumId="63">
    <w:nsid w:val="52AC7DFF"/>
    <w:multiLevelType w:val="hybridMultilevel"/>
    <w:lvl w:ilvl="0">
      <w:lvlJc w:val="left"/>
      <w:lvlText w:val="%1."/>
      <w:numFmt w:val="decimal"/>
      <w:start w:val="2"/>
    </w:lvl>
  </w:abstractNum>
  <w:abstractNum w:abstractNumId="64">
    <w:nsid w:val="C4C3AF"/>
    <w:multiLevelType w:val="hybridMultilevel"/>
    <w:lvl w:ilvl="0">
      <w:lvlJc w:val="left"/>
      <w:lvlText w:val="(%1)"/>
      <w:numFmt w:val="lowerLetter"/>
      <w:start w:val="1"/>
    </w:lvl>
  </w:abstractNum>
  <w:abstractNum w:abstractNumId="65">
    <w:nsid w:val="44380727"/>
    <w:multiLevelType w:val="hybridMultilevel"/>
    <w:lvl w:ilvl="0">
      <w:lvlJc w:val="left"/>
      <w:lvlText w:val="%1"/>
      <w:numFmt w:val="lowerLetter"/>
      <w:start w:val="1"/>
    </w:lvl>
    <w:lvl w:ilvl="1">
      <w:lvlJc w:val="left"/>
      <w:lvlText w:val="%2."/>
      <w:numFmt w:val="decimal"/>
      <w:start w:val="3"/>
    </w:lvl>
  </w:abstractNum>
  <w:abstractNum w:abstractNumId="66">
    <w:nsid w:val="6C053B16"/>
    <w:multiLevelType w:val="hybridMultilevel"/>
    <w:lvl w:ilvl="0">
      <w:lvlJc w:val="left"/>
      <w:lvlText w:val="(%1)"/>
      <w:numFmt w:val="lowerLetter"/>
      <w:start w:val="1"/>
    </w:lvl>
    <w:lvl w:ilvl="1">
      <w:lvlJc w:val="left"/>
      <w:lvlText w:val="%2"/>
      <w:numFmt w:val="decimal"/>
      <w:start w:val="1"/>
    </w:lvl>
  </w:abstractNum>
  <w:abstractNum w:abstractNumId="67">
    <w:nsid w:val="4F294393"/>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68">
    <w:nsid w:val="5243BFAC"/>
    <w:multiLevelType w:val="hybridMultilevel"/>
    <w:lvl w:ilvl="0">
      <w:lvlJc w:val="left"/>
      <w:lvlText w:val="(%1)"/>
      <w:numFmt w:val="lowerLetter"/>
      <w:start w:val="7"/>
    </w:lvl>
    <w:lvl w:ilvl="1">
      <w:lvlJc w:val="left"/>
      <w:lvlText w:val="%2"/>
      <w:numFmt w:val="lowerLetter"/>
      <w:start w:val="1"/>
    </w:lvl>
    <w:lvl w:ilvl="2">
      <w:lvlJc w:val="left"/>
      <w:lvlText w:val="%3."/>
      <w:numFmt w:val="decimal"/>
      <w:start w:val="5"/>
    </w:lvl>
  </w:abstractNum>
  <w:abstractNum w:abstractNumId="69">
    <w:nsid w:val="425EB207"/>
    <w:multiLevelType w:val="hybridMultilevel"/>
    <w:lvl w:ilvl="0">
      <w:lvlJc w:val="left"/>
      <w:lvlText w:val="%1."/>
      <w:numFmt w:val="decimal"/>
      <w:start w:val="6"/>
    </w:lvl>
  </w:abstractNum>
  <w:abstractNum w:abstractNumId="70">
    <w:nsid w:val="334A6F1F"/>
    <w:multiLevelType w:val="hybridMultilevel"/>
    <w:lvl w:ilvl="0">
      <w:lvlJc w:val="left"/>
      <w:lvlText w:val="%1"/>
      <w:numFmt w:val="lowerLetter"/>
      <w:start w:val="1"/>
    </w:lvl>
    <w:lvl w:ilvl="1">
      <w:lvlJc w:val="left"/>
      <w:lvlText w:val="(%2)"/>
      <w:numFmt w:val="lowerLetter"/>
      <w:start w:val="2"/>
    </w:lvl>
  </w:abstractNum>
  <w:abstractNum w:abstractNumId="71">
    <w:nsid w:val="2E5B12B8"/>
    <w:multiLevelType w:val="hybridMultilevel"/>
    <w:lvl w:ilvl="0">
      <w:lvlJc w:val="left"/>
      <w:lvlText w:val="(%1)"/>
      <w:numFmt w:val="lowerLetter"/>
      <w:start w:val="24"/>
    </w:lvl>
    <w:lvl w:ilvl="1">
      <w:lvlJc w:val="left"/>
      <w:lvlText w:val="%2"/>
      <w:numFmt w:val="lowerLetter"/>
      <w:start w:val="1"/>
    </w:lvl>
  </w:abstractNum>
  <w:abstractNum w:abstractNumId="72">
    <w:nsid w:val="5C03D76D"/>
    <w:multiLevelType w:val="hybridMultilevel"/>
    <w:lvl w:ilvl="0">
      <w:lvlJc w:val="left"/>
      <w:lvlText w:val="%1."/>
      <w:numFmt w:val="decimal"/>
      <w:start w:val="8"/>
    </w:lvl>
  </w:abstractNum>
  <w:abstractNum w:abstractNumId="73">
    <w:nsid w:val="66A48D11"/>
    <w:multiLevelType w:val="hybridMultilevel"/>
    <w:lvl w:ilvl="0">
      <w:lvlJc w:val="left"/>
      <w:lvlText w:val="(%1)"/>
      <w:numFmt w:val="decimal"/>
      <w:start w:val="1"/>
    </w:lvl>
  </w:abstractNum>
  <w:abstractNum w:abstractNumId="74">
    <w:nsid w:val="56C28E34"/>
    <w:multiLevelType w:val="hybridMultilevel"/>
    <w:lvl w:ilvl="0">
      <w:lvlJc w:val="left"/>
      <w:lvlText w:val="(%1)"/>
      <w:numFmt w:val="lowerLetter"/>
      <w:start w:val="1"/>
    </w:lvl>
  </w:abstractNum>
  <w:abstractNum w:abstractNumId="75">
    <w:nsid w:val="13916F2D"/>
    <w:multiLevelType w:val="hybridMultilevel"/>
    <w:lvl w:ilvl="0">
      <w:lvlJc w:val="left"/>
      <w:lvlText w:val="(%1)"/>
      <w:numFmt w:val="lowerLetter"/>
      <w:start w:val="1"/>
    </w:lvl>
  </w:abstractNum>
  <w:abstractNum w:abstractNumId="76">
    <w:nsid w:val="435D38D"/>
    <w:multiLevelType w:val="hybridMultilevel"/>
    <w:lvl w:ilvl="0">
      <w:lvlJc w:val="left"/>
      <w:lvlText w:val="(%1)"/>
      <w:numFmt w:val="decimal"/>
      <w:start w:val="1"/>
    </w:lvl>
  </w:abstractNum>
  <w:abstractNum w:abstractNumId="77">
    <w:nsid w:val="822C0EF"/>
    <w:multiLevelType w:val="hybridMultilevel"/>
    <w:lvl w:ilvl="0">
      <w:lvlJc w:val="left"/>
      <w:lvlText w:val="(%1)"/>
      <w:numFmt w:val="decimal"/>
      <w:start w:val="5"/>
    </w:lvl>
  </w:abstractNum>
  <w:abstractNum w:abstractNumId="78">
    <w:nsid w:val="57C5BB4F"/>
    <w:multiLevelType w:val="hybridMultilevel"/>
    <w:lvl w:ilvl="0">
      <w:lvlJc w:val="left"/>
      <w:lvlText w:val="(%1)"/>
      <w:numFmt w:val="decimal"/>
      <w:start w:val="17"/>
    </w:lvl>
  </w:abstractNum>
  <w:abstractNum w:abstractNumId="79">
    <w:nsid w:val="1803D089"/>
    <w:multiLevelType w:val="hybridMultilevel"/>
    <w:lvl w:ilvl="0">
      <w:lvlJc w:val="left"/>
      <w:lvlText w:val="(%1)"/>
      <w:numFmt w:val="decimal"/>
      <w:start w:val="29"/>
    </w:lvl>
  </w:abstractNum>
  <w:abstractNum w:abstractNumId="80">
    <w:nsid w:val="4F3A06D4"/>
    <w:multiLevelType w:val="hybridMultilevel"/>
    <w:lvl w:ilvl="0">
      <w:lvlJc w:val="left"/>
      <w:lvlText w:val="(%1)"/>
      <w:numFmt w:val="lowerRoman"/>
      <w:start w:val="10"/>
    </w:lvl>
  </w:abstractNum>
  <w:abstractNum w:abstractNumId="81">
    <w:nsid w:val="59A377B6"/>
    <w:multiLevelType w:val="hybridMultilevel"/>
    <w:lvl w:ilvl="0">
      <w:lvlJc w:val="left"/>
      <w:lvlText w:val="(%1)"/>
      <w:numFmt w:val="lowerLetter"/>
      <w:start w:val="1"/>
    </w:lvl>
  </w:abstractNum>
  <w:abstractNum w:abstractNumId="82">
    <w:nsid w:val="48AEB063"/>
    <w:multiLevelType w:val="hybridMultilevel"/>
    <w:lvl w:ilvl="0">
      <w:lvlJc w:val="left"/>
      <w:lvlText w:val="(%1)"/>
      <w:numFmt w:val="lowerLetter"/>
      <w:start w:val="1"/>
    </w:lvl>
  </w:abstractNum>
  <w:abstractNum w:abstractNumId="83">
    <w:nsid w:val="24E135"/>
    <w:multiLevelType w:val="hybridMultilevel"/>
    <w:lvl w:ilvl="0">
      <w:lvlJc w:val="left"/>
      <w:lvlText w:val="(%1)"/>
      <w:numFmt w:val="lowerLetter"/>
      <w:start w:val="3"/>
    </w:lvl>
  </w:abstractNum>
  <w:abstractNum w:abstractNumId="84">
    <w:nsid w:val="BB13C1"/>
    <w:multiLevelType w:val="hybridMultilevel"/>
    <w:lvl w:ilvl="0">
      <w:lvlJc w:val="left"/>
      <w:lvlText w:val="(%1)"/>
      <w:numFmt w:val="decimal"/>
      <w:start w:val="1"/>
    </w:lvl>
  </w:abstractNum>
  <w:abstractNum w:abstractNumId="85">
    <w:nsid w:val="271210C7"/>
    <w:multiLevelType w:val="hybridMultilevel"/>
    <w:lvl w:ilvl="0">
      <w:lvlJc w:val="left"/>
      <w:lvlText w:val="(%1)"/>
      <w:numFmt w:val="decimal"/>
      <w:start w:val="2"/>
    </w:lvl>
  </w:abstractNum>
  <w:abstractNum w:abstractNumId="86">
    <w:nsid w:val="217B22E4"/>
    <w:multiLevelType w:val="hybridMultilevel"/>
    <w:lvl w:ilvl="0">
      <w:lvlJc w:val="left"/>
      <w:lvlText w:val="(%1)"/>
      <w:numFmt w:val="decimal"/>
      <w:start w:val="12"/>
    </w:lvl>
  </w:abstractNum>
  <w:abstractNum w:abstractNumId="87">
    <w:nsid w:val="53E31A24"/>
    <w:multiLevelType w:val="hybridMultilevel"/>
    <w:lvl w:ilvl="0">
      <w:lvlJc w:val="left"/>
      <w:lvlText w:val="(%1)"/>
      <w:numFmt w:val="decimal"/>
      <w:start w:val="1"/>
    </w:lvl>
  </w:abstractNum>
  <w:abstractNum w:abstractNumId="88">
    <w:nsid w:val="6DC45E83"/>
    <w:multiLevelType w:val="hybridMultilevel"/>
    <w:lvl w:ilvl="0">
      <w:lvlJc w:val="left"/>
      <w:lvlText w:val="(%1)"/>
      <w:numFmt w:val="lowerLetter"/>
      <w:start w:val="1"/>
    </w:lvl>
  </w:abstractNum>
  <w:abstractNum w:abstractNumId="89">
    <w:nsid w:val="17304A67"/>
    <w:multiLevelType w:val="hybridMultilevel"/>
    <w:lvl w:ilvl="0">
      <w:lvlJc w:val="left"/>
      <w:lvlText w:val="(%1)"/>
      <w:numFmt w:val="lowerLetter"/>
      <w:start w:val="5"/>
    </w:lvl>
  </w:abstractNum>
  <w:abstractNum w:abstractNumId="90">
    <w:nsid w:val="2BB180D8"/>
    <w:multiLevelType w:val="hybridMultilevel"/>
    <w:lvl w:ilvl="0">
      <w:lvlJc w:val="left"/>
      <w:lvlText w:val="(%1)"/>
      <w:numFmt w:val="upperLetter"/>
      <w:start w:val="1"/>
    </w:lvl>
  </w:abstractNum>
  <w:abstractNum w:abstractNumId="91">
    <w:nsid w:val="556B69ED"/>
    <w:multiLevelType w:val="hybridMultilevel"/>
    <w:lvl w:ilvl="0">
      <w:lvlJc w:val="left"/>
      <w:lvlText w:val="(%1)"/>
      <w:numFmt w:val="lowerRoman"/>
      <w:start w:val="3"/>
    </w:lvl>
  </w:abstractNum>
  <w:abstractNum w:abstractNumId="92">
    <w:nsid w:val="70836196"/>
    <w:multiLevelType w:val="hybridMultilevel"/>
    <w:lvl w:ilvl="0">
      <w:lvlJc w:val="left"/>
      <w:lvlText w:val="(%1)"/>
      <w:numFmt w:val="decimal"/>
      <w:start w:val="1"/>
    </w:lvl>
    <w:lvl w:ilvl="1">
      <w:lvlJc w:val="left"/>
      <w:lvlText w:val="(%2)"/>
      <w:numFmt w:val="lowerLetter"/>
      <w:start w:val="1"/>
    </w:lvl>
  </w:abstractNum>
  <w:abstractNum w:abstractNumId="93">
    <w:nsid w:val="539F7F12"/>
    <w:multiLevelType w:val="hybridMultilevel"/>
    <w:lvl w:ilvl="0">
      <w:lvlJc w:val="left"/>
      <w:lvlText w:val="(%1)"/>
      <w:numFmt w:val="lowerLetter"/>
      <w:start w:val="6"/>
    </w:lvl>
  </w:abstractNum>
  <w:abstractNum w:abstractNumId="94">
    <w:nsid w:val="2817E7EC"/>
    <w:multiLevelType w:val="hybridMultilevel"/>
    <w:lvl w:ilvl="0">
      <w:lvlJc w:val="left"/>
      <w:lvlText w:val="(%1)"/>
      <w:numFmt w:val="lowerLetter"/>
      <w:start w:val="8"/>
    </w:lvl>
  </w:abstractNum>
  <w:abstractNum w:abstractNumId="95">
    <w:nsid w:val="71482545"/>
    <w:multiLevelType w:val="hybridMultilevel"/>
    <w:lvl w:ilvl="0">
      <w:lvlJc w:val="left"/>
      <w:lvlText w:val="(%1)"/>
      <w:numFmt w:val="upperLetter"/>
      <w:start w:val="2"/>
    </w:lvl>
  </w:abstractNum>
  <w:abstractNum w:abstractNumId="96">
    <w:nsid w:val="17D78639"/>
    <w:multiLevelType w:val="hybridMultilevel"/>
    <w:lvl w:ilvl="0">
      <w:lvlJc w:val="left"/>
      <w:lvlText w:val="(%1)"/>
      <w:numFmt w:val="lowerLetter"/>
      <w:start w:val="16"/>
    </w:lvl>
  </w:abstractNum>
  <w:abstractNum w:abstractNumId="97">
    <w:nsid w:val="141D2302"/>
    <w:multiLevelType w:val="hybridMultilevel"/>
    <w:lvl w:ilvl="0">
      <w:lvlJc w:val="left"/>
      <w:lvlText w:val="(%1)"/>
      <w:numFmt w:val="decimal"/>
      <w:start w:val="2"/>
    </w:lvl>
  </w:abstractNum>
  <w:abstractNum w:abstractNumId="98">
    <w:nsid w:val="407168D8"/>
    <w:multiLevelType w:val="hybridMultilevel"/>
    <w:lvl w:ilvl="0">
      <w:lvlJc w:val="left"/>
      <w:lvlText w:val="%1"/>
      <w:numFmt w:val="lowerRoman"/>
      <w:start w:val="1"/>
    </w:lvl>
    <w:lvl w:ilvl="1">
      <w:lvlJc w:val="left"/>
      <w:lvlText w:val="(%2)"/>
      <w:numFmt w:val="decimal"/>
      <w:start w:val="1"/>
    </w:lvl>
  </w:abstractNum>
  <w:abstractNum w:abstractNumId="99">
    <w:nsid w:val="6A1B45E5"/>
    <w:multiLevelType w:val="hybridMultilevel"/>
    <w:lvl w:ilvl="0">
      <w:lvlJc w:val="left"/>
      <w:lvlText w:val="(%1)"/>
      <w:numFmt w:val="lowerRoman"/>
      <w:start w:val="7"/>
    </w:lvl>
    <w:lvl w:ilvl="1">
      <w:lvlJc w:val="left"/>
      <w:lvlText w:val="%2"/>
      <w:numFmt w:val="decimal"/>
      <w:start w:val="1"/>
    </w:lvl>
  </w:abstractNum>
  <w:abstractNum w:abstractNumId="100">
    <w:nsid w:val="567BD50A"/>
    <w:multiLevelType w:val="hybridMultilevel"/>
    <w:lvl w:ilvl="0">
      <w:lvlJc w:val="left"/>
      <w:lvlText w:val="(%1)"/>
      <w:numFmt w:val="decimal"/>
      <w:start w:val="2"/>
    </w:lvl>
  </w:abstractNum>
  <w:abstractNum w:abstractNumId="101">
    <w:nsid w:val="73BBD7F8"/>
    <w:multiLevelType w:val="hybridMultilevel"/>
    <w:lvl w:ilvl="0">
      <w:lvlJc w:val="left"/>
      <w:lvlText w:val="(%1)"/>
      <w:numFmt w:val="decimal"/>
      <w:start w:val="1"/>
    </w:lvl>
    <w:lvl w:ilvl="1">
      <w:lvlJc w:val="left"/>
      <w:lvlText w:val="(%2)"/>
      <w:numFmt w:val="lowerLetter"/>
      <w:start w:val="2"/>
    </w:lvl>
  </w:abstractNum>
  <w:abstractNum w:abstractNumId="102">
    <w:nsid w:val="1876589D"/>
    <w:multiLevelType w:val="hybridMultilevel"/>
    <w:lvl w:ilvl="0">
      <w:lvlJc w:val="left"/>
      <w:lvlText w:val="(%1)"/>
      <w:numFmt w:val="decimal"/>
      <w:start w:val="5"/>
    </w:lvl>
  </w:abstractNum>
  <w:abstractNum w:abstractNumId="103">
    <w:nsid w:val="327FAC77"/>
    <w:multiLevelType w:val="hybridMultilevel"/>
    <w:lvl w:ilvl="0">
      <w:lvlJc w:val="left"/>
      <w:lvlText w:val="(%1)"/>
      <w:numFmt w:val="decimal"/>
      <w:start w:val="7"/>
    </w:lvl>
  </w:abstractNum>
  <w:abstractNum w:abstractNumId="104">
    <w:nsid w:val="5A606509"/>
    <w:multiLevelType w:val="hybridMultilevel"/>
    <w:lvl w:ilvl="0">
      <w:lvlJc w:val="left"/>
      <w:lvlText w:val="(%1)"/>
      <w:numFmt w:val="decimal"/>
      <w:start w:val="14"/>
    </w:lvl>
    <w:lvl w:ilvl="1">
      <w:lvlJc w:val="left"/>
      <w:lvlText w:val="(%2)"/>
      <w:numFmt w:val="lowerRoman"/>
      <w:start w:val="3"/>
    </w:lvl>
  </w:abstractNum>
  <w:abstractNum w:abstractNumId="105">
    <w:nsid w:val="6F38E6D1"/>
    <w:multiLevelType w:val="hybridMultilevel"/>
    <w:lvl w:ilvl="0">
      <w:lvlJc w:val="left"/>
      <w:lvlText w:val="(%1)"/>
      <w:numFmt w:val="lowerRoman"/>
      <w:start w:val="3"/>
    </w:lvl>
  </w:abstractNum>
  <w:abstractNum w:abstractNumId="106">
    <w:nsid w:val="46111BA5"/>
    <w:multiLevelType w:val="hybridMultilevel"/>
    <w:lvl w:ilvl="0">
      <w:lvlJc w:val="left"/>
      <w:lvlText w:val="(%1)"/>
      <w:numFmt w:val="decimal"/>
      <w:start w:val="1"/>
    </w:lvl>
    <w:lvl w:ilvl="1">
      <w:lvlJc w:val="left"/>
      <w:lvlText w:val="(%2)"/>
      <w:numFmt w:val="lowerLetter"/>
      <w:start w:val="1"/>
    </w:lvl>
  </w:abstractNum>
  <w:abstractNum w:abstractNumId="107">
    <w:nsid w:val="5E963896"/>
    <w:multiLevelType w:val="hybridMultilevel"/>
    <w:lvl w:ilvl="0">
      <w:lvlJc w:val="left"/>
      <w:lvlText w:val="(%1)"/>
      <w:numFmt w:val="decimal"/>
      <w:start w:val="3"/>
    </w:lvl>
  </w:abstractNum>
  <w:abstractNum w:abstractNumId="108">
    <w:nsid w:val="775BA7C1"/>
    <w:multiLevelType w:val="hybridMultilevel"/>
    <w:lvl w:ilvl="0">
      <w:lvlJc w:val="left"/>
      <w:lvlText w:val="(%1)"/>
      <w:numFmt w:val="lowerRoman"/>
      <w:start w:val="1"/>
    </w:lvl>
  </w:abstractNum>
  <w:abstractNum w:abstractNumId="109">
    <w:nsid w:val="1DD6D6F4"/>
    <w:multiLevelType w:val="hybridMultilevel"/>
    <w:lvl w:ilvl="0">
      <w:lvlJc w:val="left"/>
      <w:lvlText w:val="(%1)"/>
      <w:numFmt w:val="decimal"/>
      <w:start w:val="1"/>
    </w:lvl>
  </w:abstractNum>
  <w:abstractNum w:abstractNumId="110">
    <w:nsid w:val="769A091F"/>
    <w:multiLevelType w:val="hybridMultilevel"/>
    <w:lvl w:ilvl="0">
      <w:lvlJc w:val="left"/>
      <w:lvlText w:val="(%1)"/>
      <w:numFmt w:val="lowerLetter"/>
      <w:start w:val="1"/>
    </w:lvl>
    <w:lvl w:ilvl="1">
      <w:lvlJc w:val="left"/>
      <w:lvlText w:val="(%2)"/>
      <w:numFmt w:val="lowerRoman"/>
      <w:start w:val="1"/>
    </w:lvl>
  </w:abstractNum>
  <w:abstractNum w:abstractNumId="111">
    <w:nsid w:val="4695AE95"/>
    <w:multiLevelType w:val="hybridMultilevel"/>
    <w:lvl w:ilvl="0">
      <w:lvlJc w:val="left"/>
      <w:lvlText w:val="%1"/>
      <w:numFmt w:val="lowerLetter"/>
      <w:start w:val="1"/>
    </w:lvl>
    <w:lvl w:ilvl="1">
      <w:lvlJc w:val="left"/>
      <w:lvlText w:val="(%2)"/>
      <w:numFmt w:val="lowerLetter"/>
      <w:start w:val="22"/>
    </w:lvl>
  </w:abstractNum>
  <w:abstractNum w:abstractNumId="112">
    <w:nsid w:val="777A4EAA"/>
    <w:multiLevelType w:val="hybridMultilevel"/>
    <w:lvl w:ilvl="0">
      <w:lvlJc w:val="left"/>
      <w:lvlText w:val="(%1)"/>
      <w:numFmt w:val="lowerLetter"/>
      <w:start w:val="2"/>
    </w:lvl>
    <w:lvl w:ilvl="1">
      <w:lvlJc w:val="left"/>
      <w:lvlText w:val="(%2)"/>
      <w:numFmt w:val="lowerLetter"/>
      <w:start w:val="9"/>
    </w:lvl>
  </w:abstractNum>
  <w:abstractNum w:abstractNumId="113">
    <w:nsid w:val="3F48B982"/>
    <w:multiLevelType w:val="hybridMultilevel"/>
    <w:lvl w:ilvl="0">
      <w:lvlJc w:val="left"/>
      <w:lvlText w:val="%1"/>
      <w:numFmt w:val="lowerRoman"/>
      <w:start w:val="1"/>
    </w:lvl>
    <w:lvl w:ilvl="1">
      <w:lvlJc w:val="left"/>
      <w:lvlText w:val="(%2)"/>
      <w:numFmt w:val="lowerRoman"/>
      <w:start w:val="2"/>
    </w:lvl>
  </w:abstractNum>
  <w:abstractNum w:abstractNumId="114">
    <w:nsid w:val="46BA8FCA"/>
    <w:multiLevelType w:val="hybridMultilevel"/>
    <w:lvl w:ilvl="0">
      <w:lvlJc w:val="left"/>
      <w:lvlText w:val="(%1)"/>
      <w:numFmt w:val="lowerRoman"/>
      <w:start w:val="3"/>
    </w:lvl>
    <w:lvl w:ilvl="1">
      <w:lvlJc w:val="left"/>
      <w:lvlText w:val="(%2)"/>
      <w:numFmt w:val="lowerRoman"/>
      <w:start w:val="7"/>
    </w:lvl>
  </w:abstractNum>
  <w:abstractNum w:abstractNumId="115">
    <w:nsid w:val="7835626C"/>
    <w:multiLevelType w:val="hybridMultilevel"/>
    <w:lvl w:ilvl="0">
      <w:lvlJc w:val="left"/>
      <w:lvlText w:val="(%1)"/>
      <w:numFmt w:val="lowerRoman"/>
      <w:start w:val="9"/>
    </w:lvl>
  </w:abstractNum>
  <w:abstractNum w:abstractNumId="116">
    <w:nsid w:val="665ACA49"/>
    <w:multiLevelType w:val="hybridMultilevel"/>
    <w:lvl w:ilvl="0">
      <w:lvlJc w:val="left"/>
      <w:lvlText w:val="(%1)"/>
      <w:numFmt w:val="lowerRoman"/>
      <w:start w:val="13"/>
    </w:lvl>
  </w:abstractNum>
  <w:abstractNum w:abstractNumId="117">
    <w:nsid w:val="6835B2AE"/>
    <w:multiLevelType w:val="hybridMultilevel"/>
    <w:lvl w:ilvl="0">
      <w:lvlJc w:val="left"/>
      <w:lvlText w:val="(%1)"/>
      <w:numFmt w:val="lowerLetter"/>
      <w:start w:val="5"/>
    </w:lvl>
  </w:abstractNum>
  <w:abstractNum w:abstractNumId="118">
    <w:nsid w:val="4C187C90"/>
    <w:multiLevelType w:val="hybridMultilevel"/>
    <w:lvl w:ilvl="0">
      <w:lvlJc w:val="left"/>
      <w:lvlText w:val="(%1)"/>
      <w:numFmt w:val="lowerLetter"/>
      <w:start w:val="1"/>
    </w:lvl>
  </w:abstractNum>
  <w:abstractNum w:abstractNumId="119">
    <w:nsid w:val="541F28CD"/>
    <w:multiLevelType w:val="hybridMultilevel"/>
    <w:lvl w:ilvl="0">
      <w:lvlJc w:val="left"/>
      <w:lvlText w:val="(%1)"/>
      <w:numFmt w:val="decimal"/>
      <w:start w:val="1"/>
    </w:lvl>
  </w:abstractNum>
  <w:abstractNum w:abstractNumId="120">
    <w:nsid w:val="7F65FD16"/>
    <w:multiLevelType w:val="hybridMultilevel"/>
    <w:lvl w:ilvl="0">
      <w:lvlJc w:val="left"/>
      <w:lvlText w:val="(%1)"/>
      <w:numFmt w:val="decimal"/>
      <w:start w:val="1"/>
    </w:lvl>
  </w:abstractNum>
  <w:abstractNum w:abstractNumId="121">
    <w:nsid w:val="77C9FD68"/>
    <w:multiLevelType w:val="hybridMultilevel"/>
    <w:lvl w:ilvl="0">
      <w:lvlJc w:val="left"/>
      <w:lvlText w:val="(%1)"/>
      <w:numFmt w:val="decimal"/>
      <w:start w:val="8"/>
    </w:lvl>
  </w:abstractNum>
  <w:abstractNum w:abstractNumId="122">
    <w:nsid w:val="298A92BA"/>
    <w:multiLevelType w:val="hybridMultilevel"/>
    <w:lvl w:ilvl="0">
      <w:lvlJc w:val="left"/>
      <w:lvlText w:val="(%1)"/>
      <w:numFmt w:val="lowerRoman"/>
      <w:start w:val="2"/>
    </w:lvl>
  </w:abstractNum>
  <w:abstractNum w:abstractNumId="123">
    <w:nsid w:val="6FE95EAC"/>
    <w:multiLevelType w:val="hybridMultilevel"/>
    <w:lvl w:ilvl="0">
      <w:lvlJc w:val="left"/>
      <w:lvlText w:val="(%1)"/>
      <w:numFmt w:val="lowerRoman"/>
      <w:start w:val="7"/>
    </w:lvl>
  </w:abstractNum>
  <w:abstractNum w:abstractNumId="124">
    <w:nsid w:val="4B697C7A"/>
    <w:multiLevelType w:val="hybridMultilevel"/>
    <w:lvl w:ilvl="0">
      <w:lvlJc w:val="left"/>
      <w:lvlText w:val="(%1)"/>
      <w:numFmt w:val="lowerRoman"/>
      <w:start w:val="9"/>
    </w:lvl>
  </w:abstractNum>
  <w:abstractNum w:abstractNumId="125">
    <w:nsid w:val="51A27AA6"/>
    <w:multiLevelType w:val="hybridMultilevel"/>
    <w:lvl w:ilvl="0">
      <w:lvlJc w:val="left"/>
      <w:lvlText w:val="(%1)"/>
      <w:numFmt w:val="lowerLetter"/>
      <w:start w:val="1"/>
    </w:lvl>
  </w:abstractNum>
  <w:abstractNum w:abstractNumId="126">
    <w:nsid w:val="613183F2"/>
    <w:multiLevelType w:val="hybridMultilevel"/>
    <w:lvl w:ilvl="0">
      <w:lvlJc w:val="left"/>
      <w:lvlText w:val="(%1)"/>
      <w:numFmt w:val="decimal"/>
      <w:start w:val="1"/>
    </w:lvl>
  </w:abstractNum>
  <w:abstractNum w:abstractNumId="127">
    <w:nsid w:val="634102B4"/>
    <w:multiLevelType w:val="hybridMultilevel"/>
    <w:lvl w:ilvl="0">
      <w:lvlJc w:val="left"/>
      <w:lvlText w:val="(%1)"/>
      <w:numFmt w:val="decimal"/>
      <w:start w:val="1"/>
    </w:lvl>
  </w:abstractNum>
  <w:abstractNum w:abstractNumId="128">
    <w:nsid w:val="65BF9DA8"/>
    <w:multiLevelType w:val="hybridMultilevel"/>
    <w:lvl w:ilvl="0">
      <w:lvlJc w:val="left"/>
      <w:lvlText w:val="(%1)"/>
      <w:numFmt w:val="decimal"/>
      <w:start w:val="3"/>
    </w:lvl>
  </w:abstractNum>
  <w:abstractNum w:abstractNumId="129">
    <w:nsid w:val="21A2ECCA"/>
    <w:multiLevelType w:val="hybridMultilevel"/>
    <w:lvl w:ilvl="0">
      <w:lvlJc w:val="left"/>
      <w:lvlText w:val="(%1)"/>
      <w:numFmt w:val="decimal"/>
      <w:start w:val="1"/>
    </w:lvl>
  </w:abstractNum>
  <w:abstractNum w:abstractNumId="130">
    <w:nsid w:val="4D5C4899"/>
    <w:multiLevelType w:val="hybridMultilevel"/>
    <w:lvl w:ilvl="0">
      <w:lvlJc w:val="left"/>
      <w:lvlText w:val="(%1)"/>
      <w:numFmt w:val="decimal"/>
      <w:start w:val="1"/>
    </w:lvl>
  </w:abstractNum>
  <w:abstractNum w:abstractNumId="131">
    <w:nsid w:val="3C3B72B2"/>
    <w:multiLevelType w:val="hybridMultilevel"/>
    <w:lvl w:ilvl="0">
      <w:lvlJc w:val="left"/>
      <w:lvlText w:val="%1"/>
      <w:numFmt w:val="decimal"/>
      <w:start w:val="1"/>
    </w:lvl>
    <w:lvl w:ilvl="1">
      <w:lvlJc w:val="left"/>
      <w:lvlText w:val="(%2)"/>
      <w:numFmt w:val="decimal"/>
      <w:start w:val="1"/>
    </w:lvl>
  </w:abstractNum>
  <w:abstractNum w:abstractNumId="132">
    <w:nsid w:val="155EC4C2"/>
    <w:multiLevelType w:val="hybridMultilevel"/>
    <w:lvl w:ilvl="0">
      <w:lvlJc w:val="left"/>
      <w:lvlText w:val="(%1)"/>
      <w:numFmt w:val="decimal"/>
      <w:start w:val="1"/>
    </w:lvl>
    <w:lvl w:ilvl="1">
      <w:lvlJc w:val="left"/>
      <w:lvlText w:val="%2"/>
      <w:numFmt w:val="decimal"/>
      <w:start w:val="1"/>
    </w:lvl>
  </w:abstractNum>
  <w:abstractNum w:abstractNumId="133">
    <w:nsid w:val="65D2A137"/>
    <w:multiLevelType w:val="hybridMultilevel"/>
    <w:lvl w:ilvl="0">
      <w:lvlJc w:val="left"/>
      <w:lvlText w:val="(%1)"/>
      <w:numFmt w:val="lowerRoman"/>
      <w:start w:val="3"/>
    </w:lvl>
  </w:abstractNum>
  <w:abstractNum w:abstractNumId="134">
    <w:nsid w:val="6EBB1F2A"/>
    <w:multiLevelType w:val="hybridMultilevel"/>
    <w:lvl w:ilvl="0">
      <w:lvlJc w:val="left"/>
      <w:lvlText w:val="(%1)"/>
      <w:numFmt w:val="lowerLetter"/>
      <w:start w:val="1"/>
    </w:lvl>
  </w:abstractNum>
  <w:abstractNum w:abstractNumId="135">
    <w:nsid w:val="6FBF29CB"/>
    <w:multiLevelType w:val="hybridMultilevel"/>
    <w:lvl w:ilvl="0">
      <w:lvlJc w:val="left"/>
      <w:lvlText w:val="(%1)"/>
      <w:numFmt w:val="lowerLetter"/>
      <w:start w:val="4"/>
    </w:lvl>
  </w:abstractNum>
  <w:abstractNum w:abstractNumId="136">
    <w:nsid w:val="550B8808"/>
    <w:multiLevelType w:val="hybridMultilevel"/>
    <w:lvl w:ilvl="0">
      <w:lvlJc w:val="left"/>
      <w:lvlText w:val="(%1)"/>
      <w:numFmt w:val="lowerLetter"/>
      <w:start w:val="14"/>
    </w:lvl>
  </w:abstractNum>
  <w:abstractNum w:abstractNumId="137">
    <w:nsid w:val="34CC3ACF"/>
    <w:multiLevelType w:val="hybridMultilevel"/>
    <w:lvl w:ilvl="0">
      <w:lvlJc w:val="left"/>
      <w:lvlText w:val="(%1)"/>
      <w:numFmt w:val="lowerLetter"/>
      <w:start w:val="23"/>
    </w:lvl>
  </w:abstractNum>
  <w:abstractNum w:abstractNumId="138">
    <w:nsid w:val="4E556261"/>
    <w:multiLevelType w:val="hybridMultilevel"/>
    <w:lvl w:ilvl="0">
      <w:lvlJc w:val="left"/>
      <w:lvlText w:val="(%1)"/>
      <w:numFmt w:val="lowerLetter"/>
      <w:start w:val="27"/>
    </w:lvl>
  </w:abstractNum>
  <w:abstractNum w:abstractNumId="139">
    <w:nsid w:val="4C672FC9"/>
    <w:multiLevelType w:val="hybridMultilevel"/>
    <w:lvl w:ilvl="0">
      <w:lvlJc w:val="left"/>
      <w:lvlText w:val="(%1)"/>
      <w:numFmt w:val="lowerLetter"/>
      <w:start w:val="33"/>
    </w:lvl>
  </w:abstractNum>
  <w:abstractNum w:abstractNumId="140">
    <w:nsid w:val="52A311C3"/>
    <w:multiLevelType w:val="hybridMultilevel"/>
    <w:lvl w:ilvl="0">
      <w:lvlJc w:val="left"/>
      <w:lvlText w:val="(%1)"/>
      <w:numFmt w:val="lowerLetter"/>
      <w:start w:val="1"/>
    </w:lvl>
  </w:abstractNum>
  <w:abstractNum w:abstractNumId="141">
    <w:nsid w:val="44EF6B80"/>
    <w:multiLevelType w:val="hybridMultilevel"/>
    <w:lvl w:ilvl="0">
      <w:lvlJc w:val="left"/>
      <w:lvlText w:val="(%1)"/>
      <w:numFmt w:val="lowerLetter"/>
      <w:start w:val="3"/>
    </w:lvl>
  </w:abstractNum>
  <w:abstractNum w:abstractNumId="142">
    <w:nsid w:val="12FCDE5E"/>
    <w:multiLevelType w:val="hybridMultilevel"/>
    <w:lvl w:ilvl="0">
      <w:lvlJc w:val="left"/>
      <w:lvlText w:val="%1"/>
      <w:numFmt w:val="lowerLetter"/>
      <w:start w:val="1"/>
    </w:lvl>
    <w:lvl w:ilvl="1">
      <w:lvlJc w:val="left"/>
      <w:lvlText w:val="(%2)"/>
      <w:numFmt w:val="lowerLetter"/>
      <w:start w:val="7"/>
    </w:lvl>
  </w:abstractNum>
  <w:abstractNum w:abstractNumId="143">
    <w:nsid w:val="4A1D606E"/>
    <w:multiLevelType w:val="hybridMultilevel"/>
    <w:lvl w:ilvl="0">
      <w:lvlJc w:val="left"/>
      <w:lvlText w:val="(%1)"/>
      <w:numFmt w:val="lowerLetter"/>
      <w:start w:val="24"/>
    </w:lvl>
    <w:lvl w:ilvl="1">
      <w:lvlJc w:val="left"/>
      <w:lvlText w:val="(%2)"/>
      <w:numFmt w:val="lowerLetter"/>
      <w:start w:val="8"/>
    </w:lvl>
  </w:abstractNum>
  <w:abstractNum w:abstractNumId="144">
    <w:nsid w:val="4382503"/>
    <w:multiLevelType w:val="hybridMultilevel"/>
    <w:lvl w:ilvl="0">
      <w:lvlJc w:val="left"/>
      <w:lvlText w:val="(%1)"/>
      <w:numFmt w:val="lowerLetter"/>
      <w:start w:val="13"/>
    </w:lvl>
  </w:abstractNum>
  <w:abstractNum w:abstractNumId="145">
    <w:nsid w:val="59B76E28"/>
    <w:multiLevelType w:val="hybridMultilevel"/>
    <w:lvl w:ilvl="0">
      <w:lvlJc w:val="left"/>
      <w:lvlText w:val="%1"/>
      <w:numFmt w:val="lowerRoman"/>
      <w:start w:val="1"/>
    </w:lvl>
    <w:lvl w:ilvl="1">
      <w:lvlJc w:val="left"/>
      <w:lvlText w:val="(%2)"/>
      <w:numFmt w:val="lowerLetter"/>
      <w:start w:val="20"/>
    </w:lvl>
  </w:abstractNum>
  <w:abstractNum w:abstractNumId="146">
    <w:nsid w:val="4252C2DA"/>
    <w:multiLevelType w:val="hybridMultilevel"/>
    <w:lvl w:ilvl="0">
      <w:lvlJc w:val="left"/>
      <w:lvlText w:val="(%1)"/>
      <w:numFmt w:val="lowerRoman"/>
      <w:start w:val="14"/>
    </w:lvl>
    <w:lvl w:ilvl="1">
      <w:lvlJc w:val="left"/>
      <w:lvlText w:val="(%2)"/>
      <w:numFmt w:val="lowerLetter"/>
      <w:start w:val="22"/>
    </w:lvl>
  </w:abstractNum>
  <w:abstractNum w:abstractNumId="147">
    <w:nsid w:val="6A92EF4C"/>
    <w:multiLevelType w:val="hybridMultilevel"/>
    <w:lvl w:ilvl="0">
      <w:lvlJc w:val="left"/>
      <w:lvlText w:val="(%1)"/>
      <w:numFmt w:val="lowerLetter"/>
      <w:start w:val="27"/>
    </w:lvl>
  </w:abstractNum>
  <w:abstractNum w:abstractNumId="148">
    <w:nsid w:val="41ED20D7"/>
    <w:multiLevelType w:val="hybridMultilevel"/>
    <w:lvl w:ilvl="0">
      <w:lvlJc w:val="left"/>
      <w:lvlText w:val="(%1)"/>
      <w:numFmt w:val="lowerLetter"/>
      <w:start w:val="36"/>
    </w:lvl>
  </w:abstractNum>
  <w:abstractNum w:abstractNumId="149">
    <w:nsid w:val="E6B3F6A"/>
    <w:multiLevelType w:val="hybridMultilevel"/>
    <w:lvl w:ilvl="0">
      <w:lvlJc w:val="left"/>
      <w:lvlText w:val="(%1)"/>
      <w:numFmt w:val="decimal"/>
      <w:start w:val="1"/>
    </w:lvl>
  </w:abstractNum>
  <w:abstractNum w:abstractNumId="150">
    <w:nsid w:val="3EB21819"/>
    <w:multiLevelType w:val="hybridMultilevel"/>
    <w:lvl w:ilvl="0">
      <w:lvlJc w:val="left"/>
      <w:lvlText w:val="(%1)"/>
      <w:numFmt w:val="decimal"/>
      <w:start w:val="2"/>
    </w:lvl>
    <w:lvl w:ilvl="1">
      <w:lvlJc w:val="left"/>
      <w:lvlText w:val="(%2)"/>
      <w:numFmt w:val="lowerRoman"/>
      <w:start w:val="1"/>
    </w:lvl>
  </w:abstractNum>
  <w:abstractNum w:abstractNumId="151">
    <w:nsid w:val="41531DED"/>
    <w:multiLevelType w:val="hybridMultilevel"/>
    <w:lvl w:ilvl="0">
      <w:lvlJc w:val="left"/>
      <w:lvlText w:val="(%1)"/>
      <w:numFmt w:val="decimal"/>
      <w:start w:val="3"/>
    </w:lvl>
  </w:abstractNum>
  <w:abstractNum w:abstractNumId="152">
    <w:nsid w:val="6353CD2"/>
    <w:multiLevelType w:val="hybridMultilevel"/>
    <w:lvl w:ilvl="0">
      <w:lvlJc w:val="left"/>
      <w:lvlText w:val="(%1)"/>
      <w:numFmt w:val="lowerLetter"/>
      <w:start w:val="2"/>
    </w:lvl>
  </w:abstractNum>
  <w:abstractNum w:abstractNumId="153">
    <w:nsid w:val="683CAAD3"/>
    <w:multiLevelType w:val="hybridMultilevel"/>
    <w:lvl w:ilvl="0">
      <w:lvlJc w:val="left"/>
      <w:lvlText w:val="(%1)"/>
      <w:numFmt w:val="lowerLetter"/>
      <w:start w:val="1"/>
    </w:lvl>
  </w:abstractNum>
  <w:abstractNum w:abstractNumId="154">
    <w:nsid w:val="313C7C99"/>
    <w:multiLevelType w:val="hybridMultilevel"/>
    <w:lvl w:ilvl="0">
      <w:lvlJc w:val="left"/>
      <w:lvlText w:val="(%1)"/>
      <w:numFmt w:val="decimal"/>
      <w:start w:val="1"/>
    </w:lvl>
    <w:lvl w:ilvl="1">
      <w:lvlJc w:val="left"/>
      <w:lvlText w:val="(%2)"/>
      <w:numFmt w:val="lowerLetter"/>
      <w:start w:val="1"/>
    </w:lvl>
  </w:abstractNum>
  <w:abstractNum w:abstractNumId="155">
    <w:nsid w:val="519EB94C"/>
    <w:multiLevelType w:val="hybridMultilevel"/>
    <w:lvl w:ilvl="0">
      <w:lvlJc w:val="left"/>
      <w:lvlText w:val="(%1)"/>
      <w:numFmt w:val="decimal"/>
      <w:start w:val="3"/>
    </w:lvl>
  </w:abstractNum>
  <w:abstractNum w:abstractNumId="156">
    <w:nsid w:val="39DF2579"/>
    <w:multiLevelType w:val="hybridMultilevel"/>
    <w:lvl w:ilvl="0">
      <w:lvlJc w:val="left"/>
      <w:lvlText w:val="(%1)"/>
      <w:numFmt w:val="decimal"/>
      <w:start w:val="1"/>
    </w:lvl>
  </w:abstractNum>
  <w:abstractNum w:abstractNumId="157">
    <w:nsid w:val="126E008B"/>
    <w:multiLevelType w:val="hybridMultilevel"/>
    <w:lvl w:ilvl="0">
      <w:lvlJc w:val="left"/>
      <w:lvlText w:val="(%1)"/>
      <w:numFmt w:val="decimal"/>
      <w:start w:val="1"/>
    </w:lvl>
  </w:abstractNum>
  <w:abstractNum w:abstractNumId="158">
    <w:nsid w:val="34DFBC00"/>
    <w:multiLevelType w:val="hybridMultilevel"/>
    <w:lvl w:ilvl="0">
      <w:lvlJc w:val="left"/>
      <w:lvlText w:val="(%1)"/>
      <w:numFmt w:val="lowerLetter"/>
      <w:start w:val="1"/>
    </w:lvl>
  </w:abstractNum>
  <w:abstractNum w:abstractNumId="159">
    <w:nsid w:val="1F9EC322"/>
    <w:multiLevelType w:val="hybridMultilevel"/>
    <w:lvl w:ilvl="0">
      <w:lvlJc w:val="left"/>
      <w:lvlText w:val="(%1)"/>
      <w:numFmt w:val="lowerRoman"/>
      <w:start w:val="2"/>
    </w:lvl>
  </w:abstractNum>
  <w:abstractNum w:abstractNumId="160">
    <w:nsid w:val="3410ED56"/>
    <w:multiLevelType w:val="hybridMultilevel"/>
    <w:lvl w:ilvl="0">
      <w:lvlJc w:val="left"/>
      <w:lvlText w:val="(%1)"/>
      <w:numFmt w:val="lowerLetter"/>
      <w:start w:val="3"/>
    </w:lvl>
  </w:abstractNum>
  <w:abstractNum w:abstractNumId="161">
    <w:nsid w:val="23C049A"/>
    <w:multiLevelType w:val="hybridMultilevel"/>
    <w:lvl w:ilvl="0">
      <w:lvlJc w:val="left"/>
      <w:lvlText w:val="(%1)"/>
      <w:numFmt w:val="lowerLetter"/>
      <w:start w:val="1"/>
    </w:lvl>
  </w:abstractNum>
  <w:abstractNum w:abstractNumId="162">
    <w:nsid w:val="5BDA35D4"/>
    <w:multiLevelType w:val="hybridMultilevel"/>
    <w:lvl w:ilvl="0">
      <w:lvlJc w:val="left"/>
      <w:lvlText w:val="(%1)"/>
      <w:numFmt w:val="lowerLetter"/>
      <w:start w:val="2"/>
    </w:lvl>
  </w:abstractNum>
  <w:abstractNum w:abstractNumId="163">
    <w:nsid w:val="496FB218"/>
    <w:multiLevelType w:val="hybridMultilevel"/>
    <w:lvl w:ilvl="0">
      <w:lvlJc w:val="left"/>
      <w:lvlText w:val="(%1)"/>
      <w:numFmt w:val="lowerLetter"/>
      <w:start w:val="1"/>
    </w:lvl>
  </w:abstractNum>
  <w:abstractNum w:abstractNumId="164">
    <w:nsid w:val="680EA5D1"/>
    <w:multiLevelType w:val="hybridMultilevel"/>
    <w:lvl w:ilvl="0">
      <w:lvlJc w:val="left"/>
      <w:lvlText w:val="(%1)"/>
      <w:numFmt w:val="lowerLetter"/>
      <w:start w:val="1"/>
    </w:lvl>
  </w:abstractNum>
  <w:abstractNum w:abstractNumId="165">
    <w:nsid w:val="4A9554FE"/>
    <w:multiLevelType w:val="hybridMultilevel"/>
    <w:lvl w:ilvl="0">
      <w:lvlJc w:val="left"/>
      <w:lvlText w:val="(%1)"/>
      <w:numFmt w:val="lowerLetter"/>
      <w:start w:val="2"/>
    </w:lvl>
  </w:abstractNum>
  <w:abstractNum w:abstractNumId="166">
    <w:nsid w:val="392EDBE4"/>
    <w:multiLevelType w:val="hybridMultilevel"/>
    <w:lvl w:ilvl="0">
      <w:lvlJc w:val="left"/>
      <w:lvlText w:val="(%1)"/>
      <w:numFmt w:val="lowerLetter"/>
      <w:start w:val="5"/>
    </w:lvl>
  </w:abstractNum>
  <w:abstractNum w:abstractNumId="167">
    <w:nsid w:val="3D1A2DD9"/>
    <w:multiLevelType w:val="hybridMultilevel"/>
    <w:lvl w:ilvl="0">
      <w:lvlJc w:val="left"/>
      <w:lvlText w:val="(%1)"/>
      <w:numFmt w:val="lowerLetter"/>
      <w:start w:val="1"/>
    </w:lvl>
    <w:lvl w:ilvl="1">
      <w:lvlJc w:val="left"/>
      <w:lvlText w:val="(%2)"/>
      <w:numFmt w:val="lowerRoman"/>
      <w:start w:val="1"/>
    </w:lvl>
  </w:abstractNum>
  <w:abstractNum w:abstractNumId="168">
    <w:nsid w:val="7F618FCD"/>
    <w:multiLevelType w:val="hybridMultilevel"/>
    <w:lvl w:ilvl="0">
      <w:lvlJc w:val="left"/>
      <w:lvlText w:val="%1"/>
      <w:numFmt w:val="decimal"/>
      <w:start w:val="1"/>
    </w:lvl>
    <w:lvl w:ilvl="1">
      <w:lvlJc w:val="left"/>
      <w:lvlText w:val="(%2)"/>
      <w:numFmt w:val="lowerLetter"/>
      <w:start w:val="1"/>
    </w:lvl>
  </w:abstractNum>
  <w:abstractNum w:abstractNumId="169">
    <w:nsid w:val="7843E45"/>
    <w:multiLevelType w:val="hybridMultilevel"/>
    <w:lvl w:ilvl="0">
      <w:lvlJc w:val="left"/>
      <w:lvlText w:val="(%1)"/>
      <w:numFmt w:val="decimal"/>
      <w:start w:val="3"/>
    </w:lvl>
    <w:lvl w:ilvl="1">
      <w:lvlJc w:val="left"/>
      <w:lvlText w:val="%2"/>
      <w:numFmt w:val="lowerLetter"/>
      <w:start w:val="1"/>
    </w:lvl>
  </w:abstractNum>
  <w:abstractNum w:abstractNumId="170">
    <w:nsid w:val="9815DA3"/>
    <w:multiLevelType w:val="hybridMultilevel"/>
    <w:lvl w:ilvl="0">
      <w:lvlJc w:val="left"/>
      <w:lvlText w:val="(%1)"/>
      <w:numFmt w:val="lowerLetter"/>
      <w:start w:val="2"/>
    </w:lvl>
  </w:abstractNum>
  <w:abstractNum w:abstractNumId="171">
    <w:nsid w:val="5204A191"/>
    <w:multiLevelType w:val="hybridMultilevel"/>
    <w:lvl w:ilvl="0">
      <w:lvlJc w:val="left"/>
      <w:lvlText w:val="%1"/>
      <w:numFmt w:val="decimal"/>
      <w:start w:val="1"/>
    </w:lvl>
    <w:lvl w:ilvl="1">
      <w:lvlJc w:val="left"/>
      <w:lvlText w:val="(%2)"/>
      <w:numFmt w:val="lowerLetter"/>
      <w:start w:val="4"/>
    </w:lvl>
  </w:abstractNum>
  <w:abstractNum w:abstractNumId="172">
    <w:nsid w:val="4C73A9C6"/>
    <w:multiLevelType w:val="hybridMultilevel"/>
    <w:lvl w:ilvl="0">
      <w:lvlJc w:val="left"/>
      <w:lvlText w:val="(%1)"/>
      <w:numFmt w:val="decimal"/>
      <w:start w:val="15"/>
    </w:lvl>
    <w:lvl w:ilvl="1">
      <w:lvlJc w:val="left"/>
      <w:lvlText w:val="%2"/>
      <w:numFmt w:val="lowerLetter"/>
      <w:start w:val="1"/>
    </w:lvl>
  </w:abstractNum>
  <w:abstractNum w:abstractNumId="173">
    <w:nsid w:val="1C7E3C01"/>
    <w:multiLevelType w:val="hybridMultilevel"/>
    <w:lvl w:ilvl="0">
      <w:lvlJc w:val="left"/>
      <w:lvlText w:val="(%1)"/>
      <w:numFmt w:val="lowerLetter"/>
      <w:start w:val="1"/>
    </w:lvl>
  </w:abstractNum>
  <w:abstractNum w:abstractNumId="174">
    <w:nsid w:val="1C2201FF"/>
    <w:multiLevelType w:val="hybridMultilevel"/>
    <w:lvl w:ilvl="0">
      <w:lvlJc w:val="left"/>
      <w:lvlText w:val="(%1)"/>
      <w:numFmt w:val="lowerRoman"/>
      <w:start w:val="1"/>
    </w:lvl>
  </w:abstractNum>
  <w:abstractNum w:abstractNumId="175">
    <w:nsid w:val="50ABCEC9"/>
    <w:multiLevelType w:val="hybridMultilevel"/>
    <w:lvl w:ilvl="0">
      <w:lvlJc w:val="left"/>
      <w:lvlText w:val="(%1)"/>
      <w:numFmt w:val="upperLetter"/>
      <w:start w:val="1"/>
    </w:lvl>
  </w:abstractNum>
  <w:abstractNum w:abstractNumId="176">
    <w:nsid w:val="7635AA2A"/>
    <w:multiLevelType w:val="hybridMultilevel"/>
    <w:lvl w:ilvl="0">
      <w:lvlJc w:val="left"/>
      <w:lvlText w:val="(%1)"/>
      <w:numFmt w:val="upperLetter"/>
      <w:start w:val="3"/>
    </w:lvl>
  </w:abstractNum>
  <w:abstractNum w:abstractNumId="177">
    <w:nsid w:val="5E74C4D9"/>
    <w:multiLevelType w:val="hybridMultilevel"/>
    <w:lvl w:ilvl="0">
      <w:lvlJc w:val="left"/>
      <w:lvlText w:val="(%1)"/>
      <w:numFmt w:val="lowerRoman"/>
      <w:start w:val="3"/>
    </w:lvl>
  </w:abstractNum>
  <w:abstractNum w:abstractNumId="178">
    <w:nsid w:val="3B3EBE15"/>
    <w:multiLevelType w:val="hybridMultilevel"/>
    <w:lvl w:ilvl="0">
      <w:lvlJc w:val="left"/>
      <w:lvlText w:val="(%1)"/>
      <w:numFmt w:val="lowerLetter"/>
      <w:start w:val="2"/>
    </w:lvl>
  </w:abstractNum>
  <w:abstractNum w:abstractNumId="179">
    <w:nsid w:val="3822CB01"/>
    <w:multiLevelType w:val="hybridMultilevel"/>
    <w:lvl w:ilvl="0">
      <w:lvlJc w:val="left"/>
      <w:lvlText w:val="(%1)"/>
      <w:numFmt w:val="lowerRoman"/>
      <w:start w:val="1"/>
    </w:lvl>
  </w:abstractNum>
  <w:abstractNum w:abstractNumId="180">
    <w:nsid w:val="6CE00443"/>
    <w:multiLevelType w:val="hybridMultilevel"/>
    <w:lvl w:ilvl="0">
      <w:lvlJc w:val="left"/>
      <w:lvlText w:val="(%1)"/>
      <w:numFmt w:val="lowerRoman"/>
      <w:start w:val="3"/>
    </w:lvl>
  </w:abstractNum>
  <w:abstractNum w:abstractNumId="181">
    <w:nsid w:val="79F0D62F"/>
    <w:multiLevelType w:val="hybridMultilevel"/>
    <w:lvl w:ilvl="0">
      <w:lvlJc w:val="left"/>
      <w:lvlText w:val="(%1)"/>
      <w:numFmt w:val="lowerLetter"/>
      <w:start w:val="3"/>
    </w:lvl>
  </w:abstractNum>
  <w:abstractNum w:abstractNumId="182">
    <w:nsid w:val="7975E8EE"/>
    <w:multiLevelType w:val="hybridMultilevel"/>
    <w:lvl w:ilvl="0">
      <w:lvlJc w:val="left"/>
      <w:lvlText w:val="%1"/>
      <w:numFmt w:val="lowerRoman"/>
      <w:start w:val="1"/>
    </w:lvl>
    <w:lvl w:ilvl="1">
      <w:lvlJc w:val="left"/>
      <w:lvlText w:val="(%2)"/>
      <w:numFmt w:val="lowerRoman"/>
      <w:start w:val="1"/>
    </w:lvl>
  </w:abstractNum>
  <w:abstractNum w:abstractNumId="183">
    <w:nsid w:val="73154115"/>
    <w:multiLevelType w:val="hybridMultilevel"/>
    <w:lvl w:ilvl="0">
      <w:lvlJc w:val="left"/>
      <w:lvlText w:val="(%1)"/>
      <w:numFmt w:val="lowerRoman"/>
      <w:start w:val="1"/>
    </w:lvl>
    <w:lvl w:ilvl="1">
      <w:lvlJc w:val="left"/>
      <w:lvlText w:val="%2"/>
      <w:numFmt w:val="lowerRoman"/>
      <w:start w:val="1"/>
    </w:lvl>
  </w:abstractNum>
  <w:abstractNum w:abstractNumId="184">
    <w:nsid w:val="622D8102"/>
    <w:multiLevelType w:val="hybridMultilevel"/>
    <w:lvl w:ilvl="0">
      <w:lvlJc w:val="left"/>
      <w:lvlText w:val="%1"/>
      <w:numFmt w:val="upperLetter"/>
      <w:start w:val="1"/>
    </w:lvl>
    <w:lvl w:ilvl="1">
      <w:lvlJc w:val="left"/>
      <w:lvlText w:val="(%2)"/>
      <w:numFmt w:val="lowerRoman"/>
      <w:start w:val="2"/>
    </w:lvl>
  </w:abstractNum>
  <w:abstractNum w:abstractNumId="185">
    <w:nsid w:val="2AB26587"/>
    <w:multiLevelType w:val="hybridMultilevel"/>
    <w:lvl w:ilvl="0">
      <w:lvlJc w:val="left"/>
      <w:lvlText w:val="(%1)"/>
      <w:numFmt w:val="upperLetter"/>
      <w:start w:val="3"/>
    </w:lvl>
    <w:lvl w:ilvl="1">
      <w:lvlJc w:val="left"/>
      <w:lvlText w:val="%2"/>
      <w:numFmt w:val="lowerRoman"/>
      <w:start w:val="1"/>
    </w:lvl>
  </w:abstractNum>
  <w:abstractNum w:abstractNumId="186">
    <w:nsid w:val="44B3FA61"/>
    <w:multiLevelType w:val="hybridMultilevel"/>
    <w:lvl w:ilvl="0">
      <w:lvlJc w:val="left"/>
      <w:lvlText w:val="(%1)"/>
      <w:numFmt w:val="lowerRoman"/>
      <w:start w:val="6"/>
    </w:lvl>
  </w:abstractNum>
  <w:abstractNum w:abstractNumId="187">
    <w:nsid w:val="1C0CA67C"/>
    <w:multiLevelType w:val="hybridMultilevel"/>
    <w:lvl w:ilvl="0">
      <w:lvlJc w:val="left"/>
      <w:lvlText w:val="(%1)"/>
      <w:numFmt w:val="lowerRoman"/>
      <w:start w:val="8"/>
    </w:lvl>
  </w:abstractNum>
  <w:abstractNum w:abstractNumId="188">
    <w:nsid w:val="3D206613"/>
    <w:multiLevelType w:val="hybridMultilevel"/>
    <w:lvl w:ilvl="0">
      <w:lvlJc w:val="left"/>
      <w:lvlText w:val="(%1)"/>
      <w:numFmt w:val="lowerLetter"/>
      <w:start w:val="4"/>
    </w:lvl>
    <w:lvl w:ilvl="1">
      <w:lvlJc w:val="left"/>
      <w:lvlText w:val="(%2)"/>
      <w:numFmt w:val="lowerRoman"/>
      <w:start w:val="1"/>
    </w:lvl>
  </w:abstractNum>
  <w:abstractNum w:abstractNumId="189">
    <w:nsid w:val="7993B662"/>
    <w:multiLevelType w:val="hybridMultilevel"/>
    <w:lvl w:ilvl="0">
      <w:lvlJc w:val="left"/>
      <w:lvlText w:val="(%1)"/>
      <w:numFmt w:val="lowerLetter"/>
      <w:start w:val="5"/>
    </w:lvl>
  </w:abstractNum>
  <w:abstractNum w:abstractNumId="190">
    <w:nsid w:val="3BAB699E"/>
    <w:multiLevelType w:val="hybridMultilevel"/>
    <w:lvl w:ilvl="0">
      <w:lvlJc w:val="left"/>
      <w:lvlText w:val="(%1)"/>
      <w:numFmt w:val="lowerLetter"/>
      <w:start w:val="7"/>
    </w:lvl>
  </w:abstractNum>
  <w:abstractNum w:abstractNumId="191">
    <w:nsid w:val="71315369"/>
    <w:multiLevelType w:val="hybridMultilevel"/>
    <w:lvl w:ilvl="0">
      <w:lvlJc w:val="left"/>
      <w:lvlText w:val="(%1)"/>
      <w:numFmt w:val="lowerLetter"/>
      <w:start w:val="12"/>
    </w:lvl>
  </w:abstractNum>
  <w:abstractNum w:abstractNumId="192">
    <w:nsid w:val="7BCFBAFC"/>
    <w:multiLevelType w:val="hybridMultilevel"/>
    <w:lvl w:ilvl="0">
      <w:lvlJc w:val="left"/>
      <w:lvlText w:val="(%1)"/>
      <w:numFmt w:val="lowerRoman"/>
      <w:start w:val="1"/>
    </w:lvl>
  </w:abstractNum>
  <w:abstractNum w:abstractNumId="193">
    <w:nsid w:val="17859F72"/>
    <w:multiLevelType w:val="hybridMultilevel"/>
    <w:lvl w:ilvl="0">
      <w:lvlJc w:val="left"/>
      <w:lvlText w:val="(%1)"/>
      <w:numFmt w:val="lowerLetter"/>
      <w:start w:val="1"/>
    </w:lvl>
  </w:abstractNum>
  <w:abstractNum w:abstractNumId="194">
    <w:nsid w:val="3AA10581"/>
    <w:multiLevelType w:val="hybridMultilevel"/>
    <w:lvl w:ilvl="0">
      <w:lvlJc w:val="left"/>
      <w:lvlText w:val="(%1)"/>
      <w:numFmt w:val="lowerRoman"/>
      <w:start w:val="1"/>
    </w:lvl>
  </w:abstractNum>
  <w:abstractNum w:abstractNumId="195">
    <w:nsid w:val="63DE60CD"/>
    <w:multiLevelType w:val="hybridMultilevel"/>
    <w:lvl w:ilvl="0">
      <w:lvlJc w:val="left"/>
      <w:lvlText w:val="(%1)"/>
      <w:numFmt w:val="lowerLetter"/>
      <w:start w:val="2"/>
    </w:lvl>
  </w:abstractNum>
  <w:abstractNum w:abstractNumId="196">
    <w:nsid w:val="621AF471"/>
    <w:multiLevelType w:val="hybridMultilevel"/>
    <w:lvl w:ilvl="0">
      <w:lvlJc w:val="left"/>
      <w:lvlText w:val="(%1)"/>
      <w:numFmt w:val="lowerRoman"/>
      <w:start w:val="1"/>
    </w:lvl>
  </w:abstractNum>
  <w:abstractNum w:abstractNumId="197">
    <w:nsid w:val="73CFE165"/>
    <w:multiLevelType w:val="hybridMultilevel"/>
    <w:lvl w:ilvl="0">
      <w:lvlJc w:val="left"/>
      <w:lvlText w:val="(%1)"/>
      <w:numFmt w:val="upperLetter"/>
      <w:start w:val="2"/>
    </w:lvl>
  </w:abstractNum>
  <w:abstractNum w:abstractNumId="198">
    <w:nsid w:val="20F88EA6"/>
    <w:multiLevelType w:val="hybridMultilevel"/>
    <w:lvl w:ilvl="0">
      <w:lvlJc w:val="left"/>
      <w:lvlText w:val="(%1)"/>
      <w:numFmt w:val="upperLetter"/>
      <w:start w:val="3"/>
    </w:lvl>
  </w:abstractNum>
  <w:abstractNum w:abstractNumId="199">
    <w:nsid w:val="617C843E"/>
    <w:multiLevelType w:val="hybridMultilevel"/>
    <w:lvl w:ilvl="0">
      <w:lvlJc w:val="left"/>
      <w:lvlText w:val="(%1)"/>
      <w:numFmt w:val="lowerRoman"/>
      <w:start w:val="3"/>
    </w:lvl>
  </w:abstractNum>
  <w:abstractNum w:abstractNumId="200">
    <w:nsid w:val="7B541FAB"/>
    <w:multiLevelType w:val="hybridMultilevel"/>
    <w:lvl w:ilvl="0">
      <w:lvlJc w:val="left"/>
      <w:lvlText w:val="(%1)"/>
      <w:numFmt w:val="lowerRoman"/>
      <w:start w:val="4"/>
    </w:lvl>
  </w:abstractNum>
  <w:abstractNum w:abstractNumId="201">
    <w:nsid w:val="2A79EC49"/>
    <w:multiLevelType w:val="hybridMultilevel"/>
    <w:lvl w:ilvl="0">
      <w:lvlJc w:val="left"/>
      <w:lvlText w:val="(%1)"/>
      <w:numFmt w:val="lowerRoman"/>
      <w:start w:val="7"/>
    </w:lvl>
  </w:abstractNum>
  <w:abstractNum w:abstractNumId="202">
    <w:nsid w:val="338125CF"/>
    <w:multiLevelType w:val="hybridMultilevel"/>
    <w:lvl w:ilvl="0">
      <w:lvlJc w:val="left"/>
      <w:lvlText w:val="(%1)"/>
      <w:numFmt w:val="lowerLetter"/>
      <w:start w:val="3"/>
    </w:lvl>
  </w:abstractNum>
  <w:abstractNum w:abstractNumId="203">
    <w:nsid w:val="47C7C971"/>
    <w:multiLevelType w:val="hybridMultilevel"/>
    <w:lvl w:ilvl="0">
      <w:lvlJc w:val="left"/>
      <w:lvlText w:val="(%1)"/>
      <w:numFmt w:val="lowerLetter"/>
      <w:start w:val="4"/>
    </w:lvl>
  </w:abstractNum>
  <w:abstractNum w:abstractNumId="204">
    <w:nsid w:val="46F8284B"/>
    <w:multiLevelType w:val="hybridMultilevel"/>
    <w:lvl w:ilvl="0">
      <w:lvlJc w:val="left"/>
      <w:lvlText w:val="(%1)"/>
      <w:numFmt w:val="lowerRoman"/>
      <w:start w:val="1"/>
    </w:lvl>
  </w:abstractNum>
  <w:abstractNum w:abstractNumId="205">
    <w:nsid w:val="4FA327CE"/>
    <w:multiLevelType w:val="hybridMultilevel"/>
    <w:lvl w:ilvl="0">
      <w:lvlJc w:val="left"/>
      <w:lvlText w:val="(%1)"/>
      <w:numFmt w:val="lowerRoman"/>
      <w:start w:val="3"/>
    </w:lvl>
  </w:abstractNum>
  <w:abstractNum w:abstractNumId="206">
    <w:nsid w:val="1873983A"/>
    <w:multiLevelType w:val="hybridMultilevel"/>
    <w:lvl w:ilvl="0">
      <w:lvlJc w:val="left"/>
      <w:lvlText w:val="(%1)"/>
      <w:numFmt w:val="lowerRoman"/>
      <w:start w:val="6"/>
    </w:lvl>
  </w:abstractNum>
  <w:abstractNum w:abstractNumId="207">
    <w:nsid w:val="3D2DD275"/>
    <w:multiLevelType w:val="hybridMultilevel"/>
    <w:lvl w:ilvl="0">
      <w:lvlJc w:val="left"/>
      <w:lvlText w:val="(%1)"/>
      <w:numFmt w:val="lowerLetter"/>
      <w:start w:val="1"/>
    </w:lvl>
  </w:abstractNum>
  <w:abstractNum w:abstractNumId="208">
    <w:nsid w:val="2E17ECA7"/>
    <w:multiLevelType w:val="hybridMultilevel"/>
    <w:lvl w:ilvl="0">
      <w:lvlJc w:val="left"/>
      <w:lvlText w:val="(%1)"/>
      <w:numFmt w:val="lowerLetter"/>
      <w:start w:val="3"/>
    </w:lvl>
  </w:abstractNum>
  <w:abstractNum w:abstractNumId="209">
    <w:nsid w:val="53B2564F"/>
    <w:multiLevelType w:val="hybridMultilevel"/>
    <w:lvl w:ilvl="0">
      <w:lvlJc w:val="left"/>
      <w:lvlText w:val="(%1)"/>
      <w:numFmt w:val="lowerLetter"/>
      <w:start w:val="1"/>
    </w:lvl>
  </w:abstractNum>
  <w:abstractNum w:abstractNumId="210">
    <w:nsid w:val="75509D76"/>
    <w:multiLevelType w:val="hybridMultilevel"/>
    <w:lvl w:ilvl="0">
      <w:lvlJc w:val="left"/>
      <w:lvlText w:val="(%1)"/>
      <w:numFmt w:val="lowerLetter"/>
      <w:start w:val="1"/>
    </w:lvl>
  </w:abstractNum>
  <w:abstractNum w:abstractNumId="211">
    <w:nsid w:val="1AF7F0EA"/>
    <w:multiLevelType w:val="hybridMultilevel"/>
    <w:lvl w:ilvl="0">
      <w:lvlJc w:val="left"/>
      <w:lvlText w:val="(%1)"/>
      <w:numFmt w:val="lowerLetter"/>
      <w:start w:val="1"/>
    </w:lvl>
  </w:abstractNum>
  <w:abstractNum w:abstractNumId="212">
    <w:nsid w:val="4DA32C7E"/>
    <w:multiLevelType w:val="hybridMultilevel"/>
    <w:lvl w:ilvl="0">
      <w:lvlJc w:val="left"/>
      <w:lvlText w:val="(%1)"/>
      <w:numFmt w:val="lowerLetter"/>
      <w:start w:val="1"/>
    </w:lvl>
  </w:abstractNum>
  <w:abstractNum w:abstractNumId="213">
    <w:nsid w:val="6EC68664"/>
    <w:multiLevelType w:val="hybridMultilevel"/>
    <w:lvl w:ilvl="0">
      <w:lvlJc w:val="left"/>
      <w:lvlText w:val="(%1)"/>
      <w:numFmt w:val="lowerLetter"/>
      <w:start w:val="1"/>
    </w:lvl>
  </w:abstractNum>
  <w:abstractNum w:abstractNumId="214">
    <w:nsid w:val="E0D31FF"/>
    <w:multiLevelType w:val="hybridMultilevel"/>
    <w:lvl w:ilvl="0">
      <w:lvlJc w:val="left"/>
      <w:lvlText w:val="(%1)"/>
      <w:numFmt w:val="lowerLetter"/>
      <w:start w:val="2"/>
    </w:lvl>
  </w:abstractNum>
  <w:abstractNum w:abstractNumId="215">
    <w:nsid w:val="2FD0AD81"/>
    <w:multiLevelType w:val="hybridMultilevel"/>
    <w:lvl w:ilvl="0">
      <w:lvlJc w:val="left"/>
      <w:lvlText w:val="(%1)"/>
      <w:numFmt w:val="lowerLetter"/>
      <w:start w:val="1"/>
    </w:lvl>
  </w:abstractNum>
  <w:abstractNum w:abstractNumId="216">
    <w:nsid w:val="1978EBEB"/>
    <w:multiLevelType w:val="hybridMultilevel"/>
    <w:lvl w:ilvl="0">
      <w:lvlJc w:val="left"/>
      <w:lvlText w:val="(%1)"/>
      <w:numFmt w:val="lowerRoman"/>
      <w:start w:val="1"/>
    </w:lvl>
  </w:abstractNum>
  <w:abstractNum w:abstractNumId="217">
    <w:nsid w:val="52C12C61"/>
    <w:multiLevelType w:val="hybridMultilevel"/>
    <w:lvl w:ilvl="0">
      <w:lvlJc w:val="left"/>
      <w:lvlText w:val="(%1)"/>
      <w:numFmt w:val="lowerRoman"/>
      <w:start w:val="2"/>
    </w:lvl>
  </w:abstractNum>
  <w:abstractNum w:abstractNumId="218">
    <w:nsid w:val="4BDD53FD"/>
    <w:multiLevelType w:val="hybridMultilevel"/>
    <w:lvl w:ilvl="0">
      <w:lvlJc w:val="left"/>
      <w:lvlText w:val="(%1)"/>
      <w:numFmt w:val="lowerLetter"/>
      <w:start w:val="4"/>
    </w:lvl>
  </w:abstractNum>
  <w:abstractNum w:abstractNumId="219">
    <w:nsid w:val="569951FE"/>
    <w:multiLevelType w:val="hybridMultilevel"/>
    <w:lvl w:ilvl="0">
      <w:lvlJc w:val="left"/>
      <w:lvlText w:val="(%1)"/>
      <w:numFmt w:val="lowerRoman"/>
      <w:start w:val="2"/>
    </w:lvl>
  </w:abstractNum>
  <w:abstractNum w:abstractNumId="220">
    <w:nsid w:val="4C54E2C3"/>
    <w:multiLevelType w:val="hybridMultilevel"/>
    <w:lvl w:ilvl="0">
      <w:lvlJc w:val="left"/>
      <w:lvlText w:val="(%1)"/>
      <w:numFmt w:val="lowerLetter"/>
      <w:start w:val="1"/>
    </w:lvl>
  </w:abstractNum>
  <w:abstractNum w:abstractNumId="221">
    <w:nsid w:val="788BD9B"/>
    <w:multiLevelType w:val="hybridMultilevel"/>
    <w:lvl w:ilvl="0">
      <w:lvlJc w:val="left"/>
      <w:lvlText w:val="(%1)"/>
      <w:numFmt w:val="upperLetter"/>
      <w:start w:val="2"/>
    </w:lvl>
  </w:abstractNum>
  <w:abstractNum w:abstractNumId="222">
    <w:nsid w:val="47CAA567"/>
    <w:multiLevelType w:val="hybridMultilevel"/>
    <w:lvl w:ilvl="0">
      <w:lvlJc w:val="left"/>
      <w:lvlText w:val="%1"/>
      <w:numFmt w:val="lowerLetter"/>
      <w:start w:val="1"/>
    </w:lvl>
    <w:lvl w:ilvl="1">
      <w:lvlJc w:val="left"/>
      <w:lvlText w:val="(%2)"/>
      <w:numFmt w:val="lowerLetter"/>
      <w:start w:val="2"/>
    </w:lvl>
  </w:abstractNum>
  <w:abstractNum w:abstractNumId="223">
    <w:nsid w:val="48249DBF"/>
    <w:multiLevelType w:val="hybridMultilevel"/>
    <w:lvl w:ilvl="0">
      <w:lvlJc w:val="left"/>
      <w:lvlText w:val="(%1)"/>
      <w:numFmt w:val="lowerLetter"/>
      <w:start w:val="9"/>
    </w:lvl>
    <w:lvl w:ilvl="1">
      <w:lvlJc w:val="left"/>
      <w:lvlText w:val="%2"/>
      <w:numFmt w:val="lowerLetter"/>
      <w:start w:val="1"/>
    </w:lvl>
  </w:abstractNum>
  <w:abstractNum w:abstractNumId="224">
    <w:nsid w:val="1F0E5D0D"/>
    <w:multiLevelType w:val="hybridMultilevel"/>
    <w:lvl w:ilvl="0">
      <w:lvlJc w:val="left"/>
      <w:lvlText w:val="%1"/>
      <w:numFmt w:val="upperLetter"/>
      <w:start w:val="1"/>
    </w:lvl>
    <w:lvl w:ilvl="1">
      <w:lvlJc w:val="left"/>
      <w:lvlText w:val="(%2)"/>
      <w:numFmt w:val="lowerLetter"/>
      <w:start w:val="4"/>
    </w:lvl>
  </w:abstractNum>
  <w:abstractNum w:abstractNumId="225">
    <w:nsid w:val="26BAAE9"/>
    <w:multiLevelType w:val="hybridMultilevel"/>
    <w:lvl w:ilvl="0">
      <w:lvlJc w:val="left"/>
      <w:lvlText w:val="(%1)"/>
      <w:numFmt w:val="upperLetter"/>
      <w:start w:val="2"/>
    </w:lvl>
    <w:lvl w:ilvl="1">
      <w:lvlJc w:val="left"/>
      <w:lvlText w:val="%2"/>
      <w:numFmt w:val="lowerLetter"/>
      <w:start w:val="1"/>
    </w:lvl>
  </w:abstractNum>
  <w:abstractNum w:abstractNumId="226">
    <w:nsid w:val="2C02FE8C"/>
    <w:multiLevelType w:val="hybridMultilevel"/>
    <w:lvl w:ilvl="0">
      <w:lvlJc w:val="left"/>
      <w:lvlText w:val="(%1)"/>
      <w:numFmt w:val="lowerLetter"/>
      <w:start w:val="5"/>
    </w:lvl>
  </w:abstractNum>
  <w:abstractNum w:abstractNumId="227">
    <w:nsid w:val="129517E"/>
    <w:multiLevelType w:val="hybridMultilevel"/>
    <w:lvl w:ilvl="0">
      <w:lvlJc w:val="left"/>
      <w:lvlText w:val="(%1)"/>
      <w:numFmt w:val="lowerLetter"/>
      <w:start w:val="1"/>
    </w:lvl>
  </w:abstractNum>
  <w:abstractNum w:abstractNumId="228">
    <w:nsid w:val="763B8C4E"/>
    <w:multiLevelType w:val="hybridMultilevel"/>
    <w:lvl w:ilvl="0">
      <w:lvlJc w:val="left"/>
      <w:lvlText w:val="(%1)"/>
      <w:numFmt w:val="lowerLetter"/>
      <w:start w:val="9"/>
    </w:lvl>
    <w:lvl w:ilvl="1">
      <w:lvlJc w:val="left"/>
      <w:lvlText w:val="(%2)"/>
      <w:numFmt w:val="lowerLetter"/>
      <w:start w:val="2"/>
    </w:lvl>
  </w:abstractNum>
  <w:abstractNum w:abstractNumId="229">
    <w:nsid w:val="4CFB8D32"/>
    <w:multiLevelType w:val="hybridMultilevel"/>
    <w:lvl w:ilvl="0">
      <w:lvlJc w:val="left"/>
      <w:lvlText w:val="(%1)"/>
      <w:numFmt w:val="lowerLetter"/>
      <w:start w:val="26"/>
    </w:lvl>
    <w:lvl w:ilvl="1">
      <w:lvlJc w:val="left"/>
      <w:lvlText w:val="%2"/>
      <w:numFmt w:val="lowerLetter"/>
      <w:start w:val="1"/>
    </w:lvl>
  </w:abstractNum>
  <w:abstractNum w:abstractNumId="230">
    <w:nsid w:val="62A5D5BD"/>
    <w:multiLevelType w:val="hybridMultilevel"/>
    <w:lvl w:ilvl="0">
      <w:lvlJc w:val="left"/>
      <w:lvlText w:val="(%1)"/>
      <w:numFmt w:val="lowerLetter"/>
      <w:start w:val="3"/>
    </w:lvl>
  </w:abstractNum>
  <w:abstractNum w:abstractNumId="231">
    <w:nsid w:val="718FABF9"/>
    <w:multiLevelType w:val="hybridMultilevel"/>
    <w:lvl w:ilvl="0">
      <w:lvlJc w:val="left"/>
      <w:lvlText w:val="(%1)"/>
      <w:numFmt w:val="lowerLetter"/>
      <w:start w:val="1"/>
    </w:lvl>
  </w:abstractNum>
  <w:abstractNum w:abstractNumId="232">
    <w:nsid w:val="7775797C"/>
    <w:multiLevelType w:val="hybridMultilevel"/>
    <w:lvl w:ilvl="0">
      <w:lvlJc w:val="left"/>
      <w:lvlText w:val="%1"/>
      <w:numFmt w:val="lowerLetter"/>
      <w:start w:val="1"/>
    </w:lvl>
    <w:lvl w:ilvl="1">
      <w:lvlJc w:val="left"/>
      <w:lvlText w:val="(%2)"/>
      <w:numFmt w:val="lowerRoman"/>
      <w:start w:val="1"/>
    </w:lvl>
  </w:abstractNum>
  <w:abstractNum w:abstractNumId="233">
    <w:nsid w:val="1626FB8C"/>
    <w:multiLevelType w:val="hybridMultilevel"/>
    <w:lvl w:ilvl="0">
      <w:lvlJc w:val="left"/>
      <w:lvlText w:val="(%1)"/>
      <w:numFmt w:val="lowerLetter"/>
      <w:start w:val="4"/>
    </w:lvl>
    <w:lvl w:ilvl="1">
      <w:lvlJc w:val="left"/>
      <w:lvlText w:val="%2"/>
      <w:numFmt w:val="lowerRoman"/>
      <w:start w:val="1"/>
    </w:lvl>
  </w:abstractNum>
  <w:abstractNum w:abstractNumId="234">
    <w:nsid w:val="3957756A"/>
    <w:multiLevelType w:val="hybridMultilevel"/>
    <w:lvl w:ilvl="0">
      <w:lvlJc w:val="left"/>
      <w:lvlText w:val="(%1)"/>
      <w:numFmt w:val="lowerLetter"/>
      <w:start w:val="1"/>
    </w:lvl>
    <w:lvl w:ilvl="1">
      <w:lvlJc w:val="left"/>
      <w:lvlText w:val="(%2)"/>
      <w:numFmt w:val="lowerRoman"/>
      <w:start w:val="1"/>
    </w:lvl>
  </w:abstractNum>
  <w:abstractNum w:abstractNumId="235">
    <w:nsid w:val="3E6DA1C7"/>
    <w:multiLevelType w:val="hybridMultilevel"/>
    <w:lvl w:ilvl="0">
      <w:lvlJc w:val="left"/>
      <w:lvlText w:val="(%1)"/>
      <w:numFmt w:val="lowerRoman"/>
      <w:start w:val="6"/>
    </w:lvl>
  </w:abstractNum>
  <w:abstractNum w:abstractNumId="236">
    <w:nsid w:val="65CA235B"/>
    <w:multiLevelType w:val="hybridMultilevel"/>
    <w:lvl w:ilvl="0">
      <w:lvlJc w:val="left"/>
      <w:lvlText w:val="(%1)"/>
      <w:numFmt w:val="lowerRoman"/>
      <w:start w:val="11"/>
    </w:lvl>
  </w:abstractNum>
  <w:abstractNum w:abstractNumId="237">
    <w:nsid w:val="51CB0DA4"/>
    <w:multiLevelType w:val="hybridMultilevel"/>
    <w:lvl w:ilvl="0">
      <w:lvlJc w:val="left"/>
      <w:lvlText w:val="(%1)"/>
      <w:numFmt w:val="lowerLetter"/>
      <w:start w:val="2"/>
    </w:lvl>
  </w:abstractNum>
  <w:abstractNum w:abstractNumId="238">
    <w:nsid w:val="7B9B743C"/>
    <w:multiLevelType w:val="hybridMultilevel"/>
    <w:lvl w:ilvl="0">
      <w:lvlJc w:val="left"/>
      <w:lvlText w:val="(%1)"/>
      <w:numFmt w:val="lowerLetter"/>
      <w:start w:val="1"/>
    </w:lvl>
  </w:abstractNum>
  <w:abstractNum w:abstractNumId="239">
    <w:nsid w:val="13E21002"/>
    <w:multiLevelType w:val="hybridMultilevel"/>
    <w:lvl w:ilvl="0">
      <w:lvlJc w:val="left"/>
      <w:lvlText w:val="(%1)"/>
      <w:numFmt w:val="lowerLetter"/>
      <w:start w:val="35"/>
    </w:lvl>
    <w:lvl w:ilvl="1">
      <w:lvlJc w:val="left"/>
      <w:lvlText w:val="(%2)"/>
      <w:numFmt w:val="lowerLetter"/>
      <w:start w:val="2"/>
    </w:lvl>
  </w:abstractNum>
  <w:abstractNum w:abstractNumId="240">
    <w:nsid w:val="257D63F4"/>
    <w:multiLevelType w:val="hybridMultilevel"/>
    <w:lvl w:ilvl="0">
      <w:lvlJc w:val="left"/>
      <w:lvlText w:val="(%1)"/>
      <w:numFmt w:val="lowerLetter"/>
      <w:start w:val="1"/>
    </w:lvl>
  </w:abstractNum>
  <w:abstractNum w:abstractNumId="241">
    <w:nsid w:val="70EC11B2"/>
    <w:multiLevelType w:val="hybridMultilevel"/>
    <w:lvl w:ilvl="0">
      <w:lvlJc w:val="left"/>
      <w:lvlText w:val="(%1)"/>
      <w:numFmt w:val="lowerLetter"/>
      <w:start w:val="2"/>
    </w:lvl>
  </w:abstractNum>
  <w:abstractNum w:abstractNumId="242">
    <w:nsid w:val="2EDA00ED"/>
    <w:multiLevelType w:val="hybridMultilevel"/>
    <w:lvl w:ilvl="0">
      <w:lvlJc w:val="left"/>
      <w:lvlText w:val="%1"/>
      <w:numFmt w:val="lowerLetter"/>
      <w:start w:val="1"/>
    </w:lvl>
    <w:lvl w:ilvl="1">
      <w:lvlJc w:val="left"/>
      <w:lvlText w:val="(%2)"/>
      <w:numFmt w:val="lowerLetter"/>
      <w:start w:val="4"/>
    </w:lvl>
  </w:abstractNum>
  <w:abstractNum w:abstractNumId="243">
    <w:nsid w:val="73209072"/>
    <w:multiLevelType w:val="hybridMultilevel"/>
    <w:lvl w:ilvl="0">
      <w:lvlJc w:val="left"/>
      <w:lvlText w:val="(%1)"/>
      <w:numFmt w:val="lowerLetter"/>
      <w:start w:val="2"/>
    </w:lvl>
    <w:lvl w:ilvl="1">
      <w:lvlJc w:val="left"/>
      <w:lvlText w:val="(%2)"/>
      <w:numFmt w:val="lowerLetter"/>
      <w:start w:val="5"/>
    </w:lvl>
  </w:abstractNum>
  <w:abstractNum w:abstractNumId="244">
    <w:nsid w:val="5FB29816"/>
    <w:multiLevelType w:val="hybridMultilevel"/>
    <w:lvl w:ilvl="0">
      <w:lvlJc w:val="left"/>
      <w:lvlText w:val="(%1)"/>
      <w:numFmt w:val="lowerLetter"/>
      <w:start w:val="9"/>
    </w:lvl>
    <w:lvl w:ilvl="1">
      <w:lvlJc w:val="left"/>
      <w:lvlText w:val="(%2)"/>
      <w:numFmt w:val="lowerLetter"/>
      <w:start w:val="6"/>
    </w:lvl>
  </w:abstractNum>
  <w:abstractNum w:abstractNumId="245">
    <w:nsid w:val="3CE732EC"/>
    <w:multiLevelType w:val="hybridMultilevel"/>
    <w:lvl w:ilvl="0">
      <w:lvlJc w:val="left"/>
      <w:lvlText w:val="(%1)"/>
      <w:numFmt w:val="lowerRoman"/>
      <w:start w:val="2"/>
    </w:lvl>
    <w:lvl w:ilvl="1">
      <w:lvlJc w:val="left"/>
      <w:lvlText w:val="(%2)"/>
      <w:numFmt w:val="upperLetter"/>
      <w:start w:val="1"/>
    </w:lvl>
  </w:abstractNum>
  <w:abstractNum w:abstractNumId="246">
    <w:nsid w:val="22F13DF3"/>
    <w:multiLevelType w:val="hybridMultilevel"/>
    <w:lvl w:ilvl="0">
      <w:lvlJc w:val="left"/>
      <w:lvlText w:val="(%1)"/>
      <w:numFmt w:val="decimal"/>
      <w:start w:val="1"/>
    </w:lvl>
  </w:abstractNum>
  <w:abstractNum w:abstractNumId="247">
    <w:nsid w:val="792B8401"/>
    <w:multiLevelType w:val="hybridMultilevel"/>
    <w:lvl w:ilvl="0">
      <w:lvlJc w:val="left"/>
      <w:lvlText w:val="(%1)"/>
      <w:numFmt w:val="lowerRoman"/>
      <w:start w:val="2"/>
    </w:lvl>
  </w:abstractNum>
  <w:abstractNum w:abstractNumId="248">
    <w:nsid w:val="FA85F4D"/>
    <w:multiLevelType w:val="hybridMultilevel"/>
    <w:lvl w:ilvl="0">
      <w:lvlJc w:val="left"/>
      <w:lvlText w:val="(%1)"/>
      <w:numFmt w:val="lowerRoman"/>
      <w:start w:val="3"/>
    </w:lvl>
    <w:lvl w:ilvl="1">
      <w:lvlJc w:val="left"/>
      <w:lvlText w:val="(%2)"/>
      <w:numFmt w:val="upperLetter"/>
      <w:start w:val="1"/>
    </w:lvl>
  </w:abstractNum>
  <w:abstractNum w:abstractNumId="249">
    <w:nsid w:val="6ECE91F0"/>
    <w:multiLevelType w:val="hybridMultilevel"/>
    <w:lvl w:ilvl="0">
      <w:lvlJc w:val="left"/>
      <w:lvlText w:val="(%1)"/>
      <w:numFmt w:val="lowerLetter"/>
      <w:start w:val="7"/>
    </w:lvl>
  </w:abstractNum>
  <w:abstractNum w:abstractNumId="250">
    <w:nsid w:val="4FC4D600"/>
    <w:multiLevelType w:val="hybridMultilevel"/>
    <w:lvl w:ilvl="0">
      <w:lvlJc w:val="left"/>
      <w:lvlText w:val="(%1)"/>
      <w:numFmt w:val="lowerLetter"/>
      <w:start w:val="1"/>
    </w:lvl>
  </w:abstractNum>
  <w:abstractNum w:abstractNumId="251">
    <w:nsid w:val="5BFD4210"/>
    <w:multiLevelType w:val="hybridMultilevel"/>
    <w:lvl w:ilvl="0">
      <w:lvlJc w:val="left"/>
      <w:lvlText w:val="(%1)"/>
      <w:numFmt w:val="lowerLetter"/>
      <w:start w:val="3"/>
    </w:lvl>
  </w:abstractNum>
  <w:abstractNum w:abstractNumId="252">
    <w:nsid w:val="76574F8B"/>
    <w:multiLevelType w:val="hybridMultilevel"/>
    <w:lvl w:ilvl="0">
      <w:lvlJc w:val="left"/>
      <w:lvlText w:val="(%1)"/>
      <w:numFmt w:val="lowerLetter"/>
      <w:start w:val="1"/>
    </w:lvl>
  </w:abstractNum>
  <w:abstractNum w:abstractNumId="253">
    <w:nsid w:val="178F7B67"/>
    <w:multiLevelType w:val="hybridMultilevel"/>
    <w:lvl w:ilvl="0">
      <w:lvlJc w:val="left"/>
      <w:lvlText w:val="(%1)"/>
      <w:numFmt w:val="lowerLetter"/>
      <w:start w:val="3"/>
    </w:lvl>
  </w:abstractNum>
  <w:abstractNum w:abstractNumId="254">
    <w:nsid w:val="2421DFCF"/>
    <w:multiLevelType w:val="hybridMultilevel"/>
    <w:lvl w:ilvl="0">
      <w:lvlJc w:val="left"/>
      <w:lvlText w:val="(%1)"/>
      <w:numFmt w:val="lowerLetter"/>
      <w:start w:val="1"/>
    </w:lvl>
  </w:abstractNum>
  <w:abstractNum w:abstractNumId="255">
    <w:nsid w:val="1565AC99"/>
    <w:multiLevelType w:val="hybridMultilevel"/>
    <w:lvl w:ilvl="0">
      <w:lvlJc w:val="left"/>
      <w:lvlText w:val="(%1)"/>
      <w:numFmt w:val="lowerLetter"/>
      <w:start w:val="1"/>
    </w:lvl>
  </w:abstractNum>
  <w:abstractNum w:abstractNumId="256">
    <w:nsid w:val="19FB2650"/>
    <w:multiLevelType w:val="hybridMultilevel"/>
    <w:lvl w:ilvl="0">
      <w:lvlJc w:val="left"/>
      <w:lvlText w:val="(%1)"/>
      <w:numFmt w:val="lowerLetter"/>
      <w:start w:val="3"/>
    </w:lvl>
  </w:abstractNum>
  <w:abstractNum w:abstractNumId="257">
    <w:nsid w:val="5024DE5B"/>
    <w:multiLevelType w:val="hybridMultilevel"/>
    <w:lvl w:ilvl="0">
      <w:lvlJc w:val="left"/>
      <w:lvlText w:val="(%1)"/>
      <w:numFmt w:val="lowerRoman"/>
      <w:start w:val="1"/>
    </w:lvl>
  </w:abstractNum>
  <w:abstractNum w:abstractNumId="258">
    <w:nsid w:val="168EFE17"/>
    <w:multiLevelType w:val="hybridMultilevel"/>
    <w:lvl w:ilvl="0">
      <w:lvlJc w:val="left"/>
      <w:lvlText w:val="(%1)"/>
      <w:numFmt w:val="lowerLetter"/>
      <w:start w:val="4"/>
    </w:lvl>
  </w:abstractNum>
  <w:abstractNum w:abstractNumId="259">
    <w:nsid w:val="1036B29F"/>
    <w:multiLevelType w:val="hybridMultilevel"/>
    <w:lvl w:ilvl="0">
      <w:lvlJc w:val="left"/>
      <w:lvlText w:val="(%1)"/>
      <w:numFmt w:val="lowerLetter"/>
      <w:start w:val="1"/>
    </w:lvl>
  </w:abstractNum>
  <w:abstractNum w:abstractNumId="260">
    <w:nsid w:val="1D206B8E"/>
    <w:multiLevelType w:val="hybridMultilevel"/>
    <w:lvl w:ilvl="0">
      <w:lvlJc w:val="left"/>
      <w:lvlText w:val="(%1)"/>
      <w:numFmt w:val="lowerLetter"/>
      <w:start w:val="2"/>
    </w:lvl>
  </w:abstractNum>
  <w:abstractNum w:abstractNumId="261">
    <w:nsid w:val="7934D3D4"/>
    <w:multiLevelType w:val="hybridMultilevel"/>
    <w:lvl w:ilvl="0">
      <w:lvlJc w:val="left"/>
      <w:lvlText w:val="(%1)"/>
      <w:numFmt w:val="lowerLetter"/>
      <w:start w:val="1"/>
    </w:lvl>
  </w:abstractNum>
  <w:abstractNum w:abstractNumId="262">
    <w:nsid w:val="1C65E98"/>
    <w:multiLevelType w:val="hybridMultilevel"/>
    <w:lvl w:ilvl="0">
      <w:lvlJc w:val="left"/>
      <w:lvlText w:val="(%1)"/>
      <w:numFmt w:val="lowerRoman"/>
      <w:start w:val="1"/>
    </w:lvl>
  </w:abstractNum>
  <w:abstractNum w:abstractNumId="263">
    <w:nsid w:val="1495E50A"/>
    <w:multiLevelType w:val="hybridMultilevel"/>
    <w:lvl w:ilvl="0">
      <w:lvlJc w:val="left"/>
      <w:lvlText w:val="(%1)"/>
      <w:numFmt w:val="lowerRoman"/>
      <w:start w:val="3"/>
    </w:lvl>
  </w:abstractNum>
  <w:abstractNum w:abstractNumId="264">
    <w:nsid w:val="F5BCF61"/>
    <w:multiLevelType w:val="hybridMultilevel"/>
    <w:lvl w:ilvl="0">
      <w:lvlJc w:val="left"/>
      <w:lvlText w:val="(%1)"/>
      <w:numFmt w:val="lowerLetter"/>
      <w:start w:val="2"/>
    </w:lvl>
  </w:abstractNum>
  <w:abstractNum w:abstractNumId="265">
    <w:nsid w:val="3B1DD403"/>
    <w:multiLevelType w:val="hybridMultilevel"/>
    <w:lvl w:ilvl="0">
      <w:lvlJc w:val="left"/>
      <w:lvlText w:val="(%1)"/>
      <w:numFmt w:val="lowerLetter"/>
      <w:start w:val="7"/>
    </w:lvl>
  </w:abstractNum>
  <w:abstractNum w:abstractNumId="266">
    <w:nsid w:val="530386D1"/>
    <w:multiLevelType w:val="hybridMultilevel"/>
    <w:lvl w:ilvl="0">
      <w:lvlJc w:val="left"/>
      <w:lvlText w:val="(%1)"/>
      <w:numFmt w:val="lowerLetter"/>
      <w:start w:val="13"/>
    </w:lvl>
  </w:abstractNum>
  <w:abstractNum w:abstractNumId="267">
    <w:nsid w:val="7525F2BC"/>
    <w:multiLevelType w:val="hybridMultilevel"/>
    <w:lvl w:ilvl="0">
      <w:lvlJc w:val="left"/>
      <w:lvlText w:val="(%1)"/>
      <w:numFmt w:val="lowerLetter"/>
      <w:start w:val="1"/>
    </w:lvl>
  </w:abstractNum>
  <w:abstractNum w:abstractNumId="268">
    <w:nsid w:val="CE8E1A7"/>
    <w:multiLevelType w:val="hybridMultilevel"/>
    <w:lvl w:ilvl="0">
      <w:lvlJc w:val="left"/>
      <w:lvlText w:val="(%1)"/>
      <w:numFmt w:val="lowerLetter"/>
      <w:start w:val="1"/>
    </w:lvl>
  </w:abstractNum>
  <w:abstractNum w:abstractNumId="269">
    <w:nsid w:val="4E9EFB0D"/>
    <w:multiLevelType w:val="hybridMultilevel"/>
    <w:lvl w:ilvl="0">
      <w:lvlJc w:val="left"/>
      <w:lvlText w:val="(%1)"/>
      <w:numFmt w:val="lowerRoman"/>
      <w:start w:val="2"/>
    </w:lvl>
  </w:abstractNum>
  <w:abstractNum w:abstractNumId="270">
    <w:nsid w:val="90802BE"/>
    <w:multiLevelType w:val="hybridMultilevel"/>
    <w:lvl w:ilvl="0">
      <w:lvlJc w:val="left"/>
      <w:lvlText w:val="(%1)"/>
      <w:numFmt w:val="lowerLetter"/>
      <w:start w:val="2"/>
    </w:lvl>
  </w:abstractNum>
  <w:abstractNum w:abstractNumId="271">
    <w:nsid w:val="3266459B"/>
    <w:multiLevelType w:val="hybridMultilevel"/>
    <w:lvl w:ilvl="0">
      <w:lvlJc w:val="left"/>
      <w:lvlText w:val="(%1)"/>
      <w:numFmt w:val="lowerLetter"/>
      <w:start w:val="1"/>
    </w:lvl>
  </w:abstractNum>
  <w:abstractNum w:abstractNumId="272">
    <w:nsid w:val="3F8B0CBF"/>
    <w:multiLevelType w:val="hybridMultilevel"/>
    <w:lvl w:ilvl="0">
      <w:lvlJc w:val="left"/>
      <w:lvlText w:val="(%1)"/>
      <w:numFmt w:val="lowerLetter"/>
      <w:start w:val="2"/>
    </w:lvl>
  </w:abstractNum>
  <w:abstractNum w:abstractNumId="273">
    <w:nsid w:val="37E203AB"/>
    <w:multiLevelType w:val="hybridMultilevel"/>
    <w:lvl w:ilvl="0">
      <w:lvlJc w:val="left"/>
      <w:lvlText w:val="(%1)"/>
      <w:numFmt w:val="lowerLetter"/>
      <w:start w:val="1"/>
    </w:lvl>
  </w:abstractNum>
  <w:abstractNum w:abstractNumId="274">
    <w:nsid w:val="2586D60E"/>
    <w:multiLevelType w:val="hybridMultilevel"/>
    <w:lvl w:ilvl="0">
      <w:lvlJc w:val="left"/>
      <w:lvlText w:val="(%1)"/>
      <w:numFmt w:val="lowerLetter"/>
      <w:start w:val="1"/>
    </w:lvl>
  </w:abstractNum>
  <w:abstractNum w:abstractNumId="275">
    <w:nsid w:val="1F3DA4D5"/>
    <w:multiLevelType w:val="hybridMultilevel"/>
    <w:lvl w:ilvl="0">
      <w:lvlJc w:val="left"/>
      <w:lvlText w:val="(%1)"/>
      <w:numFmt w:val="lowerLetter"/>
      <w:start w:val="1"/>
    </w:lvl>
  </w:abstractNum>
  <w:abstractNum w:abstractNumId="276">
    <w:nsid w:val="74C93698"/>
    <w:multiLevelType w:val="hybridMultilevel"/>
    <w:lvl w:ilvl="0">
      <w:lvlJc w:val="left"/>
      <w:lvlText w:val="(%1)"/>
      <w:numFmt w:val="lowerLetter"/>
      <w:start w:val="4"/>
    </w:lvl>
  </w:abstractNum>
  <w:abstractNum w:abstractNumId="277">
    <w:nsid w:val="48781401"/>
    <w:multiLevelType w:val="hybridMultilevel"/>
    <w:lvl w:ilvl="0">
      <w:lvlJc w:val="left"/>
      <w:lvlText w:val="(%1)"/>
      <w:numFmt w:val="lowerLetter"/>
      <w:start w:val="1"/>
    </w:lvl>
  </w:abstractNum>
  <w:abstractNum w:abstractNumId="278">
    <w:nsid w:val="186928D6"/>
    <w:multiLevelType w:val="hybridMultilevel"/>
    <w:lvl w:ilvl="0">
      <w:lvlJc w:val="left"/>
      <w:lvlText w:val="(%1)"/>
      <w:numFmt w:val="lowerLetter"/>
      <w:start w:val="3"/>
    </w:lvl>
  </w:abstractNum>
  <w:abstractNum w:abstractNumId="279">
    <w:nsid w:val="47195E5"/>
    <w:multiLevelType w:val="hybridMultilevel"/>
    <w:lvl w:ilvl="0">
      <w:lvlJc w:val="left"/>
      <w:lvlText w:val="(%1)"/>
      <w:numFmt w:val="lowerLetter"/>
      <w:start w:val="1"/>
    </w:lvl>
  </w:abstractNum>
  <w:abstractNum w:abstractNumId="280">
    <w:nsid w:val="3746A5F2"/>
    <w:multiLevelType w:val="hybridMultilevel"/>
    <w:lvl w:ilvl="0">
      <w:lvlJc w:val="left"/>
      <w:lvlText w:val="(%1)"/>
      <w:numFmt w:val="lowerLetter"/>
      <w:start w:val="2"/>
    </w:lvl>
  </w:abstractNum>
  <w:abstractNum w:abstractNumId="281">
    <w:nsid w:val="682DFED6"/>
    <w:multiLevelType w:val="hybridMultilevel"/>
    <w:lvl w:ilvl="0">
      <w:lvlJc w:val="left"/>
      <w:lvlText w:val="(%1)"/>
      <w:numFmt w:val="lowerLetter"/>
      <w:start w:val="1"/>
    </w:lvl>
  </w:abstractNum>
  <w:abstractNum w:abstractNumId="282">
    <w:nsid w:val="606ED7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3">
    <w:nsid w:val="2D9DF57D"/>
    <w:multiLevelType w:val="hybridMultilevel"/>
    <w:lvl w:ilvl="0">
      <w:lvlJc w:val="left"/>
      <w:lvlText w:val="(%1)"/>
      <w:numFmt w:val="lowerLetter"/>
      <w:start w:val="1"/>
    </w:lvl>
  </w:abstractNum>
  <w:abstractNum w:abstractNumId="284">
    <w:nsid w:val="7FBD7A3E"/>
    <w:multiLevelType w:val="hybridMultilevel"/>
    <w:lvl w:ilvl="0">
      <w:lvlJc w:val="left"/>
      <w:lvlText w:val="(%1)"/>
      <w:numFmt w:val="lowerLetter"/>
      <w:start w:val="2"/>
    </w:lvl>
  </w:abstractNum>
  <w:abstractNum w:abstractNumId="285">
    <w:nsid w:val="490B7C5"/>
    <w:multiLevelType w:val="hybridMultilevel"/>
    <w:lvl w:ilvl="0">
      <w:lvlJc w:val="left"/>
      <w:lvlText w:val="(%1)"/>
      <w:numFmt w:val="lowerLetter"/>
      <w:start w:val="1"/>
    </w:lvl>
  </w:abstractNum>
  <w:abstractNum w:abstractNumId="286">
    <w:nsid w:val="4303A216"/>
    <w:multiLevelType w:val="hybridMultilevel"/>
    <w:lvl w:ilvl="0">
      <w:lvlJc w:val="left"/>
      <w:lvlText w:val="(%1)"/>
      <w:numFmt w:val="lowerLetter"/>
      <w:start w:val="1"/>
    </w:lvl>
  </w:abstractNum>
  <w:abstractNum w:abstractNumId="287">
    <w:nsid w:val="19B8A08E"/>
    <w:multiLevelType w:val="hybridMultilevel"/>
    <w:lvl w:ilvl="0">
      <w:lvlJc w:val="left"/>
      <w:lvlText w:val="%1"/>
      <w:numFmt w:val="lowerLetter"/>
      <w:start w:val="1"/>
    </w:lvl>
    <w:lvl w:ilvl="1">
      <w:lvlJc w:val="left"/>
      <w:lvlText w:val="(%2)"/>
      <w:numFmt w:val="lowerLetter"/>
      <w:start w:val="1"/>
    </w:lvl>
  </w:abstractNum>
  <w:abstractNum w:abstractNumId="288">
    <w:nsid w:val="54B59621"/>
    <w:multiLevelType w:val="hybridMultilevel"/>
    <w:lvl w:ilvl="0">
      <w:lvlJc w:val="left"/>
      <w:lvlText w:val="(%1)"/>
      <w:numFmt w:val="lowerLetter"/>
      <w:start w:val="26"/>
    </w:lvl>
    <w:lvl w:ilvl="1">
      <w:lvlJc w:val="left"/>
      <w:lvlText w:val="%2"/>
      <w:numFmt w:val="lowerLetter"/>
      <w:start w:val="1"/>
    </w:lvl>
  </w:abstractNum>
  <w:abstractNum w:abstractNumId="289">
    <w:nsid w:val="5992A02E"/>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290">
    <w:nsid w:val="29EF532D"/>
    <w:multiLevelType w:val="hybridMultilevel"/>
    <w:lvl w:ilvl="0">
      <w:lvlJc w:val="left"/>
      <w:lvlText w:val="(%1)"/>
      <w:numFmt w:val="lowerRoman"/>
      <w:start w:val="4"/>
    </w:lvl>
  </w:abstractNum>
  <w:abstractNum w:abstractNumId="291">
    <w:nsid w:val="71D601AF"/>
    <w:multiLevelType w:val="hybridMultilevel"/>
    <w:lvl w:ilvl="0">
      <w:lvlJc w:val="left"/>
      <w:lvlText w:val="%1"/>
      <w:numFmt w:val="upperLetter"/>
      <w:start w:val="1"/>
    </w:lvl>
    <w:lvl w:ilvl="1">
      <w:lvlJc w:val="left"/>
      <w:lvlText w:val="(%2)"/>
      <w:numFmt w:val="upperLetter"/>
      <w:start w:val="1"/>
    </w:lvl>
  </w:abstractNum>
  <w:abstractNum w:abstractNumId="292">
    <w:nsid w:val="52C77402"/>
    <w:multiLevelType w:val="hybridMultilevel"/>
    <w:lvl w:ilvl="0">
      <w:lvlJc w:val="left"/>
      <w:lvlText w:val="(%1)"/>
      <w:numFmt w:val="upperLetter"/>
      <w:start w:val="1"/>
    </w:lvl>
    <w:lvl w:ilvl="1">
      <w:lvlJc w:val="left"/>
      <w:lvlText w:val="%2"/>
      <w:numFmt w:val="upperLetter"/>
      <w:start w:val="1"/>
    </w:lvl>
  </w:abstractNum>
  <w:abstractNum w:abstractNumId="293">
    <w:nsid w:val="2BB5B1C6"/>
    <w:multiLevelType w:val="hybridMultilevel"/>
    <w:lvl w:ilvl="0">
      <w:lvlJc w:val="left"/>
      <w:lvlText w:val="(%1)"/>
      <w:numFmt w:val="lowerRoman"/>
      <w:start w:val="6"/>
    </w:lvl>
  </w:abstractNum>
  <w:abstractNum w:abstractNumId="294">
    <w:nsid w:val="66BE6B9"/>
    <w:multiLevelType w:val="hybridMultilevel"/>
    <w:lvl w:ilvl="0">
      <w:lvlJc w:val="left"/>
      <w:lvlText w:val="(%1)"/>
      <w:numFmt w:val="lowerRoman"/>
      <w:start w:val="9"/>
    </w:lvl>
  </w:abstractNum>
  <w:abstractNum w:abstractNumId="295">
    <w:nsid w:val="62234363"/>
    <w:multiLevelType w:val="hybridMultilevel"/>
    <w:lvl w:ilvl="0">
      <w:lvlJc w:val="left"/>
      <w:lvlText w:val="(%1)"/>
      <w:numFmt w:val="lowerRoman"/>
      <w:start w:val="14"/>
    </w:lvl>
  </w:abstractNum>
  <w:abstractNum w:abstractNumId="296">
    <w:nsid w:val="66D385C9"/>
    <w:multiLevelType w:val="hybridMultilevel"/>
    <w:lvl w:ilvl="0">
      <w:lvlJc w:val="left"/>
      <w:lvlText w:val="(%1)"/>
      <w:numFmt w:val="upperLetter"/>
      <w:start w:val="4"/>
    </w:lvl>
  </w:abstractNum>
  <w:abstractNum w:abstractNumId="297">
    <w:nsid w:val="596F6D8A"/>
    <w:multiLevelType w:val="hybridMultilevel"/>
    <w:lvl w:ilvl="0">
      <w:lvlJc w:val="left"/>
      <w:lvlText w:val="(%1)"/>
      <w:numFmt w:val="lowerRoman"/>
      <w:start w:val="21"/>
    </w:lvl>
  </w:abstractNum>
  <w:abstractNum w:abstractNumId="298">
    <w:nsid w:val="5749361F"/>
    <w:multiLevelType w:val="hybridMultilevel"/>
    <w:lvl w:ilvl="0">
      <w:lvlJc w:val="left"/>
      <w:lvlText w:val="(%1)"/>
      <w:numFmt w:val="lowerLetter"/>
      <w:start w:val="3"/>
    </w:lvl>
    <w:lvl w:ilvl="1">
      <w:lvlJc w:val="left"/>
      <w:lvlText w:val="(%2)"/>
      <w:numFmt w:val="lowerRoman"/>
      <w:start w:val="1"/>
    </w:lvl>
  </w:abstractNum>
  <w:abstractNum w:abstractNumId="299">
    <w:nsid w:val="73BC6770"/>
    <w:multiLevelType w:val="hybridMultilevel"/>
    <w:lvl w:ilvl="0">
      <w:lvlJc w:val="left"/>
      <w:lvlText w:val="(%1)"/>
      <w:numFmt w:val="lowerRoman"/>
      <w:start w:val="9"/>
    </w:lvl>
  </w:abstractNum>
  <w:abstractNum w:abstractNumId="300">
    <w:nsid w:val="280E6897"/>
    <w:multiLevelType w:val="hybridMultilevel"/>
    <w:lvl w:ilvl="0">
      <w:lvlJc w:val="left"/>
      <w:lvlText w:val="(%1)"/>
      <w:numFmt w:val="lowerLetter"/>
      <w:start w:val="4"/>
    </w:lvl>
  </w:abstractNum>
  <w:abstractNum w:abstractNumId="301">
    <w:nsid w:val="605138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2">
    <w:nsid w:val="2622AD0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03">
    <w:nsid w:val="67997556"/>
    <w:multiLevelType w:val="hybridMultilevel"/>
    <w:lvl w:ilvl="0">
      <w:lvlJc w:val="left"/>
      <w:lvlText w:val="(%1)"/>
      <w:numFmt w:val="lowerLetter"/>
      <w:start w:val="2"/>
    </w:lvl>
    <w:lvl w:ilvl="1">
      <w:lvlJc w:val="left"/>
      <w:lvlText w:val="(%2)"/>
      <w:numFmt w:val="lowerLetter"/>
      <w:start w:val="3"/>
    </w:lvl>
    <w:lvl w:ilvl="2">
      <w:lvlJc w:val="left"/>
      <w:lvlText w:val="%3"/>
      <w:numFmt w:val="upperLetter"/>
      <w:start w:val="1"/>
    </w:lvl>
  </w:abstractNum>
  <w:abstractNum w:abstractNumId="304">
    <w:nsid w:val="18333C89"/>
    <w:multiLevelType w:val="hybridMultilevel"/>
    <w:lvl w:ilvl="0">
      <w:lvlJc w:val="left"/>
      <w:lvlText w:val="(%1)"/>
      <w:numFmt w:val="lowerLetter"/>
      <w:start w:val="7"/>
    </w:lvl>
    <w:lvl w:ilvl="1">
      <w:lvlJc w:val="left"/>
      <w:lvlText w:val="(%2)"/>
      <w:numFmt w:val="lowerRoman"/>
      <w:start w:val="1"/>
    </w:lvl>
  </w:abstractNum>
  <w:abstractNum w:abstractNumId="305">
    <w:nsid w:val="4BA9831A"/>
    <w:multiLevelType w:val="hybridMultilevel"/>
    <w:lvl w:ilvl="0">
      <w:lvlJc w:val="left"/>
      <w:lvlText w:val="(%1)"/>
      <w:numFmt w:val="lowerLetter"/>
      <w:start w:val="1"/>
    </w:lvl>
  </w:abstractNum>
  <w:abstractNum w:abstractNumId="306">
    <w:nsid w:val="6D71A2B"/>
    <w:multiLevelType w:val="hybridMultilevel"/>
    <w:lvl w:ilvl="0">
      <w:lvlJc w:val="left"/>
      <w:lvlText w:val="(%1)"/>
      <w:numFmt w:val="lowerRoman"/>
      <w:start w:val="1"/>
    </w:lvl>
  </w:abstractNum>
  <w:abstractNum w:abstractNumId="307">
    <w:nsid w:val="CFC7321"/>
    <w:multiLevelType w:val="hybridMultilevel"/>
    <w:lvl w:ilvl="0">
      <w:lvlJc w:val="left"/>
      <w:lvlText w:val="(%1)"/>
      <w:numFmt w:val="lowerLetter"/>
      <w:start w:val="61"/>
    </w:lvl>
    <w:lvl w:ilvl="1">
      <w:lvlJc w:val="left"/>
      <w:lvlText w:val="%2"/>
      <w:numFmt w:val="lowerRoman"/>
      <w:start w:val="1"/>
    </w:lvl>
  </w:abstractNum>
  <w:abstractNum w:abstractNumId="308">
    <w:nsid w:val="1421971B"/>
    <w:multiLevelType w:val="hybridMultilevel"/>
    <w:lvl w:ilvl="0">
      <w:lvlJc w:val="left"/>
      <w:lvlText w:val="(%1)"/>
      <w:numFmt w:val="lowerLetter"/>
      <w:start w:val="2"/>
    </w:lvl>
    <w:lvl w:ilvl="1">
      <w:lvlJc w:val="left"/>
      <w:lvlText w:val="(%2)"/>
      <w:numFmt w:val="lowerRoman"/>
      <w:start w:val="1"/>
    </w:lvl>
  </w:abstractNum>
  <w:abstractNum w:abstractNumId="309">
    <w:nsid w:val="1F404301"/>
    <w:multiLevelType w:val="hybridMultilevel"/>
    <w:lvl w:ilvl="0">
      <w:lvlJc w:val="left"/>
      <w:lvlText w:val="(%1)"/>
      <w:numFmt w:val="lowerRoman"/>
      <w:start w:val="5"/>
    </w:lvl>
  </w:abstractNum>
  <w:abstractNum w:abstractNumId="310">
    <w:nsid w:val="116E0907"/>
    <w:multiLevelType w:val="hybridMultilevel"/>
    <w:lvl w:ilvl="0">
      <w:lvlJc w:val="left"/>
      <w:lvlText w:val="(%1)"/>
      <w:numFmt w:val="lowerRoman"/>
      <w:start w:val="1"/>
    </w:lvl>
    <w:lvl w:ilvl="1">
      <w:lvlJc w:val="left"/>
      <w:lvlText w:val="(%2)"/>
      <w:numFmt w:val="upperLetter"/>
      <w:start w:val="1"/>
    </w:lvl>
  </w:abstractNum>
  <w:abstractNum w:abstractNumId="311">
    <w:nsid w:val="4B683D0D"/>
    <w:multiLevelType w:val="hybridMultilevel"/>
    <w:lvl w:ilvl="0">
      <w:lvlJc w:val="left"/>
      <w:lvlText w:val="(%1)"/>
      <w:numFmt w:val="lowerRoman"/>
      <w:start w:val="2"/>
    </w:lvl>
  </w:abstractNum>
  <w:abstractNum w:abstractNumId="312">
    <w:nsid w:val="76E41D8"/>
    <w:multiLevelType w:val="hybridMultilevel"/>
    <w:lvl w:ilvl="0">
      <w:lvlJc w:val="left"/>
      <w:lvlText w:val="(%1)"/>
      <w:numFmt w:val="decimal"/>
      <w:start w:val="1"/>
    </w:lvl>
  </w:abstractNum>
  <w:abstractNum w:abstractNumId="313">
    <w:nsid w:val="71DCE0FD"/>
    <w:multiLevelType w:val="hybridMultilevel"/>
    <w:lvl w:ilvl="0">
      <w:lvlJc w:val="left"/>
      <w:lvlText w:val="%1"/>
      <w:numFmt w:val="lowerLetter"/>
      <w:start w:val="1"/>
    </w:lvl>
    <w:lvl w:ilvl="1">
      <w:lvlJc w:val="left"/>
      <w:lvlText w:val="(%2)"/>
      <w:numFmt w:val="decimal"/>
      <w:start w:val="5"/>
    </w:lvl>
  </w:abstractNum>
  <w:abstractNum w:abstractNumId="314">
    <w:nsid w:val="7906328B"/>
    <w:multiLevelType w:val="hybridMultilevel"/>
    <w:lvl w:ilvl="0">
      <w:lvlJc w:val="left"/>
      <w:lvlText w:val="(%1)"/>
      <w:numFmt w:val="lowerLetter"/>
      <w:start w:val="2"/>
    </w:lvl>
    <w:lvl w:ilvl="1">
      <w:lvlJc w:val="left"/>
      <w:lvlText w:val="%2"/>
      <w:numFmt w:val="decimal"/>
      <w:start w:val="1"/>
    </w:lvl>
  </w:abstractNum>
  <w:abstractNum w:abstractNumId="315">
    <w:nsid w:val="72BBC16"/>
    <w:multiLevelType w:val="hybridMultilevel"/>
    <w:lvl w:ilvl="0">
      <w:lvlJc w:val="left"/>
      <w:lvlText w:val="(%1)"/>
      <w:numFmt w:val="lowerRoman"/>
      <w:start w:val="1"/>
    </w:lvl>
  </w:abstractNum>
  <w:abstractNum w:abstractNumId="316">
    <w:nsid w:val="766D98C2"/>
    <w:multiLevelType w:val="hybridMultilevel"/>
    <w:lvl w:ilvl="0">
      <w:lvlJc w:val="left"/>
      <w:lvlText w:val="%1"/>
      <w:numFmt w:val="upperLetter"/>
      <w:start w:val="1"/>
    </w:lvl>
    <w:lvl w:ilvl="1">
      <w:lvlJc w:val="left"/>
      <w:lvlText w:val="(%2)"/>
      <w:numFmt w:val="lowerRoman"/>
      <w:start w:val="3"/>
    </w:lvl>
  </w:abstractNum>
  <w:abstractNum w:abstractNumId="317">
    <w:nsid w:val="3C09D4A1"/>
    <w:multiLevelType w:val="hybridMultilevel"/>
    <w:lvl w:ilvl="0">
      <w:lvlJc w:val="left"/>
      <w:lvlText w:val="(%1)"/>
      <w:numFmt w:val="upperLetter"/>
      <w:start w:val="1"/>
    </w:lvl>
    <w:lvl w:ilvl="1">
      <w:lvlJc w:val="left"/>
      <w:lvlText w:val="(%2)"/>
      <w:numFmt w:val="lowerRoman"/>
      <w:start w:val="6"/>
    </w:lvl>
  </w:abstractNum>
  <w:abstractNum w:abstractNumId="318">
    <w:nsid w:val="20E45CA4"/>
    <w:multiLevelType w:val="hybridMultilevel"/>
    <w:lvl w:ilvl="0">
      <w:lvlJc w:val="left"/>
      <w:lvlText w:val="%1"/>
      <w:numFmt w:val="upperLetter"/>
      <w:start w:val="1"/>
    </w:lvl>
    <w:lvl w:ilvl="1">
      <w:lvlJc w:val="left"/>
      <w:lvlText w:val="(%2)"/>
      <w:numFmt w:val="upperLetter"/>
      <w:start w:val="1"/>
    </w:lvl>
  </w:abstractNum>
  <w:abstractNum w:abstractNumId="319">
    <w:nsid w:val="4B232EE3"/>
    <w:multiLevelType w:val="hybridMultilevel"/>
    <w:lvl w:ilvl="0">
      <w:lvlJc w:val="left"/>
      <w:lvlText w:val="(%1)"/>
      <w:numFmt w:val="upperLetter"/>
      <w:start w:val="2"/>
    </w:lvl>
    <w:lvl w:ilvl="1">
      <w:lvlJc w:val="left"/>
      <w:lvlText w:val="%2"/>
      <w:numFmt w:val="upperLetter"/>
      <w:start w:val="1"/>
    </w:lvl>
  </w:abstractNum>
  <w:abstractNum w:abstractNumId="320">
    <w:nsid w:val="159C74CF"/>
    <w:multiLevelType w:val="hybridMultilevel"/>
    <w:lvl w:ilvl="0">
      <w:lvlJc w:val="left"/>
      <w:lvlText w:val="(%1)"/>
      <w:numFmt w:val="lowerRoman"/>
      <w:start w:val="7"/>
    </w:lvl>
  </w:abstractNum>
  <w:abstractNum w:abstractNumId="321">
    <w:nsid w:val="4AD3AFD2"/>
    <w:multiLevelType w:val="hybridMultilevel"/>
    <w:lvl w:ilvl="0">
      <w:lvlJc w:val="left"/>
      <w:lvlText w:val="(%1)"/>
      <w:numFmt w:val="lowerRoman"/>
      <w:start w:val="9"/>
    </w:lvl>
  </w:abstractNum>
  <w:abstractNum w:abstractNumId="322">
    <w:nsid w:val="3CF93092"/>
    <w:multiLevelType w:val="hybridMultilevel"/>
    <w:lvl w:ilvl="0">
      <w:lvlJc w:val="left"/>
      <w:lvlText w:val="(%1)"/>
      <w:numFmt w:val="upperLetter"/>
      <w:start w:val="1"/>
    </w:lvl>
    <w:lvl w:ilvl="1">
      <w:lvlJc w:val="left"/>
      <w:lvlText w:val="(%2)"/>
      <w:numFmt w:val="lowerRoman"/>
      <w:start w:val="10"/>
    </w:lvl>
  </w:abstractNum>
  <w:abstractNum w:abstractNumId="323">
    <w:nsid w:val="6863E8D2"/>
    <w:multiLevelType w:val="hybridMultilevel"/>
    <w:lvl w:ilvl="0">
      <w:lvlJc w:val="left"/>
      <w:lvlText w:val="(%1)"/>
      <w:numFmt w:val="lowerLetter"/>
      <w:start w:val="25"/>
    </w:lvl>
    <w:lvl w:ilvl="1">
      <w:lvlJc w:val="left"/>
      <w:lvlText w:val="(%2)"/>
      <w:numFmt w:val="lowerRoman"/>
      <w:start w:val="11"/>
    </w:lvl>
  </w:abstractNum>
  <w:abstractNum w:abstractNumId="324">
    <w:nsid w:val="76896198"/>
    <w:multiLevelType w:val="hybridMultilevel"/>
    <w:lvl w:ilvl="0">
      <w:lvlJc w:val="left"/>
      <w:lvlText w:val="%1"/>
      <w:numFmt w:val="lowerRoman"/>
      <w:start w:val="1"/>
    </w:lvl>
    <w:lvl w:ilvl="1">
      <w:lvlJc w:val="left"/>
      <w:lvlText w:val="(%2)"/>
      <w:numFmt w:val="lowerRoman"/>
      <w:start w:val="16"/>
    </w:lvl>
  </w:abstractNum>
  <w:abstractNum w:abstractNumId="325">
    <w:nsid w:val="4365174B"/>
    <w:multiLevelType w:val="hybridMultilevel"/>
    <w:lvl w:ilvl="0">
      <w:lvlJc w:val="left"/>
      <w:lvlText w:val="(%1)"/>
      <w:numFmt w:val="lowerRoman"/>
      <w:start w:val="1"/>
    </w:lvl>
    <w:lvl w:ilvl="1">
      <w:lvlJc w:val="left"/>
      <w:lvlText w:val="(%2)"/>
      <w:numFmt w:val="lowerRoman"/>
      <w:start w:val="18"/>
    </w:lvl>
  </w:abstractNum>
  <w:abstractNum w:abstractNumId="326">
    <w:nsid w:val="4A872C3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2"/>
    </w:lvl>
  </w:abstractNum>
  <w:abstractNum w:abstractNumId="327">
    <w:nsid w:val="5D5CE76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28">
    <w:nsid w:val="1CD484D5"/>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329">
    <w:nsid w:val="21D06255"/>
    <w:multiLevelType w:val="hybridMultilevel"/>
    <w:lvl w:ilvl="0">
      <w:lvlJc w:val="left"/>
      <w:lvlText w:val="(%1)"/>
      <w:numFmt w:val="lowerLetter"/>
      <w:start w:val="1"/>
    </w:lvl>
    <w:lvl w:ilvl="1">
      <w:lvlJc w:val="left"/>
      <w:lvlText w:val="(%2)"/>
      <w:numFmt w:val="lowerRoman"/>
      <w:start w:val="1"/>
    </w:lvl>
  </w:abstractNum>
  <w:abstractNum w:abstractNumId="330">
    <w:nsid w:val="51194ED1"/>
    <w:multiLevelType w:val="hybridMultilevel"/>
    <w:lvl w:ilvl="0">
      <w:lvlJc w:val="left"/>
      <w:lvlText w:val="(%1)"/>
      <w:numFmt w:val="lowerLetter"/>
      <w:start w:val="2"/>
    </w:lvl>
    <w:lvl w:ilvl="1">
      <w:lvlJc w:val="left"/>
      <w:lvlText w:val="(%2)"/>
      <w:numFmt w:val="lowerRoman"/>
      <w:start w:val="1"/>
    </w:lvl>
  </w:abstractNum>
  <w:abstractNum w:abstractNumId="331">
    <w:nsid w:val="44E2ED6C"/>
    <w:multiLevelType w:val="hybridMultilevel"/>
    <w:lvl w:ilvl="0">
      <w:lvlJc w:val="left"/>
      <w:lvlText w:val="(%1)"/>
      <w:numFmt w:val="lowerRoman"/>
      <w:start w:val="5"/>
    </w:lvl>
  </w:abstractNum>
  <w:abstractNum w:abstractNumId="332">
    <w:nsid w:val="2219B33"/>
    <w:multiLevelType w:val="hybridMultilevel"/>
    <w:lvl w:ilvl="0">
      <w:lvlJc w:val="left"/>
      <w:lvlText w:val="(%1)"/>
      <w:numFmt w:val="lowerRoman"/>
      <w:start w:val="11"/>
    </w:lvl>
  </w:abstractNum>
  <w:abstractNum w:abstractNumId="333">
    <w:nsid w:val="773BFBDD"/>
    <w:multiLevelType w:val="hybridMultilevel"/>
    <w:lvl w:ilvl="0">
      <w:lvlJc w:val="left"/>
      <w:lvlText w:val="(%1)"/>
      <w:numFmt w:val="lowerRoman"/>
      <w:start w:val="17"/>
    </w:lvl>
  </w:abstractNum>
  <w:abstractNum w:abstractNumId="334">
    <w:nsid w:val="2C7C62C2"/>
    <w:multiLevelType w:val="hybridMultilevel"/>
    <w:lvl w:ilvl="0">
      <w:lvlJc w:val="left"/>
      <w:lvlText w:val="(%1)"/>
      <w:numFmt w:val="lowerRoman"/>
      <w:start w:val="19"/>
    </w:lvl>
  </w:abstractNum>
  <w:abstractNum w:abstractNumId="335">
    <w:nsid w:val="1A54D7BC"/>
    <w:multiLevelType w:val="hybridMultilevel"/>
    <w:lvl w:ilvl="0">
      <w:lvlJc w:val="left"/>
      <w:lvlText w:val="(%1)"/>
      <w:numFmt w:val="lowerRoman"/>
      <w:start w:val="25"/>
    </w:lvl>
  </w:abstractNum>
  <w:abstractNum w:abstractNumId="336">
    <w:nsid w:val="42E57EF7"/>
    <w:multiLevelType w:val="hybridMultilevel"/>
    <w:lvl w:ilvl="0">
      <w:lvlJc w:val="left"/>
      <w:lvlText w:val="(%1)"/>
      <w:numFmt w:val="lowerRoman"/>
      <w:start w:val="27"/>
    </w:lvl>
  </w:abstractNum>
  <w:abstractNum w:abstractNumId="337">
    <w:nsid w:val="33537CED"/>
    <w:multiLevelType w:val="hybridMultilevel"/>
    <w:lvl w:ilvl="0">
      <w:lvlJc w:val="left"/>
      <w:lvlText w:val="(%1)"/>
      <w:numFmt w:val="lowerRoman"/>
      <w:start w:val="29"/>
    </w:lvl>
  </w:abstractNum>
  <w:abstractNum w:abstractNumId="338">
    <w:nsid w:val="27514ADE"/>
    <w:multiLevelType w:val="hybridMultilevel"/>
    <w:lvl w:ilvl="0">
      <w:lvlJc w:val="left"/>
      <w:lvlText w:val="(%1)"/>
      <w:numFmt w:val="lowerLetter"/>
      <w:start w:val="3"/>
    </w:lvl>
  </w:abstractNum>
  <w:abstractNum w:abstractNumId="339">
    <w:nsid w:val="57071613"/>
    <w:multiLevelType w:val="hybridMultilevel"/>
    <w:lvl w:ilvl="0">
      <w:lvlJc w:val="left"/>
      <w:lvlText w:val="(%1)"/>
      <w:numFmt w:val="lowerLetter"/>
      <w:start w:val="1"/>
    </w:lvl>
  </w:abstractNum>
  <w:abstractNum w:abstractNumId="340">
    <w:nsid w:val="5293BFEF"/>
    <w:multiLevelType w:val="hybridMultilevel"/>
    <w:lvl w:ilvl="0">
      <w:lvlJc w:val="left"/>
      <w:lvlText w:val="(%1)"/>
      <w:numFmt w:val="lowerRoman"/>
      <w:start w:val="1"/>
    </w:lvl>
  </w:abstractNum>
  <w:abstractNum w:abstractNumId="341">
    <w:nsid w:val="38BF53E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42">
    <w:nsid w:val="226F5320"/>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abstractNum>
  <w:abstractNum w:abstractNumId="343">
    <w:nsid w:val="5A0201C7"/>
    <w:multiLevelType w:val="hybridMultilevel"/>
    <w:lvl w:ilvl="0">
      <w:lvlJc w:val="left"/>
      <w:lvlText w:val="(%1)"/>
      <w:numFmt w:val="upperLetter"/>
      <w:start w:val="1"/>
    </w:lvl>
  </w:abstractNum>
  <w:abstractNum w:abstractNumId="344">
    <w:nsid w:val="2A9C34E2"/>
    <w:multiLevelType w:val="hybridMultilevel"/>
    <w:lvl w:ilvl="0">
      <w:lvlJc w:val="left"/>
      <w:lvlText w:val="(%1)"/>
      <w:numFmt w:val="upperLetter"/>
      <w:start w:val="4"/>
    </w:lvl>
    <w:lvl w:ilvl="1">
      <w:lvlJc w:val="left"/>
      <w:lvlText w:val="(%2)"/>
      <w:numFmt w:val="lowerRoman"/>
      <w:start w:val="6"/>
    </w:lvl>
  </w:abstractNum>
  <w:abstractNum w:abstractNumId="345">
    <w:nsid w:val="1B7585AB"/>
    <w:multiLevelType w:val="hybridMultilevel"/>
    <w:lvl w:ilvl="0">
      <w:lvlJc w:val="left"/>
      <w:lvlText w:val="(%1)"/>
      <w:numFmt w:val="lowerRoman"/>
      <w:start w:val="15"/>
    </w:lvl>
  </w:abstractNum>
  <w:abstractNum w:abstractNumId="346">
    <w:nsid w:val="612DBDDD"/>
    <w:multiLevelType w:val="hybridMultilevel"/>
    <w:lvl w:ilvl="0">
      <w:lvlJc w:val="left"/>
      <w:lvlText w:val="(%1)"/>
      <w:numFmt w:val="lowerRoman"/>
      <w:start w:val="15"/>
    </w:lvl>
  </w:abstractNum>
  <w:abstractNum w:abstractNumId="347">
    <w:nsid w:val="2109CDA4"/>
    <w:multiLevelType w:val="hybridMultilevel"/>
    <w:lvl w:ilvl="0">
      <w:lvlJc w:val="left"/>
      <w:lvlText w:val="(%1)"/>
      <w:numFmt w:val="lowerLetter"/>
      <w:start w:val="2"/>
    </w:lvl>
  </w:abstractNum>
  <w:abstractNum w:abstractNumId="348">
    <w:nsid w:val="577F5A4D"/>
    <w:multiLevelType w:val="hybridMultilevel"/>
    <w:lvl w:ilvl="0">
      <w:lvlJc w:val="left"/>
      <w:lvlText w:val="(%1)"/>
      <w:numFmt w:val="lowerLetter"/>
      <w:start w:val="25"/>
    </w:lvl>
  </w:abstractNum>
  <w:abstractNum w:abstractNumId="349">
    <w:nsid w:val="2121A81"/>
    <w:multiLevelType w:val="hybridMultilevel"/>
    <w:lvl w:ilvl="0">
      <w:lvlJc w:val="left"/>
      <w:lvlText w:val="(%1)"/>
      <w:numFmt w:val="lowerLetter"/>
      <w:start w:val="1"/>
    </w:lvl>
  </w:abstractNum>
  <w:abstractNum w:abstractNumId="350">
    <w:nsid w:val="6C2CFC88"/>
    <w:multiLevelType w:val="hybridMultilevel"/>
    <w:lvl w:ilvl="0">
      <w:lvlJc w:val="left"/>
      <w:lvlText w:val="(%1)"/>
      <w:numFmt w:val="lowerRoman"/>
      <w:start w:val="4"/>
    </w:lvl>
    <w:lvl w:ilvl="1">
      <w:lvlJc w:val="left"/>
      <w:lvlText w:val="(%2)"/>
      <w:numFmt w:val="lowerLetter"/>
      <w:start w:val="3"/>
    </w:lvl>
  </w:abstractNum>
  <w:abstractNum w:abstractNumId="351">
    <w:nsid w:val="6D1BCF1C"/>
    <w:multiLevelType w:val="hybridMultilevel"/>
    <w:lvl w:ilvl="0">
      <w:lvlJc w:val="left"/>
      <w:lvlText w:val="(%1)"/>
      <w:numFmt w:val="lowerLetter"/>
      <w:start w:val="4"/>
    </w:lvl>
  </w:abstractNum>
  <w:abstractNum w:abstractNumId="352">
    <w:nsid w:val="4CE5CA53"/>
    <w:multiLevelType w:val="hybridMultilevel"/>
    <w:lvl w:ilvl="0">
      <w:lvlJc w:val="left"/>
      <w:lvlText w:val="(%1)"/>
      <w:numFmt w:val="lowerLetter"/>
      <w:start w:val="1"/>
    </w:lvl>
  </w:abstractNum>
  <w:abstractNum w:abstractNumId="353">
    <w:nsid w:val="29262D1A"/>
    <w:multiLevelType w:val="hybridMultilevel"/>
    <w:lvl w:ilvl="0">
      <w:lvlJc w:val="left"/>
      <w:lvlText w:val="(%1)"/>
      <w:numFmt w:val="lowerLetter"/>
      <w:start w:val="2"/>
    </w:lvl>
  </w:abstractNum>
  <w:abstractNum w:abstractNumId="354">
    <w:nsid w:val="557FB7EE"/>
    <w:multiLevelType w:val="hybridMultilevel"/>
    <w:lvl w:ilvl="0">
      <w:lvlJc w:val="left"/>
      <w:lvlText w:val="(%1)"/>
      <w:numFmt w:val="lowerLetter"/>
      <w:start w:val="6"/>
    </w:lvl>
  </w:abstractNum>
  <w:abstractNum w:abstractNumId="355">
    <w:nsid w:val="436F2BEB"/>
    <w:multiLevelType w:val="hybridMultilevel"/>
    <w:lvl w:ilvl="0">
      <w:lvlJc w:val="left"/>
      <w:lvlText w:val="(%1)"/>
      <w:numFmt w:val="lowerLetter"/>
      <w:start w:val="11"/>
    </w:lvl>
  </w:abstractNum>
  <w:abstractNum w:abstractNumId="356">
    <w:nsid w:val="6C8B4466"/>
    <w:multiLevelType w:val="hybridMultilevel"/>
    <w:lvl w:ilvl="0">
      <w:lvlJc w:val="left"/>
      <w:lvlText w:val="(%1)"/>
      <w:numFmt w:val="lowerRoman"/>
      <w:start w:val="10"/>
    </w:lvl>
  </w:abstractNum>
  <w:abstractNum w:abstractNumId="357">
    <w:nsid w:val="2006E424"/>
    <w:multiLevelType w:val="hybridMultilevel"/>
    <w:lvl w:ilvl="0">
      <w:lvlJc w:val="left"/>
      <w:lvlText w:val="(%1)"/>
      <w:numFmt w:val="lowerLetter"/>
      <w:start w:val="1"/>
    </w:lvl>
  </w:abstractNum>
  <w:abstractNum w:abstractNumId="358">
    <w:nsid w:val="20CC134C"/>
    <w:multiLevelType w:val="hybridMultilevel"/>
    <w:lvl w:ilvl="0">
      <w:lvlJc w:val="left"/>
      <w:lvlText w:val="(%1)"/>
      <w:numFmt w:val="lowerRoman"/>
      <w:start w:val="1"/>
    </w:lvl>
  </w:abstractNum>
  <w:abstractNum w:abstractNumId="359">
    <w:nsid w:val="95FC93B"/>
    <w:multiLevelType w:val="hybridMultilevel"/>
    <w:lvl w:ilvl="0">
      <w:lvlJc w:val="left"/>
      <w:lvlText w:val="(%1)"/>
      <w:numFmt w:val="lowerLetter"/>
      <w:start w:val="1"/>
    </w:lvl>
  </w:abstractNum>
  <w:abstractNum w:abstractNumId="360">
    <w:nsid w:val="41D74679"/>
    <w:multiLevelType w:val="hybridMultilevel"/>
    <w:lvl w:ilvl="0">
      <w:lvlJc w:val="left"/>
      <w:lvlText w:val="(%1)"/>
      <w:numFmt w:val="lowerLetter"/>
      <w:start w:val="2"/>
    </w:lvl>
  </w:abstractNum>
  <w:abstractNum w:abstractNumId="361">
    <w:nsid w:val="71E5621E"/>
    <w:multiLevelType w:val="hybridMultilevel"/>
    <w:lvl w:ilvl="0">
      <w:lvlJc w:val="left"/>
      <w:lvlText w:val="(%1)"/>
      <w:numFmt w:val="lowerLetter"/>
      <w:start w:val="1"/>
    </w:lvl>
  </w:abstractNum>
  <w:abstractNum w:abstractNumId="362">
    <w:nsid w:val="4E42B6A8"/>
    <w:multiLevelType w:val="hybridMultilevel"/>
    <w:lvl w:ilvl="0">
      <w:lvlJc w:val="left"/>
      <w:lvlText w:val="%1"/>
      <w:numFmt w:val="lowerLetter"/>
      <w:start w:val="1"/>
    </w:lvl>
    <w:lvl w:ilvl="1">
      <w:lvlJc w:val="left"/>
      <w:lvlText w:val="(%2)"/>
      <w:numFmt w:val="lowerLetter"/>
      <w:start w:val="2"/>
    </w:lvl>
  </w:abstractNum>
  <w:abstractNum w:abstractNumId="363">
    <w:nsid w:val="43F8E1AC"/>
    <w:multiLevelType w:val="hybridMultilevel"/>
    <w:lvl w:ilvl="0">
      <w:lvlJc w:val="left"/>
      <w:lvlText w:val="(%1)"/>
      <w:numFmt w:val="lowerLetter"/>
      <w:start w:val="35"/>
    </w:lvl>
    <w:lvl w:ilvl="1">
      <w:lvlJc w:val="left"/>
      <w:lvlText w:val="(%2)"/>
      <w:numFmt w:val="lowerLetter"/>
      <w:start w:val="3"/>
    </w:lvl>
  </w:abstractNum>
  <w:abstractNum w:abstractNumId="364">
    <w:nsid w:val="69215DFB"/>
    <w:multiLevelType w:val="hybridMultilevel"/>
    <w:lvl w:ilvl="0">
      <w:lvlJc w:val="left"/>
      <w:lvlText w:val="(%1)"/>
      <w:numFmt w:val="lowerLetter"/>
      <w:start w:val="1"/>
    </w:lvl>
  </w:abstractNum>
  <w:abstractNum w:abstractNumId="365">
    <w:nsid w:val="7ABF196A"/>
    <w:multiLevelType w:val="hybridMultilevel"/>
    <w:lvl w:ilvl="0">
      <w:lvlJc w:val="left"/>
      <w:lvlText w:val="(%1)"/>
      <w:numFmt w:val="lowerLetter"/>
      <w:start w:val="2"/>
    </w:lvl>
  </w:abstractNum>
  <w:abstractNum w:abstractNumId="366">
    <w:nsid w:val="5E4DB968"/>
    <w:multiLevelType w:val="hybridMultilevel"/>
    <w:lvl w:ilvl="0">
      <w:lvlJc w:val="left"/>
      <w:lvlText w:val="(%1)"/>
      <w:numFmt w:val="lowerLetter"/>
      <w:start w:val="1"/>
    </w:lvl>
  </w:abstractNum>
  <w:abstractNum w:abstractNumId="367">
    <w:nsid w:val="2C06DCF3"/>
    <w:multiLevelType w:val="hybridMultilevel"/>
    <w:lvl w:ilvl="0">
      <w:lvlJc w:val="left"/>
      <w:lvlText w:val="(%1)"/>
      <w:numFmt w:val="lowerLetter"/>
      <w:start w:val="1"/>
    </w:lvl>
  </w:abstractNum>
  <w:abstractNum w:abstractNumId="368">
    <w:nsid w:val="2E129658"/>
    <w:multiLevelType w:val="hybridMultilevel"/>
    <w:lvl w:ilvl="0">
      <w:lvlJc w:val="left"/>
      <w:lvlText w:val="(%1)"/>
      <w:numFmt w:val="lowerLetter"/>
      <w:start w:val="3"/>
    </w:lvl>
  </w:abstractNum>
  <w:abstractNum w:abstractNumId="369">
    <w:nsid w:val="59F0446"/>
    <w:multiLevelType w:val="hybridMultilevel"/>
    <w:lvl w:ilvl="0">
      <w:lvlJc w:val="left"/>
      <w:lvlText w:val="(%1)"/>
      <w:numFmt w:val="lowerLetter"/>
      <w:start w:val="1"/>
    </w:lvl>
  </w:abstractNum>
  <w:abstractNum w:abstractNumId="370">
    <w:nsid w:val="30DF306"/>
    <w:multiLevelType w:val="hybridMultilevel"/>
    <w:lvl w:ilvl="0">
      <w:lvlJc w:val="left"/>
      <w:lvlText w:val="(%1)"/>
      <w:numFmt w:val="lowerLetter"/>
      <w:start w:val="1"/>
    </w:lvl>
  </w:abstractNum>
  <w:abstractNum w:abstractNumId="371">
    <w:nsid w:val="A65647"/>
    <w:multiLevelType w:val="hybridMultilevel"/>
    <w:lvl w:ilvl="0">
      <w:lvlJc w:val="left"/>
      <w:lvlText w:val="(%1)"/>
      <w:numFmt w:val="lowerLetter"/>
      <w:start w:val="2"/>
    </w:lvl>
  </w:abstractNum>
  <w:abstractNum w:abstractNumId="372">
    <w:nsid w:val="3E5E582B"/>
    <w:multiLevelType w:val="hybridMultilevel"/>
    <w:lvl w:ilvl="0">
      <w:lvlJc w:val="left"/>
      <w:lvlText w:val="(%1)"/>
      <w:numFmt w:val="lowerRoman"/>
      <w:start w:val="1"/>
    </w:lvl>
  </w:abstractNum>
  <w:abstractNum w:abstractNumId="373">
    <w:nsid w:val="257D4626"/>
    <w:multiLevelType w:val="hybridMultilevel"/>
    <w:lvl w:ilvl="0">
      <w:lvlJc w:val="left"/>
      <w:lvlText w:val="(%1)"/>
      <w:numFmt w:val="lowerLetter"/>
      <w:start w:val="2"/>
    </w:lvl>
  </w:abstractNum>
  <w:abstractNum w:abstractNumId="374">
    <w:nsid w:val="5AA8580E"/>
    <w:multiLevelType w:val="hybridMultilevel"/>
    <w:lvl w:ilvl="0">
      <w:lvlJc w:val="left"/>
      <w:lvlText w:val="(%1)"/>
      <w:numFmt w:val="lowerLetter"/>
      <w:start w:val="1"/>
    </w:lvl>
  </w:abstractNum>
  <w:abstractNum w:abstractNumId="375">
    <w:nsid w:val="68FA8D0D"/>
    <w:multiLevelType w:val="hybridMultilevel"/>
    <w:lvl w:ilvl="0">
      <w:lvlJc w:val="left"/>
      <w:lvlText w:val="(%1)"/>
      <w:numFmt w:val="lowerLetter"/>
      <w:start w:val="5"/>
    </w:lvl>
  </w:abstractNum>
  <w:abstractNum w:abstractNumId="376">
    <w:nsid w:val="40F2CBD2"/>
    <w:multiLevelType w:val="hybridMultilevel"/>
    <w:lvl w:ilvl="0">
      <w:lvlJc w:val="left"/>
      <w:lvlText w:val="(%1)"/>
      <w:numFmt w:val="lowerRoman"/>
      <w:start w:val="3"/>
    </w:lvl>
  </w:abstractNum>
  <w:abstractNum w:abstractNumId="377">
    <w:nsid w:val="3BD615EB"/>
    <w:multiLevelType w:val="hybridMultilevel"/>
    <w:lvl w:ilvl="0">
      <w:lvlJc w:val="left"/>
      <w:lvlText w:val="(%1)"/>
      <w:numFmt w:val="lowerLetter"/>
      <w:start w:val="1"/>
    </w:lvl>
    <w:lvl w:ilvl="1">
      <w:lvlJc w:val="left"/>
      <w:lvlText w:val="(%2)"/>
      <w:numFmt w:val="lowerRoman"/>
      <w:start w:val="1"/>
    </w:lvl>
  </w:abstractNum>
  <w:abstractNum w:abstractNumId="378">
    <w:nsid w:val="A045AB2"/>
    <w:multiLevelType w:val="hybridMultilevel"/>
    <w:lvl w:ilvl="0">
      <w:lvlJc w:val="left"/>
      <w:lvlText w:val="(%1)"/>
      <w:numFmt w:val="lowerLetter"/>
      <w:start w:val="2"/>
    </w:lvl>
  </w:abstractNum>
  <w:abstractNum w:abstractNumId="379">
    <w:nsid w:val="1872261F"/>
    <w:multiLevelType w:val="hybridMultilevel"/>
    <w:lvl w:ilvl="0">
      <w:lvlJc w:val="left"/>
      <w:lvlText w:val="(%1)"/>
      <w:numFmt w:val="lowerLetter"/>
      <w:start w:val="3"/>
    </w:lvl>
  </w:abstractNum>
  <w:abstractNum w:abstractNumId="380">
    <w:nsid w:val="3DE8306C"/>
    <w:multiLevelType w:val="hybridMultilevel"/>
    <w:lvl w:ilvl="0">
      <w:lvlJc w:val="left"/>
      <w:lvlText w:val="(%1)"/>
      <w:numFmt w:val="lowerLetter"/>
      <w:start w:val="6"/>
    </w:lvl>
  </w:abstractNum>
  <w:abstractNum w:abstractNumId="381">
    <w:nsid w:val="7631573A"/>
    <w:multiLevelType w:val="hybridMultilevel"/>
    <w:lvl w:ilvl="0">
      <w:lvlJc w:val="left"/>
      <w:lvlText w:val="(%1)"/>
      <w:numFmt w:val="lowerLetter"/>
      <w:start w:val="1"/>
    </w:lvl>
  </w:abstractNum>
  <w:abstractNum w:abstractNumId="382">
    <w:nsid w:val="58DF53B"/>
    <w:multiLevelType w:val="hybridMultilevel"/>
    <w:lvl w:ilvl="0">
      <w:lvlJc w:val="left"/>
      <w:lvlText w:val="(%1)"/>
      <w:numFmt w:val="upperLetter"/>
      <w:start w:val="1"/>
    </w:lvl>
  </w:abstractNum>
  <w:abstractNum w:abstractNumId="383">
    <w:nsid w:val="ACDFAC0"/>
    <w:multiLevelType w:val="hybridMultilevel"/>
    <w:lvl w:ilvl="0">
      <w:lvlJc w:val="left"/>
      <w:lvlText w:val="(%1)"/>
      <w:numFmt w:val="upperLetter"/>
      <w:start w:val="1"/>
    </w:lvl>
  </w:abstractNum>
  <w:abstractNum w:abstractNumId="384">
    <w:nsid w:val="1F578454"/>
    <w:multiLevelType w:val="hybridMultilevel"/>
    <w:lvl w:ilvl="0">
      <w:lvlJc w:val="left"/>
      <w:lvlText w:val="(%1)"/>
      <w:numFmt w:val="lowerLetter"/>
      <w:start w:val="3"/>
    </w:lvl>
  </w:abstractNum>
  <w:abstractNum w:abstractNumId="385">
    <w:nsid w:val="5B0DAD2A"/>
    <w:multiLevelType w:val="hybridMultilevel"/>
    <w:lvl w:ilvl="0">
      <w:lvlJc w:val="left"/>
      <w:lvlText w:val="(%1)"/>
      <w:numFmt w:val="lowerLetter"/>
      <w:start w:val="4"/>
    </w:lvl>
  </w:abstractNum>
  <w:abstractNum w:abstractNumId="386">
    <w:nsid w:val="4E3D26AB"/>
    <w:multiLevelType w:val="hybridMultilevel"/>
    <w:lvl w:ilvl="0">
      <w:lvlJc w:val="left"/>
      <w:lvlText w:val="(%1)"/>
      <w:numFmt w:val="lowerLetter"/>
      <w:start w:val="6"/>
    </w:lvl>
  </w:abstractNum>
  <w:abstractNum w:abstractNumId="387">
    <w:nsid w:val="BE2C8BA"/>
    <w:multiLevelType w:val="hybridMultilevel"/>
    <w:lvl w:ilvl="0">
      <w:lvlJc w:val="left"/>
      <w:lvlText w:val="(%1)"/>
      <w:numFmt w:val="lowerLetter"/>
      <w:start w:val="8"/>
    </w:lvl>
  </w:abstractNum>
  <w:abstractNum w:abstractNumId="388">
    <w:nsid w:val="7B14914E"/>
    <w:multiLevelType w:val="hybridMultilevel"/>
    <w:lvl w:ilvl="0">
      <w:lvlJc w:val="left"/>
      <w:lvlText w:val="(%1)"/>
      <w:numFmt w:val="lowerLetter"/>
      <w:start w:val="10"/>
    </w:lvl>
    <w:lvl w:ilvl="1">
      <w:lvlJc w:val="left"/>
      <w:lvlText w:val="(%2)"/>
      <w:numFmt w:val="lowerRoman"/>
      <w:start w:val="1"/>
    </w:lvl>
  </w:abstractNum>
  <w:abstractNum w:abstractNumId="389">
    <w:nsid w:val="6F0939F8"/>
    <w:multiLevelType w:val="hybridMultilevel"/>
    <w:lvl w:ilvl="0">
      <w:lvlJc w:val="left"/>
      <w:lvlText w:val="(%1)"/>
      <w:numFmt w:val="decimal"/>
      <w:start w:val="1"/>
    </w:lvl>
  </w:abstractNum>
  <w:abstractNum w:abstractNumId="390">
    <w:nsid w:val="154291F6"/>
    <w:multiLevelType w:val="hybridMultilevel"/>
    <w:lvl w:ilvl="0">
      <w:lvlJc w:val="left"/>
      <w:lvlText w:val="(%1)"/>
      <w:numFmt w:val="lowerRoman"/>
      <w:start w:val="1"/>
    </w:lvl>
  </w:abstractNum>
  <w:abstractNum w:abstractNumId="391">
    <w:nsid w:val="3CEBD7C7"/>
    <w:multiLevelType w:val="hybridMultilevel"/>
    <w:lvl w:ilvl="0">
      <w:lvlJc w:val="left"/>
      <w:lvlText w:val="(%1)"/>
      <w:numFmt w:val="lowerLetter"/>
      <w:start w:val="13"/>
    </w:lvl>
  </w:abstractNum>
  <w:abstractNum w:abstractNumId="392">
    <w:nsid w:val="60EE9C16"/>
    <w:multiLevelType w:val="hybridMultilevel"/>
    <w:lvl w:ilvl="0">
      <w:lvlJc w:val="left"/>
      <w:lvlText w:val="%1"/>
      <w:numFmt w:val="lowerLetter"/>
      <w:start w:val="1"/>
    </w:lvl>
    <w:lvl w:ilvl="1">
      <w:lvlJc w:val="left"/>
      <w:lvlText w:val="(%2)"/>
      <w:numFmt w:val="lowerRoman"/>
      <w:start w:val="1"/>
    </w:lvl>
  </w:abstractNum>
  <w:abstractNum w:abstractNumId="393">
    <w:nsid w:val="6385489E"/>
    <w:multiLevelType w:val="hybridMultilevel"/>
    <w:lvl w:ilvl="0">
      <w:lvlJc w:val="left"/>
      <w:lvlText w:val="(%1)"/>
      <w:numFmt w:val="lowerLetter"/>
      <w:start w:val="14"/>
    </w:lvl>
    <w:lvl w:ilvl="1">
      <w:lvlJc w:val="left"/>
      <w:lvlText w:val="%2"/>
      <w:numFmt w:val="lowerRoman"/>
      <w:start w:val="1"/>
    </w:lvl>
  </w:abstractNum>
  <w:abstractNum w:abstractNumId="394">
    <w:nsid w:val="E4B973"/>
    <w:multiLevelType w:val="hybridMultilevel"/>
    <w:lvl w:ilvl="0">
      <w:lvlJc w:val="left"/>
      <w:lvlText w:val="(%1)"/>
      <w:numFmt w:val="lowerLetter"/>
      <w:start w:val="1"/>
    </w:lvl>
  </w:abstractNum>
  <w:abstractNum w:abstractNumId="395">
    <w:nsid w:val="4A0FFA11"/>
    <w:multiLevelType w:val="hybridMultilevel"/>
    <w:lvl w:ilvl="0">
      <w:lvlJc w:val="left"/>
      <w:lvlText w:val="(%1)"/>
      <w:numFmt w:val="lowerLetter"/>
      <w:start w:val="1"/>
    </w:lvl>
  </w:abstractNum>
  <w:abstractNum w:abstractNumId="396">
    <w:nsid w:val="5E446208"/>
    <w:multiLevelType w:val="hybridMultilevel"/>
    <w:lvl w:ilvl="0">
      <w:lvlJc w:val="left"/>
      <w:lvlText w:val="(%1)"/>
      <w:numFmt w:val="lowerLetter"/>
      <w:start w:val="1"/>
    </w:lvl>
  </w:abstractNum>
  <w:abstractNum w:abstractNumId="397">
    <w:nsid w:val="5F3272DB"/>
    <w:multiLevelType w:val="hybridMultilevel"/>
    <w:lvl w:ilvl="0">
      <w:lvlJc w:val="left"/>
      <w:lvlText w:val="%1."/>
      <w:numFmt w:val="decimal"/>
      <w:start w:val="1"/>
    </w:lvl>
    <w:lvl w:ilvl="1">
      <w:lvlJc w:val="left"/>
      <w:lvlText w:val="%2)"/>
      <w:numFmt w:val="lowerLetter"/>
      <w:start w:val="1"/>
    </w:lvl>
  </w:abstractNum>
  <w:abstractNum w:abstractNumId="398">
    <w:nsid w:val="7616D704"/>
    <w:multiLevelType w:val="hybridMultilevel"/>
    <w:lvl w:ilvl="0">
      <w:lvlJc w:val="left"/>
      <w:lvlText w:val="%1."/>
      <w:numFmt w:val="decimal"/>
      <w:start w:val="1"/>
    </w:lvl>
    <w:lvl w:ilvl="1">
      <w:lvlJc w:val="left"/>
      <w:lvlText w:val="%2)"/>
      <w:numFmt w:val="lowerLetter"/>
      <w:start w:val="1"/>
    </w:lvl>
  </w:abstractNum>
  <w:abstractNum w:abstractNumId="399">
    <w:nsid w:val="C56F860"/>
    <w:multiLevelType w:val="hybridMultilevel"/>
    <w:lvl w:ilvl="0">
      <w:lvlJc w:val="left"/>
      <w:lvlText w:val="(%1)"/>
      <w:numFmt w:val="decimal"/>
      <w:start w:val="1"/>
    </w:lvl>
  </w:abstractNum>
  <w:abstractNum w:abstractNumId="400">
    <w:nsid w:val="64D1772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jpeg"/><Relationship Id="rId72" Type="http://schemas.openxmlformats.org/officeDocument/2006/relationships/image" Target="media/image61.jpeg"/><Relationship Id="rId73" Type="http://schemas.openxmlformats.org/officeDocument/2006/relationships/image" Target="media/image62.jpeg"/><Relationship Id="rId74" Type="http://schemas.openxmlformats.org/officeDocument/2006/relationships/image" Target="media/image63.jpeg"/><Relationship Id="rId75" Type="http://schemas.openxmlformats.org/officeDocument/2006/relationships/image" Target="media/image64.jpeg"/><Relationship Id="rId76" Type="http://schemas.openxmlformats.org/officeDocument/2006/relationships/image" Target="media/image65.jpe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jpeg"/><Relationship Id="rId84" Type="http://schemas.openxmlformats.org/officeDocument/2006/relationships/image" Target="media/image73.jpeg"/><Relationship Id="rId85" Type="http://schemas.openxmlformats.org/officeDocument/2006/relationships/image" Target="media/image74.jpeg"/><Relationship Id="rId86" Type="http://schemas.openxmlformats.org/officeDocument/2006/relationships/image" Target="media/image75.jpeg"/><Relationship Id="rId87" Type="http://schemas.openxmlformats.org/officeDocument/2006/relationships/image" Target="media/image76.jpeg"/><Relationship Id="rId88" Type="http://schemas.openxmlformats.org/officeDocument/2006/relationships/image" Target="media/image77.jpeg"/><Relationship Id="rId89" Type="http://schemas.openxmlformats.org/officeDocument/2006/relationships/image" Target="media/image78.jpeg"/><Relationship Id="rId90" Type="http://schemas.openxmlformats.org/officeDocument/2006/relationships/image" Target="media/image79.jpeg"/><Relationship Id="rId91" Type="http://schemas.openxmlformats.org/officeDocument/2006/relationships/image" Target="media/image80.jpeg"/><Relationship Id="rId92" Type="http://schemas.openxmlformats.org/officeDocument/2006/relationships/image" Target="media/image81.jpeg"/><Relationship Id="rId93" Type="http://schemas.openxmlformats.org/officeDocument/2006/relationships/image" Target="media/image82.jpeg"/><Relationship Id="rId94" Type="http://schemas.openxmlformats.org/officeDocument/2006/relationships/image" Target="media/image83.jpeg"/><Relationship Id="rId95" Type="http://schemas.openxmlformats.org/officeDocument/2006/relationships/image" Target="media/image84.jpeg"/><Relationship Id="rId96" Type="http://schemas.openxmlformats.org/officeDocument/2006/relationships/image" Target="media/image85.jpe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61" Type="http://schemas.openxmlformats.org/officeDocument/2006/relationships/hyperlink" Target="https://www.sec.gov/ix?doc=/Archives/edgar/data/0001820721/000182072125000023/arry-20241231.htm" TargetMode="External"/><Relationship Id="rId65" Type="http://schemas.openxmlformats.org/officeDocument/2006/relationships/hyperlink" Target="https://www.sec.gov/Archives/edgar/data/1820721/000119312520272092/d50569dex31.htm" TargetMode="External"/><Relationship Id="rId66" Type="http://schemas.openxmlformats.org/officeDocument/2006/relationships/hyperlink" Target="https://www.sec.gov/Archives/edgar/data/1820721/000119312520272092/d50569dex32.htm" TargetMode="External"/><Relationship Id="rId67" Type="http://schemas.openxmlformats.org/officeDocument/2006/relationships/hyperlink" Target="https://www.sec.gov/Archives/edgar/data/0001820721/000182072121000057/helios-certificateofdesig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2025-05-06T16:12:53Z</dcterms:created>
  <dcterms:modified xsi:type="dcterms:W3CDTF">2025-05-06T16:12:53Z</dcterms:modified>
</cp:coreProperties>
</file>